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关于平顶山市利国源铁矿磁选有限责任公司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鲁山磁选厂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年产100万吨机制砂项目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333333"/>
          <w:sz w:val="36"/>
          <w:szCs w:val="36"/>
        </w:rPr>
        <w:t>环境影响报告</w:t>
      </w:r>
      <w:r>
        <w:rPr>
          <w:rFonts w:hint="eastAsia" w:ascii="仿宋" w:hAnsi="仿宋" w:eastAsia="仿宋" w:cs="仿宋"/>
          <w:b/>
          <w:bCs w:val="0"/>
          <w:color w:val="333333"/>
          <w:sz w:val="36"/>
          <w:szCs w:val="36"/>
          <w:lang w:eastAsia="zh-CN"/>
        </w:rPr>
        <w:t>表</w:t>
      </w:r>
      <w:r>
        <w:rPr>
          <w:rFonts w:hint="eastAsia" w:ascii="仿宋" w:hAnsi="仿宋" w:eastAsia="仿宋" w:cs="仿宋"/>
          <w:b/>
          <w:bCs w:val="0"/>
          <w:color w:val="333333"/>
          <w:sz w:val="36"/>
          <w:szCs w:val="36"/>
        </w:rPr>
        <w:t>的批复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color w:val="262626"/>
          <w:sz w:val="32"/>
          <w:szCs w:val="32"/>
          <w:lang w:eastAsia="zh-CN"/>
        </w:rPr>
        <w:t>鲁环然表</w:t>
      </w: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>[2020] 04号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平顶山市利国源铁矿磁选有限责任公司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鲁山磁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厂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你公司（统一社会信用代码：91410423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val="en-US" w:eastAsia="zh-CN"/>
        </w:rPr>
        <w:t>7571147042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）上报的由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河南金环环境影响评价有限公司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编制完成的《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平顶山市利国源铁矿磁选有限责任公司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鲁山磁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厂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年产100万吨机制砂项目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环境影响报告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（报批版）》（以下简称《报告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》）收悉，并已在我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县政府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网站公示期满。根据《中华人民共和国环境保护法》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《中华人民共和国行政许可法》《中华人民共和国环境影响评价法》《建设项目环境保护管理条例》等法律法规规定，经研究，批复如下：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一、《报告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》内容符合国家有关法律法规要求和建设项目环境管理规定，评价结论可信。我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局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批准该《报告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》，原则同意你公司按照《报告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》所列项目的性质、规模、地点、环境保护对策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并严格按照规划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进行项目建设。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二、你公司应做好建设项目环境信息公开工作，并接受相关方的咨询。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三、你公司应全面落实《报告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》提出的各项环境保护措施，确保各项污染物达标排放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并重点做好以下工作：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废气防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治</w:t>
      </w:r>
      <w:r>
        <w:rPr>
          <w:rFonts w:hint="eastAsia" w:ascii="仿宋" w:hAnsi="仿宋" w:eastAsia="仿宋" w:cs="仿宋"/>
          <w:sz w:val="28"/>
          <w:szCs w:val="28"/>
        </w:rPr>
        <w:t>措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施：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本项目应严格执行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eastAsia="zh-CN"/>
        </w:rPr>
        <w:t>《关于印发河南省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2020年大气、水、土壤污染防治攻坚战实施方案的通知》（豫环攻坚办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  <w:t>〔20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  <w:t>〕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7号）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、《平顶山市2019年大气污染防治攻坚战实施方案》和《鲁山县2019年大气污染防治攻坚战实施方案》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要求和环境影响报告表中确定的各项大气污染防治措施。确保各项大气污染物达标排放。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废水防治措施：生活污水排入厂区现有化粪池收集后由定期掏取用于农田施肥，不外排。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生产废水、洗砂废水、车辆冲洗废水经沉淀后循环使用，不外排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固体废物防治措施：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营运期产生的固体废物、除尘器收尘和车间沉降颗粒物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</w:rPr>
        <w:t>收集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lang w:eastAsia="zh-CN"/>
        </w:rPr>
        <w:t>及洗砂过程中产生的底泥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</w:rPr>
        <w:t>经压滤机处理后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lang w:eastAsia="zh-CN"/>
        </w:rPr>
        <w:t>通过全封闭的皮带输送廊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</w:rPr>
        <w:t>运至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lang w:eastAsia="zh-CN"/>
        </w:rPr>
        <w:t>滤渣暂存池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lang w:val="en-US" w:eastAsia="zh-CN"/>
        </w:rPr>
        <w:t>进行暂存，评价要求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lang w:eastAsia="zh-CN"/>
        </w:rPr>
        <w:t>滤渣暂存池上方建设罩棚，并做到防渗、防雨、防溢流、及时清运，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lang w:val="en-US" w:eastAsia="zh-CN"/>
        </w:rPr>
        <w:t>最终外售给制砖厂作为生产原料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；生活垃圾运至垃圾中转站统一处理；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设置1个专用密闭容器贮存并存放在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eastAsia="zh-CN"/>
        </w:rPr>
        <w:t>利国源鲁山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  <w:t>磁选厂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现有危废暂存间（5m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vertAlign w:val="superscript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）内，交由有资质的单位转移处置。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噪声防治措施：对产生高噪声的主要设备采取基础减震、隔音等措施后，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：加强设备维护保养，确保设备正常运行，避免设备带病运行，</w:t>
      </w:r>
      <w:r>
        <w:rPr>
          <w:rFonts w:hint="eastAsia" w:ascii="仿宋" w:hAnsi="仿宋" w:eastAsia="仿宋" w:cs="仿宋"/>
          <w:sz w:val="28"/>
          <w:szCs w:val="28"/>
        </w:rPr>
        <w:t>噪声达标排放。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四、如果今后国家或我省颁布新的标准，你公司应按新标准执行。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五、项目建成及时组织竣工环境保护验收，未经验收或验收不合格，不得正式投入运营。如需对本项目环评批复的有关内容进行调整，必须以书面形式向我局报告，并按规定办理相关手续。该项目由鲁山县环境监察大队负责日常环境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经办人：刘国杰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2020年 5月7日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22C7"/>
    <w:rsid w:val="00432BB8"/>
    <w:rsid w:val="0DA0190F"/>
    <w:rsid w:val="120D4FC1"/>
    <w:rsid w:val="167F79AC"/>
    <w:rsid w:val="2E5F5FD2"/>
    <w:rsid w:val="2EEF07E6"/>
    <w:rsid w:val="36862BBF"/>
    <w:rsid w:val="3873007D"/>
    <w:rsid w:val="39D72FF5"/>
    <w:rsid w:val="3DA43D88"/>
    <w:rsid w:val="42BA1757"/>
    <w:rsid w:val="43955271"/>
    <w:rsid w:val="505133C3"/>
    <w:rsid w:val="522D29E5"/>
    <w:rsid w:val="55890C11"/>
    <w:rsid w:val="576C4F75"/>
    <w:rsid w:val="5A6222C7"/>
    <w:rsid w:val="671B6183"/>
    <w:rsid w:val="6D535020"/>
    <w:rsid w:val="74A54984"/>
    <w:rsid w:val="7AF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12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  <w:style w:type="paragraph" w:styleId="4">
    <w:name w:val="Normal Indent"/>
    <w:basedOn w:val="1"/>
    <w:qFormat/>
    <w:uiPriority w:val="0"/>
    <w:rPr>
      <w:kern w:val="0"/>
      <w:sz w:val="28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u w:val="none"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bsharetext"/>
    <w:basedOn w:val="9"/>
    <w:qFormat/>
    <w:uiPriority w:val="0"/>
  </w:style>
  <w:style w:type="character" w:customStyle="1" w:styleId="19">
    <w:name w:val="first-child"/>
    <w:basedOn w:val="9"/>
    <w:qFormat/>
    <w:uiPriority w:val="0"/>
    <w:rPr>
      <w:shd w:val="clear" w:fill="E0F0FF"/>
    </w:rPr>
  </w:style>
  <w:style w:type="character" w:customStyle="1" w:styleId="20">
    <w:name w:val="nth-child(2)"/>
    <w:basedOn w:val="9"/>
    <w:qFormat/>
    <w:uiPriority w:val="0"/>
  </w:style>
  <w:style w:type="character" w:customStyle="1" w:styleId="21">
    <w:name w:val="nth-child(3)"/>
    <w:basedOn w:val="9"/>
    <w:qFormat/>
    <w:uiPriority w:val="0"/>
  </w:style>
  <w:style w:type="character" w:customStyle="1" w:styleId="22">
    <w:name w:val="hover29"/>
    <w:basedOn w:val="9"/>
    <w:qFormat/>
    <w:uiPriority w:val="0"/>
    <w:rPr>
      <w:u w:val="single"/>
    </w:rPr>
  </w:style>
  <w:style w:type="paragraph" w:customStyle="1" w:styleId="23">
    <w:name w:val="样式 规划正文 + 仿宋_GB2312 三号 首行缩进:  2 字符 行距: 单倍行距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8"/>
    </w:rPr>
  </w:style>
  <w:style w:type="paragraph" w:customStyle="1" w:styleId="24">
    <w:name w:val="00"/>
    <w:basedOn w:val="1"/>
    <w:qFormat/>
    <w:uiPriority w:val="0"/>
    <w:pPr>
      <w:spacing w:beforeLines="0" w:afterLines="0" w:line="520" w:lineRule="exac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2018-10-18T02:13:00Z</dcterms:created>
  <dc:creator>Administrator</dc:creator>
  <cp:lastModifiedBy>李永军</cp:lastModifiedBy>
  <cp:lastPrinted>2020-05-07T23:54:00Z</cp:lastPrinted>
  <dcterms:modified xsi:type="dcterms:W3CDTF">2020-05-08T00:32:33Z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