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2570" w:firstLineChars="800"/>
        <w:jc w:val="both"/>
        <w:rPr>
          <w:rFonts w:hint="eastAsia" w:asciiTheme="majorEastAsia" w:hAnsiTheme="majorEastAsia" w:eastAsiaTheme="majorEastAsia" w:cstheme="majorEastAsia"/>
          <w:b/>
          <w:bCs/>
          <w:color w:val="26262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62626"/>
          <w:sz w:val="32"/>
          <w:szCs w:val="32"/>
          <w:lang w:eastAsia="zh-CN"/>
        </w:rPr>
        <w:t>鲁环然表</w:t>
      </w:r>
      <w:r>
        <w:rPr>
          <w:rFonts w:hint="eastAsia" w:asciiTheme="majorEastAsia" w:hAnsiTheme="majorEastAsia" w:eastAsiaTheme="majorEastAsia" w:cstheme="majorEastAsia"/>
          <w:b/>
          <w:bCs/>
          <w:color w:val="262626"/>
          <w:sz w:val="32"/>
          <w:szCs w:val="32"/>
          <w:lang w:val="en-US" w:eastAsia="zh-CN"/>
        </w:rPr>
        <w:t>[2020] 09号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default" w:asciiTheme="majorEastAsia" w:hAnsiTheme="majorEastAsia" w:eastAsiaTheme="majorEastAsia" w:cstheme="majorEastAsia"/>
          <w:b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</w:rPr>
        <w:t>关于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eastAsia="zh-CN"/>
        </w:rPr>
        <w:t>国家电投平顶山发电分公司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25MW光伏发电项目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color w:val="262626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</w:rPr>
        <w:t>环境影响报告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  <w:lang w:eastAsia="zh-CN"/>
        </w:rPr>
        <w:t>表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</w:rPr>
        <w:t>的批复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 xml:space="preserve">         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eastAsia="zh-CN"/>
        </w:rPr>
        <w:t>国家电投集团河南电力有限公司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eastAsia="zh-CN"/>
        </w:rPr>
        <w:t>平顶山发电分公司：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</w:pPr>
      <w:r>
        <w:rPr>
          <w:rFonts w:ascii="宋体" w:hAnsi="宋体" w:eastAsia="宋体" w:cs="宋体"/>
          <w:i w:val="0"/>
          <w:caps w:val="0"/>
          <w:color w:val="262626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caps w:val="0"/>
          <w:color w:val="262626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你公司（统一社会信用代码：914104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val="en-US" w:eastAsia="zh-CN"/>
        </w:rPr>
        <w:t>005569342208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）上报的由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郑州泓腾环保咨询有限公司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编制完成的《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国家电投平顶山发电分公司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25MW光伏发电项目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28"/>
          <w:szCs w:val="28"/>
          <w:lang w:eastAsia="zh-CN"/>
        </w:rPr>
        <w:t>建设项目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环境影响报告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（报批版）》（以下简称《报告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》）收悉，并已在我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县政府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网站公示期满。根据《中华人民共和国环境保护法》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《中华人民共和国行政许可法》《中华人民共和国环境影响评价法》《建设项目环境保护管理条例》等法律法规规定，经研究，批复如下：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196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该项目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位于</w:t>
      </w:r>
      <w:r>
        <w:rPr>
          <w:rFonts w:hint="eastAsia" w:ascii="宋体" w:hAnsi="宋体" w:eastAsia="宋体" w:cs="宋体"/>
          <w:sz w:val="28"/>
          <w:szCs w:val="28"/>
        </w:rPr>
        <w:t>平顶山市鲁山县辛集乡平顶山发电分公司灰场，总占地面积为382000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㎡，</w:t>
      </w:r>
      <w:r>
        <w:rPr>
          <w:rFonts w:hint="eastAsia" w:ascii="宋体" w:hAnsi="宋体" w:eastAsia="宋体" w:cs="宋体"/>
          <w:sz w:val="28"/>
          <w:szCs w:val="28"/>
        </w:rPr>
        <w:t>装机容量为25MW，共安装445W多晶硅光伏组件55104块，升压站布置445W光伏组件128个，总计55232块，升压站依托现有风电项目110kV升压站，仅安装电气设施不另行建设。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</w:t>
      </w:r>
      <w:r>
        <w:rPr>
          <w:rFonts w:hint="eastAsia" w:ascii="宋体" w:hAnsi="宋体" w:eastAsia="宋体" w:cs="宋体"/>
          <w:bCs/>
          <w:sz w:val="28"/>
          <w:szCs w:val="28"/>
        </w:rPr>
        <w:t>投资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8400.59</w:t>
      </w:r>
      <w:r>
        <w:rPr>
          <w:rFonts w:hint="eastAsia" w:ascii="宋体" w:hAnsi="宋体" w:eastAsia="宋体" w:cs="宋体"/>
          <w:bCs/>
          <w:sz w:val="28"/>
          <w:szCs w:val="28"/>
        </w:rPr>
        <w:t>万元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，环保投资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43万元。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二、项目符合当前国家产业政策和相关规划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该《报告表》格式规范，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符合有关导则要求，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提出的各项生态保护及污染防治措施</w:t>
      </w:r>
      <w:r>
        <w:rPr>
          <w:rFonts w:hint="eastAsia" w:asciiTheme="minorEastAsia" w:hAnsiTheme="minorEastAsia" w:cstheme="minorEastAsia"/>
          <w:i w:val="0"/>
          <w:caps w:val="0"/>
          <w:color w:val="262626"/>
          <w:spacing w:val="0"/>
          <w:sz w:val="28"/>
          <w:szCs w:val="28"/>
          <w:lang w:eastAsia="zh-CN"/>
        </w:rPr>
        <w:t>可行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。我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原则同意你公司按照《报告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》中所列建设项目的性质、规模、工艺、地点和环境保护对策措施进行建设。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99" w:rightChars="95"/>
        <w:jc w:val="left"/>
        <w:textAlignment w:val="baseline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三、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项目在建设及运营中应全面落实《报告表》提出的各项环境保护措施，并重点做好以下工作：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280" w:firstLineChars="100"/>
        <w:rPr>
          <w:rFonts w:hint="eastAsia" w:ascii="宋体" w:hAnsi="宋体" w:eastAsia="宋体" w:cs="宋体"/>
          <w:i w:val="0"/>
          <w:caps w:val="0"/>
          <w:color w:val="262626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262626"/>
          <w:spacing w:val="0"/>
          <w:sz w:val="28"/>
          <w:szCs w:val="28"/>
        </w:rPr>
        <w:t> </w:t>
      </w:r>
      <w:r>
        <w:rPr>
          <w:rFonts w:hint="eastAsia" w:ascii="宋体" w:hAnsi="宋体" w:eastAsia="宋体" w:cs="宋体"/>
          <w:i w:val="0"/>
          <w:caps w:val="0"/>
          <w:color w:val="262626"/>
          <w:spacing w:val="0"/>
          <w:sz w:val="28"/>
          <w:szCs w:val="28"/>
          <w:lang w:eastAsia="zh-CN"/>
        </w:rPr>
        <w:t>（一）施工期污染防治措施：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262626"/>
          <w:spacing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项目在施工时应严格按照省级、市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县</w:t>
      </w:r>
      <w:r>
        <w:rPr>
          <w:rFonts w:hint="eastAsia" w:ascii="宋体" w:hAnsi="宋体" w:eastAsia="宋体" w:cs="宋体"/>
          <w:sz w:val="28"/>
          <w:szCs w:val="28"/>
        </w:rPr>
        <w:t>级大气污染防治条例的规定和要求，采取严格的扬尘控制措施，以最大限度的减少扬尘对周围敏感点的影响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废水污染防治措施：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施工期设</w:t>
      </w:r>
      <w:r>
        <w:rPr>
          <w:rFonts w:hint="eastAsia" w:ascii="宋体" w:hAnsi="宋体" w:eastAsia="宋体" w:cs="宋体"/>
          <w:sz w:val="28"/>
          <w:szCs w:val="28"/>
        </w:rPr>
        <w:t>立专门清洗点对施工机械和车辆进行清洗和保养，含油废水或废弃物，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经收集</w:t>
      </w:r>
      <w:r>
        <w:rPr>
          <w:rFonts w:hint="eastAsia" w:ascii="宋体" w:hAnsi="宋体" w:eastAsia="宋体" w:cs="宋体"/>
          <w:sz w:val="28"/>
          <w:szCs w:val="28"/>
        </w:rPr>
        <w:t>处理后用于厂区洒水降尘，其中油污收集后由专业部门回收统一处理，旱厕粪便定期清掏用于农田肥田。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运营期污染防治措施：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清洗废水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经收集池收集沉淀后循环利用或者</w:t>
      </w:r>
      <w:r>
        <w:rPr>
          <w:rFonts w:hint="eastAsia" w:ascii="宋体" w:hAnsi="宋体" w:eastAsia="宋体" w:cs="宋体"/>
          <w:sz w:val="28"/>
          <w:szCs w:val="28"/>
        </w:rPr>
        <w:t>用于浇灌项目区草本植物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固废污染防治措施：废太阳能电池组件厂家更换直接清运；废电容、电抗器等电子原件收集至暂存间，并移交生产厂家回收处置，废变压器由厂家更换新变压器的同时直接回收，废变压器油暂存后委托有危废处置资质的单位回收处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噪音污染防治措施：项目采取厂房隔声基础减振等措施，再经距离衰减后，确保噪音达标排放。</w:t>
      </w:r>
      <w:r>
        <w:rPr>
          <w:rFonts w:hint="eastAsia" w:ascii="宋体" w:hAnsi="宋体" w:eastAsia="宋体" w:cs="宋体"/>
          <w:kern w:val="2"/>
          <w:sz w:val="28"/>
          <w:szCs w:val="28"/>
        </w:rPr>
        <w:t>满足《工业企业厂界环境噪声排放标准》（GB12348-2008）中2类标准值要求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生态影响防治措施：</w:t>
      </w:r>
      <w:r>
        <w:rPr>
          <w:rFonts w:hint="eastAsia" w:ascii="宋体" w:hAnsi="宋体" w:eastAsia="宋体" w:cs="宋体"/>
          <w:sz w:val="28"/>
          <w:szCs w:val="28"/>
        </w:rPr>
        <w:t>因地制宜地实施绿化或复耕等措施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减少水土流失。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204" w:leftChars="97" w:right="0" w:rightChars="0" w:firstLine="560" w:firstLineChars="200"/>
        <w:textAlignment w:val="auto"/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四、项目建成及时组织竣工环境保护验收，未经验收或验收合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204" w:leftChars="97" w:right="0" w:rightChars="0" w:firstLine="0" w:firstLineChars="0"/>
        <w:textAlignment w:val="auto"/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格，不得正式投入运营。如需对本项目环评批复的有关内容进行调整，必须以书面形式向我局报告，并按规定办理相关手续。该项目由鲁山县环境监察大队负责日常环境管理。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经办人：刘国杰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2020年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pStyle w:val="3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rPr>
      <w:kern w:val="0"/>
      <w:sz w:val="28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2020-10-09T01:45:17Z</dcterms:created>
  <dc:creator>Administrator.WIN-5MDQQTPJCC2</dc:creator>
  <cp:lastModifiedBy>Administrator</cp:lastModifiedBy>
  <dcterms:modified xsi:type="dcterms:W3CDTF">2020-10-09T01:45:26Z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