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spacing w:line="500" w:lineRule="exact"/>
        <w:ind w:firstLine="482" w:firstLineChars="200"/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建设项目地表水环境影响评价自查表</w:t>
      </w:r>
    </w:p>
    <w:tbl>
      <w:tblPr>
        <w:tblStyle w:val="5"/>
        <w:tblW w:w="90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0"/>
        <w:gridCol w:w="948"/>
        <w:gridCol w:w="1199"/>
        <w:gridCol w:w="791"/>
        <w:gridCol w:w="353"/>
        <w:gridCol w:w="1699"/>
        <w:gridCol w:w="138"/>
        <w:gridCol w:w="135"/>
        <w:gridCol w:w="1113"/>
        <w:gridCol w:w="167"/>
        <w:gridCol w:w="971"/>
        <w:gridCol w:w="11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8" w:type="dxa"/>
            <w:gridSpan w:val="2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  <w:t>工作内容</w:t>
            </w:r>
          </w:p>
        </w:tc>
        <w:tc>
          <w:tcPr>
            <w:tcW w:w="7718" w:type="dxa"/>
            <w:gridSpan w:val="1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自查项目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restart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  <w:t>影</w:t>
            </w:r>
          </w:p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  <w:t>响</w:t>
            </w:r>
          </w:p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  <w:t>识</w:t>
            </w:r>
          </w:p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  <w:t>别</w:t>
            </w:r>
          </w:p>
        </w:tc>
        <w:tc>
          <w:tcPr>
            <w:tcW w:w="948" w:type="dxa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  <w:t>影响类型</w:t>
            </w:r>
          </w:p>
        </w:tc>
        <w:tc>
          <w:tcPr>
            <w:tcW w:w="7718" w:type="dxa"/>
            <w:gridSpan w:val="1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水污染影响型</w:t>
            </w: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sym w:font="Wingdings 2" w:char="0052"/>
            </w: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；水文要素影响型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  <w:t>水环境保护目标</w:t>
            </w:r>
          </w:p>
        </w:tc>
        <w:tc>
          <w:tcPr>
            <w:tcW w:w="7718" w:type="dxa"/>
            <w:gridSpan w:val="1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饮用水水源保护区</w:t>
            </w:r>
            <w:r>
              <w:rPr>
                <w:kern w:val="0"/>
                <w:sz w:val="18"/>
                <w:szCs w:val="18"/>
              </w:rPr>
              <w:sym w:font="Wingdings 2" w:char="00A3"/>
            </w: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；饮用水取水口 □；涉水的自然保护区 □；</w:t>
            </w:r>
          </w:p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重要湿地 □；重点保护与珍稀水生生物的栖息地 □；重要水生生物的自然产卵场及索饵场、越冬场和洄游通道、天然渔场等渔业水体 □；</w:t>
            </w:r>
          </w:p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 xml:space="preserve">涉水的风景名胜区 □；其他 </w:t>
            </w:r>
            <w:bookmarkStart w:id="0" w:name="_GoBack"/>
            <w:bookmarkEnd w:id="0"/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sym w:font="Wingdings 2" w:char="0052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Merge w:val="restart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  <w:t>影响途径</w:t>
            </w:r>
          </w:p>
        </w:tc>
        <w:tc>
          <w:tcPr>
            <w:tcW w:w="4180" w:type="dxa"/>
            <w:gridSpan w:val="5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  <w:t>水污染影响型</w:t>
            </w:r>
          </w:p>
        </w:tc>
        <w:tc>
          <w:tcPr>
            <w:tcW w:w="3538" w:type="dxa"/>
            <w:gridSpan w:val="5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  <w:t>水文要素影响型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4180" w:type="dxa"/>
            <w:gridSpan w:val="5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 xml:space="preserve">直接排放 □；间接排放□；其他 </w:t>
            </w: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sym w:font="Wingdings 2" w:char="0052"/>
            </w:r>
          </w:p>
        </w:tc>
        <w:tc>
          <w:tcPr>
            <w:tcW w:w="3538" w:type="dxa"/>
            <w:gridSpan w:val="5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水温 □；径流 □；水域面积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  <w:t>影响因子</w:t>
            </w:r>
          </w:p>
        </w:tc>
        <w:tc>
          <w:tcPr>
            <w:tcW w:w="4180" w:type="dxa"/>
            <w:gridSpan w:val="5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持久性污染物 □；有毒有害污染物 □；非持久性污染物 □；pH值 □；</w:t>
            </w:r>
          </w:p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热污染 □；富营养化 □；其他 □</w:t>
            </w:r>
          </w:p>
        </w:tc>
        <w:tc>
          <w:tcPr>
            <w:tcW w:w="3538" w:type="dxa"/>
            <w:gridSpan w:val="5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水温 □；水位（水深） □；流速 □；流量 □；其他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8" w:type="dxa"/>
            <w:gridSpan w:val="2"/>
            <w:vMerge w:val="restart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评价等级</w:t>
            </w:r>
          </w:p>
        </w:tc>
        <w:tc>
          <w:tcPr>
            <w:tcW w:w="4180" w:type="dxa"/>
            <w:gridSpan w:val="5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水污染影响型</w:t>
            </w:r>
          </w:p>
        </w:tc>
        <w:tc>
          <w:tcPr>
            <w:tcW w:w="3538" w:type="dxa"/>
            <w:gridSpan w:val="5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水文要素影响型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8" w:type="dxa"/>
            <w:gridSpan w:val="2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4180" w:type="dxa"/>
            <w:gridSpan w:val="5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 xml:space="preserve">一级 □；二级 □；三级A □；三级B </w:t>
            </w:r>
            <w:r>
              <w:rPr>
                <w:kern w:val="0"/>
                <w:sz w:val="18"/>
                <w:szCs w:val="18"/>
              </w:rPr>
              <w:sym w:font="Wingdings 2" w:char="0052"/>
            </w:r>
          </w:p>
        </w:tc>
        <w:tc>
          <w:tcPr>
            <w:tcW w:w="3538" w:type="dxa"/>
            <w:gridSpan w:val="5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一级 □；二级 □；三级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restart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现状调查</w:t>
            </w:r>
          </w:p>
        </w:tc>
        <w:tc>
          <w:tcPr>
            <w:tcW w:w="948" w:type="dxa"/>
            <w:vMerge w:val="restart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区域污染源</w:t>
            </w:r>
          </w:p>
        </w:tc>
        <w:tc>
          <w:tcPr>
            <w:tcW w:w="4180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调查项目</w:t>
            </w:r>
          </w:p>
        </w:tc>
        <w:tc>
          <w:tcPr>
            <w:tcW w:w="3538" w:type="dxa"/>
            <w:gridSpan w:val="5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数据来源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9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已建 □；在建 □；</w:t>
            </w:r>
          </w:p>
          <w:p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拟建</w:t>
            </w:r>
            <w:r>
              <w:rPr>
                <w:kern w:val="0"/>
                <w:sz w:val="18"/>
                <w:szCs w:val="18"/>
              </w:rPr>
              <w:sym w:font="Wingdings 2" w:char="0052"/>
            </w: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；其他 □</w:t>
            </w:r>
          </w:p>
        </w:tc>
        <w:tc>
          <w:tcPr>
            <w:tcW w:w="21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拟替代的污染源 □</w:t>
            </w:r>
          </w:p>
        </w:tc>
        <w:tc>
          <w:tcPr>
            <w:tcW w:w="3538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排污许可证 □；环评 □；</w:t>
            </w:r>
          </w:p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环保验收 □；既有实测 □；</w:t>
            </w:r>
          </w:p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现场监测 □；入河排放口数据 □；</w:t>
            </w:r>
          </w:p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其他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Merge w:val="restart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受影响水体水环境质量</w:t>
            </w:r>
          </w:p>
        </w:tc>
        <w:tc>
          <w:tcPr>
            <w:tcW w:w="4180" w:type="dxa"/>
            <w:gridSpan w:val="5"/>
            <w:tcBorders>
              <w:top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调查时期</w:t>
            </w:r>
          </w:p>
        </w:tc>
        <w:tc>
          <w:tcPr>
            <w:tcW w:w="3538" w:type="dxa"/>
            <w:gridSpan w:val="5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数据来源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4180" w:type="dxa"/>
            <w:gridSpan w:val="5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丰水期 □；平水期 □；枯水期 □；</w:t>
            </w:r>
          </w:p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冰封期 □春季 □；夏季 □；秋季 □；冬季 □</w:t>
            </w:r>
          </w:p>
        </w:tc>
        <w:tc>
          <w:tcPr>
            <w:tcW w:w="3538" w:type="dxa"/>
            <w:gridSpan w:val="5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生态环境保护主管部门 □；</w:t>
            </w:r>
          </w:p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补充监测 □；其他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区域水资源开发利用状况</w:t>
            </w:r>
          </w:p>
        </w:tc>
        <w:tc>
          <w:tcPr>
            <w:tcW w:w="7718" w:type="dxa"/>
            <w:gridSpan w:val="1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未开发 □；开发量40%以下 □；开发量40%以上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Merge w:val="restart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水文情势调查</w:t>
            </w:r>
          </w:p>
        </w:tc>
        <w:tc>
          <w:tcPr>
            <w:tcW w:w="4180" w:type="dxa"/>
            <w:gridSpan w:val="5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调查时期</w:t>
            </w:r>
          </w:p>
        </w:tc>
        <w:tc>
          <w:tcPr>
            <w:tcW w:w="3538" w:type="dxa"/>
            <w:gridSpan w:val="5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数据来源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4180" w:type="dxa"/>
            <w:gridSpan w:val="5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丰水期 □；平水期 □；枯水期 □；</w:t>
            </w:r>
          </w:p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冰封期 □春季 □；夏季 □；秋季 □；冬季 □</w:t>
            </w:r>
          </w:p>
        </w:tc>
        <w:tc>
          <w:tcPr>
            <w:tcW w:w="3538" w:type="dxa"/>
            <w:gridSpan w:val="5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水行政主管部门 □；</w:t>
            </w:r>
          </w:p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补充监测 □；其他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Merge w:val="restart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补充监测</w:t>
            </w:r>
          </w:p>
        </w:tc>
        <w:tc>
          <w:tcPr>
            <w:tcW w:w="4180" w:type="dxa"/>
            <w:gridSpan w:val="5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监测时期</w:t>
            </w:r>
          </w:p>
        </w:tc>
        <w:tc>
          <w:tcPr>
            <w:tcW w:w="1415" w:type="dxa"/>
            <w:gridSpan w:val="3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监测因子</w:t>
            </w:r>
          </w:p>
        </w:tc>
        <w:tc>
          <w:tcPr>
            <w:tcW w:w="2123" w:type="dxa"/>
            <w:gridSpan w:val="2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监测断面或点位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4180" w:type="dxa"/>
            <w:gridSpan w:val="5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丰水期 □；平水期 □；枯水期 □；</w:t>
            </w:r>
          </w:p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冰封期 □春季 □；夏季 □；秋季 □；冬季 □</w:t>
            </w:r>
          </w:p>
        </w:tc>
        <w:tc>
          <w:tcPr>
            <w:tcW w:w="1415" w:type="dxa"/>
            <w:gridSpan w:val="3"/>
            <w:vAlign w:val="center"/>
          </w:tcPr>
          <w:p>
            <w:pPr>
              <w:widowControl w:val="0"/>
              <w:jc w:val="left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2123" w:type="dxa"/>
            <w:gridSpan w:val="2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监测断面或点位个数（）个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restart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现状评价</w:t>
            </w:r>
          </w:p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评价范围</w:t>
            </w:r>
          </w:p>
        </w:tc>
        <w:tc>
          <w:tcPr>
            <w:tcW w:w="7718" w:type="dxa"/>
            <w:gridSpan w:val="1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河流：长度（）km；湖库、河口及近岸海域：面积（）km2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评价因子</w:t>
            </w:r>
          </w:p>
        </w:tc>
        <w:tc>
          <w:tcPr>
            <w:tcW w:w="7718" w:type="dxa"/>
            <w:gridSpan w:val="10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评价标准</w:t>
            </w:r>
          </w:p>
        </w:tc>
        <w:tc>
          <w:tcPr>
            <w:tcW w:w="7718" w:type="dxa"/>
            <w:gridSpan w:val="1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河流、湖库、河口：Ⅰ类 □；Ⅱ类 □；Ⅲ类 □；Ⅳ类 □；Ⅴ类 □</w:t>
            </w:r>
          </w:p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近岸海域：第一类 □；第二类 □；第三类 □；第四类 □</w:t>
            </w:r>
          </w:p>
          <w:p>
            <w:pPr>
              <w:widowControl w:val="0"/>
              <w:jc w:val="left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  <w:t>规划年评价标准（）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评价时期</w:t>
            </w:r>
          </w:p>
        </w:tc>
        <w:tc>
          <w:tcPr>
            <w:tcW w:w="7718" w:type="dxa"/>
            <w:gridSpan w:val="1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丰水期 □；平水期 □；枯水期 □；冰封期 □春季 □；夏季 □；秋季 □；冬季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评价结论</w:t>
            </w:r>
          </w:p>
        </w:tc>
        <w:tc>
          <w:tcPr>
            <w:tcW w:w="5595" w:type="dxa"/>
            <w:gridSpan w:val="8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水环境功能区或水功能区、近岸海域环境功能区水质达标状况 □：达标 □；不达标 □</w:t>
            </w:r>
          </w:p>
          <w:p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水环境控制单元或断面水质达标状况 □：达标 □；不达标 □</w:t>
            </w:r>
          </w:p>
          <w:p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水环境保护目标质量状况 □：达标 □；不达标 □</w:t>
            </w:r>
          </w:p>
          <w:p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对照断面、控制断面等代表性断面的水质状况 □：达标 □；不达标 □</w:t>
            </w:r>
          </w:p>
          <w:p>
            <w:pPr>
              <w:widowControl w:val="0"/>
              <w:jc w:val="both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  <w:t>底泥污染评价 □</w:t>
            </w:r>
          </w:p>
          <w:p>
            <w:pPr>
              <w:widowControl w:val="0"/>
              <w:jc w:val="both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  <w:t>水资源与开发利用程度及其水文情势评价 □</w:t>
            </w:r>
          </w:p>
          <w:p>
            <w:pPr>
              <w:widowControl w:val="0"/>
              <w:jc w:val="both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  <w:t>水环境质量回顾评价 □</w:t>
            </w:r>
          </w:p>
          <w:p>
            <w:pPr>
              <w:widowControl w:val="0"/>
              <w:jc w:val="both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  <w:t>流域（区域）水资源（包括水能资源）与开发利用总体状况、生态流量管理要求与现状满足程度、建设项目占用水域空间的水流状况与河湖演变状况 □</w:t>
            </w:r>
          </w:p>
        </w:tc>
        <w:tc>
          <w:tcPr>
            <w:tcW w:w="2123" w:type="dxa"/>
            <w:gridSpan w:val="2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达标区 □</w:t>
            </w:r>
          </w:p>
          <w:p>
            <w:pPr>
              <w:widowControl w:val="0"/>
              <w:jc w:val="left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  <w:t>不达标区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restart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影响预测</w:t>
            </w:r>
          </w:p>
        </w:tc>
        <w:tc>
          <w:tcPr>
            <w:tcW w:w="948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预测范围</w:t>
            </w:r>
          </w:p>
        </w:tc>
        <w:tc>
          <w:tcPr>
            <w:tcW w:w="7718" w:type="dxa"/>
            <w:gridSpan w:val="1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河流：长度（）km；湖库、河口及近岸海域：面积（）km</w:t>
            </w: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预测因子</w:t>
            </w:r>
          </w:p>
        </w:tc>
        <w:tc>
          <w:tcPr>
            <w:tcW w:w="7718" w:type="dxa"/>
            <w:gridSpan w:val="10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预测时期</w:t>
            </w:r>
          </w:p>
        </w:tc>
        <w:tc>
          <w:tcPr>
            <w:tcW w:w="7718" w:type="dxa"/>
            <w:gridSpan w:val="1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丰水期 □；平水期 □；枯水期 □；冰封期 □</w:t>
            </w:r>
          </w:p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春季 □；夏季 □；秋季 □；冬季 □设计水文条件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预测情景</w:t>
            </w:r>
          </w:p>
        </w:tc>
        <w:tc>
          <w:tcPr>
            <w:tcW w:w="7718" w:type="dxa"/>
            <w:gridSpan w:val="1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建设期 □；生产运行期 □；服务期满后 □正常工况 □；非正常工况 □；</w:t>
            </w:r>
          </w:p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污染控制和减缓措施方案 □；区（流）域环境质量改善目标要求情景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预测方法</w:t>
            </w:r>
          </w:p>
        </w:tc>
        <w:tc>
          <w:tcPr>
            <w:tcW w:w="7718" w:type="dxa"/>
            <w:gridSpan w:val="1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数值解 □：解析解 □；其他 □</w:t>
            </w:r>
          </w:p>
          <w:p>
            <w:pPr>
              <w:widowControl w:val="0"/>
              <w:jc w:val="left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  <w:t>导则推荐模式 □：其他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restart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影响评价</w:t>
            </w:r>
          </w:p>
        </w:tc>
        <w:tc>
          <w:tcPr>
            <w:tcW w:w="948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水污染控制和水环境影响减缓措施有效性评价</w:t>
            </w:r>
          </w:p>
        </w:tc>
        <w:tc>
          <w:tcPr>
            <w:tcW w:w="7718" w:type="dxa"/>
            <w:gridSpan w:val="1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区（流）域水环境质量改善目标 □；替代削减源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水环境影响评价</w:t>
            </w:r>
          </w:p>
        </w:tc>
        <w:tc>
          <w:tcPr>
            <w:tcW w:w="7718" w:type="dxa"/>
            <w:gridSpan w:val="1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排放口混合区外满足水环境管理要求 □</w:t>
            </w:r>
          </w:p>
          <w:p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水环境功能区或水功能区、近岸海域环境功能区水质达标 □</w:t>
            </w:r>
          </w:p>
          <w:p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满足水环境保护目标水域水环境质量要求 □</w:t>
            </w:r>
          </w:p>
          <w:p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水环境控制单元或断面水质达标 □</w:t>
            </w:r>
          </w:p>
          <w:p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满足重点水污染物排放总量控制指标要求，重点行业建设项目，主要污染物排放满足等量或减量替代要求 □</w:t>
            </w:r>
          </w:p>
          <w:p>
            <w:pPr>
              <w:widowControl w:val="0"/>
              <w:jc w:val="both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  <w:t>满足区（流）域水环境质量改善目标要求 □</w:t>
            </w:r>
          </w:p>
          <w:p>
            <w:pPr>
              <w:widowControl w:val="0"/>
              <w:jc w:val="both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  <w:t>水文要素影响型建设项目同时应包括水文情势变化评价、主要水文特征值影响评价、生态流量符合性评价 □</w:t>
            </w:r>
          </w:p>
          <w:p>
            <w:pPr>
              <w:widowControl w:val="0"/>
              <w:jc w:val="both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  <w:t>对于新设或调整入河（湖库、近岸海域）排放口的建设项目，应包括排放口设置的环境合理性评价 □</w:t>
            </w:r>
          </w:p>
          <w:p>
            <w:pPr>
              <w:widowControl w:val="0"/>
              <w:jc w:val="both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  <w:t>满足生态保护红线、水环境质量底线、资源利用上线和环境准入清单管理要求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Merge w:val="restart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污染源排放量核算</w:t>
            </w:r>
          </w:p>
        </w:tc>
        <w:tc>
          <w:tcPr>
            <w:tcW w:w="2343" w:type="dxa"/>
            <w:gridSpan w:val="3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污染物名称</w:t>
            </w:r>
          </w:p>
        </w:tc>
        <w:tc>
          <w:tcPr>
            <w:tcW w:w="3085" w:type="dxa"/>
            <w:gridSpan w:val="4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排放量/（t/a）</w:t>
            </w:r>
          </w:p>
        </w:tc>
        <w:tc>
          <w:tcPr>
            <w:tcW w:w="2290" w:type="dxa"/>
            <w:gridSpan w:val="3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排放浓度/（mg/L）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2343" w:type="dxa"/>
            <w:gridSpan w:val="3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3085" w:type="dxa"/>
            <w:gridSpan w:val="4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2290" w:type="dxa"/>
            <w:gridSpan w:val="3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Merge w:val="restart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替代源排放情况</w:t>
            </w:r>
          </w:p>
        </w:tc>
        <w:tc>
          <w:tcPr>
            <w:tcW w:w="2343" w:type="dxa"/>
            <w:gridSpan w:val="3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污染源名称</w:t>
            </w:r>
          </w:p>
        </w:tc>
        <w:tc>
          <w:tcPr>
            <w:tcW w:w="1699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排污许可证编号</w:t>
            </w:r>
          </w:p>
        </w:tc>
        <w:tc>
          <w:tcPr>
            <w:tcW w:w="1386" w:type="dxa"/>
            <w:gridSpan w:val="3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污染物名称</w:t>
            </w:r>
          </w:p>
        </w:tc>
        <w:tc>
          <w:tcPr>
            <w:tcW w:w="1138" w:type="dxa"/>
            <w:gridSpan w:val="2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排放量/（t/a）</w:t>
            </w:r>
          </w:p>
        </w:tc>
        <w:tc>
          <w:tcPr>
            <w:tcW w:w="1152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排放浓度/（mg/L）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2343" w:type="dxa"/>
            <w:gridSpan w:val="3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699" w:type="dxa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386" w:type="dxa"/>
            <w:gridSpan w:val="3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138" w:type="dxa"/>
            <w:gridSpan w:val="2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152" w:type="dxa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生态流量确定</w:t>
            </w:r>
          </w:p>
        </w:tc>
        <w:tc>
          <w:tcPr>
            <w:tcW w:w="7718" w:type="dxa"/>
            <w:gridSpan w:val="1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生态流量：一般水期（）m</w:t>
            </w: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  <w:vertAlign w:val="superscript"/>
              </w:rPr>
              <w:t>3</w:t>
            </w: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/s；鱼类繁殖期（）m</w:t>
            </w: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  <w:vertAlign w:val="superscript"/>
              </w:rPr>
              <w:t>3</w:t>
            </w: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/s；其他（）m</w:t>
            </w: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  <w:vertAlign w:val="superscript"/>
              </w:rPr>
              <w:t>3</w:t>
            </w: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/s</w:t>
            </w:r>
          </w:p>
          <w:p>
            <w:pPr>
              <w:widowControl w:val="0"/>
              <w:jc w:val="left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  <w:t>生态水位：一般水期（）m；鱼类繁殖期（）m；其他（）m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restart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防治措施</w:t>
            </w:r>
          </w:p>
        </w:tc>
        <w:tc>
          <w:tcPr>
            <w:tcW w:w="948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环保措施</w:t>
            </w:r>
          </w:p>
        </w:tc>
        <w:tc>
          <w:tcPr>
            <w:tcW w:w="7718" w:type="dxa"/>
            <w:gridSpan w:val="1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污水处理设施 □；水文减缓设施 □；生态流量保障设施 □；区域削减 □；</w:t>
            </w:r>
          </w:p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依托其他工程措施 □；其他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Merge w:val="restart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监测计划</w:t>
            </w:r>
          </w:p>
        </w:tc>
        <w:tc>
          <w:tcPr>
            <w:tcW w:w="1199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/</w:t>
            </w:r>
          </w:p>
        </w:tc>
        <w:tc>
          <w:tcPr>
            <w:tcW w:w="3116" w:type="dxa"/>
            <w:gridSpan w:val="5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环境质量</w:t>
            </w:r>
          </w:p>
        </w:tc>
        <w:tc>
          <w:tcPr>
            <w:tcW w:w="3403" w:type="dxa"/>
            <w:gridSpan w:val="4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污染源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Merge w:val="continue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99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监测方式</w:t>
            </w:r>
          </w:p>
        </w:tc>
        <w:tc>
          <w:tcPr>
            <w:tcW w:w="3116" w:type="dxa"/>
            <w:gridSpan w:val="5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手动 □；自动 □；无监测</w:t>
            </w:r>
            <w:r>
              <w:rPr>
                <w:kern w:val="0"/>
                <w:sz w:val="18"/>
                <w:szCs w:val="18"/>
              </w:rPr>
              <w:sym w:font="Wingdings 2" w:char="0052"/>
            </w:r>
          </w:p>
        </w:tc>
        <w:tc>
          <w:tcPr>
            <w:tcW w:w="3403" w:type="dxa"/>
            <w:gridSpan w:val="4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手动 □；自动 □；无监测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Merge w:val="continue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99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监测点位</w:t>
            </w:r>
          </w:p>
        </w:tc>
        <w:tc>
          <w:tcPr>
            <w:tcW w:w="3116" w:type="dxa"/>
            <w:gridSpan w:val="5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3" w:type="dxa"/>
            <w:gridSpan w:val="4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Merge w:val="continue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99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监测因子</w:t>
            </w:r>
          </w:p>
        </w:tc>
        <w:tc>
          <w:tcPr>
            <w:tcW w:w="3116" w:type="dxa"/>
            <w:gridSpan w:val="5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3" w:type="dxa"/>
            <w:gridSpan w:val="4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污染物排放清单</w:t>
            </w:r>
          </w:p>
        </w:tc>
        <w:tc>
          <w:tcPr>
            <w:tcW w:w="7718" w:type="dxa"/>
            <w:gridSpan w:val="1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8" w:type="dxa"/>
            <w:gridSpan w:val="2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评价结论</w:t>
            </w:r>
          </w:p>
        </w:tc>
        <w:tc>
          <w:tcPr>
            <w:tcW w:w="7718" w:type="dxa"/>
            <w:gridSpan w:val="1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 xml:space="preserve">可以接受 </w:t>
            </w: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sym w:font="Wingdings 2" w:char="0052"/>
            </w: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；不可以接受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96" w:type="dxa"/>
            <w:gridSpan w:val="12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注：“ □”为勾选项，可√；“（）”为内容填写项；“备注”为其他补充内容。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30AFD"/>
    <w:rsid w:val="00130AFD"/>
    <w:rsid w:val="001500AB"/>
    <w:rsid w:val="001D31AD"/>
    <w:rsid w:val="002930FA"/>
    <w:rsid w:val="00511125"/>
    <w:rsid w:val="00624B82"/>
    <w:rsid w:val="00761B76"/>
    <w:rsid w:val="007D625F"/>
    <w:rsid w:val="00AD7538"/>
    <w:rsid w:val="00FB3028"/>
    <w:rsid w:val="00FB5686"/>
    <w:rsid w:val="1F910F28"/>
    <w:rsid w:val="24287C62"/>
    <w:rsid w:val="74135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330</Words>
  <Characters>1884</Characters>
  <Lines>15</Lines>
  <Paragraphs>4</Paragraphs>
  <TotalTime>0</TotalTime>
  <ScaleCrop>false</ScaleCrop>
  <LinksUpToDate>false</LinksUpToDate>
  <CharactersWithSpaces>2210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2019-02-26T06:45:00Z</dcterms:created>
  <dc:creator>lin yize</dc:creator>
  <cp:lastModifiedBy>Administrator</cp:lastModifiedBy>
  <dcterms:modified xsi:type="dcterms:W3CDTF">2019-10-14T07:18:30Z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