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</w:pPr>
      <w:r>
        <w:rPr>
          <w:rFonts w:hint="eastAsia"/>
        </w:rPr>
        <w:t>附表</w:t>
      </w:r>
      <w:r>
        <w:t xml:space="preserve">  </w:t>
      </w:r>
      <w:r>
        <w:rPr>
          <w:rFonts w:hint="eastAsia"/>
        </w:rPr>
        <w:t>建设项目大气环境影响评价自查表</w:t>
      </w:r>
    </w:p>
    <w:tbl>
      <w:tblPr>
        <w:tblStyle w:val="8"/>
        <w:tblW w:w="8336" w:type="dxa"/>
        <w:tblInd w:w="-15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04"/>
        <w:gridCol w:w="1555"/>
        <w:gridCol w:w="899"/>
        <w:gridCol w:w="346"/>
        <w:gridCol w:w="105"/>
        <w:gridCol w:w="241"/>
        <w:gridCol w:w="387"/>
        <w:gridCol w:w="353"/>
        <w:gridCol w:w="244"/>
        <w:gridCol w:w="204"/>
        <w:gridCol w:w="261"/>
        <w:gridCol w:w="596"/>
        <w:gridCol w:w="167"/>
        <w:gridCol w:w="587"/>
        <w:gridCol w:w="157"/>
        <w:gridCol w:w="217"/>
        <w:gridCol w:w="448"/>
        <w:gridCol w:w="665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2459" w:type="dxa"/>
            <w:gridSpan w:val="2"/>
            <w:tcBorders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工作内容</w:t>
            </w:r>
          </w:p>
        </w:tc>
        <w:tc>
          <w:tcPr>
            <w:tcW w:w="5877" w:type="dxa"/>
            <w:gridSpan w:val="16"/>
            <w:tcBorders>
              <w:left w:val="single" w:color="000000" w:sz="6" w:space="0"/>
              <w:bottom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自查项目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904" w:type="dxa"/>
            <w:vMerge w:val="restart"/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评价等级与范围</w:t>
            </w:r>
          </w:p>
        </w:tc>
        <w:tc>
          <w:tcPr>
            <w:tcW w:w="1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评价等级</w:t>
            </w:r>
          </w:p>
        </w:tc>
        <w:tc>
          <w:tcPr>
            <w:tcW w:w="2331" w:type="dxa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一级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  <w:tc>
          <w:tcPr>
            <w:tcW w:w="2059" w:type="dxa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二级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  <w:tc>
          <w:tcPr>
            <w:tcW w:w="1487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三级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52"/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" w:hRule="atLeast"/>
        </w:trPr>
        <w:tc>
          <w:tcPr>
            <w:tcW w:w="904" w:type="dxa"/>
            <w:vMerge w:val="continue"/>
            <w:tcBorders>
              <w:top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评价范围</w:t>
            </w:r>
          </w:p>
        </w:tc>
        <w:tc>
          <w:tcPr>
            <w:tcW w:w="2331" w:type="dxa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边长=50km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  <w:tc>
          <w:tcPr>
            <w:tcW w:w="2059" w:type="dxa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边长 5～50km□</w:t>
            </w:r>
          </w:p>
        </w:tc>
        <w:tc>
          <w:tcPr>
            <w:tcW w:w="1487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边长=5 km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52"/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1" w:hRule="atLeast"/>
        </w:trPr>
        <w:tc>
          <w:tcPr>
            <w:tcW w:w="904" w:type="dxa"/>
            <w:vMerge w:val="restart"/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评价因子</w:t>
            </w:r>
          </w:p>
        </w:tc>
        <w:tc>
          <w:tcPr>
            <w:tcW w:w="1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SO2 +NOx 排放量</w:t>
            </w:r>
          </w:p>
        </w:tc>
        <w:tc>
          <w:tcPr>
            <w:tcW w:w="124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≥ 2000t/a□</w:t>
            </w:r>
          </w:p>
        </w:tc>
        <w:tc>
          <w:tcPr>
            <w:tcW w:w="3145" w:type="dxa"/>
            <w:gridSpan w:val="10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 ~ 2000t/a□</w:t>
            </w:r>
          </w:p>
        </w:tc>
        <w:tc>
          <w:tcPr>
            <w:tcW w:w="1487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＜500 t/a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52"/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4" w:hRule="atLeast"/>
        </w:trPr>
        <w:tc>
          <w:tcPr>
            <w:tcW w:w="904" w:type="dxa"/>
            <w:vMerge w:val="continue"/>
            <w:tcBorders>
              <w:top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评价因子</w:t>
            </w:r>
          </w:p>
        </w:tc>
        <w:tc>
          <w:tcPr>
            <w:tcW w:w="3040" w:type="dxa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基本污染物 (</w:t>
            </w:r>
            <w:r>
              <w:rPr>
                <w:rFonts w:hint="eastAsia" w:ascii="Times New Roman" w:hAnsi="Times New Roman" w:cs="Times New Roman"/>
                <w:sz w:val="18"/>
                <w:szCs w:val="18"/>
              </w:rPr>
              <w:t>颗粒物</w:t>
            </w:r>
            <w:r>
              <w:rPr>
                <w:rFonts w:hint="eastAsia" w:ascii="Times New Roman" w:hAnsi="Times New Roman" w:cs="Times New Roman"/>
                <w:sz w:val="18"/>
                <w:szCs w:val="18"/>
                <w:lang w:eastAsia="zh-CN"/>
              </w:rPr>
              <w:t>、硫化氢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其他污染物 (</w:t>
            </w:r>
            <w:r>
              <w:rPr>
                <w:rFonts w:hint="eastAsia" w:ascii="Times New Roman" w:hAnsi="Times New Roman" w:cs="Times New Roman"/>
                <w:sz w:val="18"/>
                <w:szCs w:val="18"/>
              </w:rPr>
              <w:t xml:space="preserve">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837" w:type="dxa"/>
            <w:gridSpan w:val="7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包括二次PM2.5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不包括二次PM2.5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52"/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1" w:hRule="atLeast"/>
        </w:trPr>
        <w:tc>
          <w:tcPr>
            <w:tcW w:w="904" w:type="dxa"/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评价标准</w:t>
            </w:r>
          </w:p>
        </w:tc>
        <w:tc>
          <w:tcPr>
            <w:tcW w:w="1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评价标准</w:t>
            </w:r>
          </w:p>
        </w:tc>
        <w:tc>
          <w:tcPr>
            <w:tcW w:w="1978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国家标准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52"/>
            </w:r>
          </w:p>
        </w:tc>
        <w:tc>
          <w:tcPr>
            <w:tcW w:w="1062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地方标准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52"/>
            </w:r>
          </w:p>
        </w:tc>
        <w:tc>
          <w:tcPr>
            <w:tcW w:w="1724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附录 D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  <w:tc>
          <w:tcPr>
            <w:tcW w:w="1113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其他标准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904" w:type="dxa"/>
            <w:vMerge w:val="restart"/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现状评价</w:t>
            </w:r>
          </w:p>
        </w:tc>
        <w:tc>
          <w:tcPr>
            <w:tcW w:w="1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环境功能区</w:t>
            </w:r>
          </w:p>
        </w:tc>
        <w:tc>
          <w:tcPr>
            <w:tcW w:w="2331" w:type="dxa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一类区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  <w:tc>
          <w:tcPr>
            <w:tcW w:w="2059" w:type="dxa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二类区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52"/>
            </w:r>
          </w:p>
        </w:tc>
        <w:tc>
          <w:tcPr>
            <w:tcW w:w="1487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一类区和二类区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" w:hRule="atLeast"/>
        </w:trPr>
        <w:tc>
          <w:tcPr>
            <w:tcW w:w="904" w:type="dxa"/>
            <w:vMerge w:val="continue"/>
            <w:tcBorders>
              <w:top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评价基准年</w:t>
            </w:r>
          </w:p>
        </w:tc>
        <w:tc>
          <w:tcPr>
            <w:tcW w:w="5877" w:type="dxa"/>
            <w:gridSpan w:val="16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（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201</w:t>
            </w: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9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）年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904" w:type="dxa"/>
            <w:vMerge w:val="continue"/>
            <w:tcBorders>
              <w:top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环境空气质量</w:t>
            </w:r>
          </w:p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现状调查数据来源</w:t>
            </w:r>
          </w:p>
        </w:tc>
        <w:tc>
          <w:tcPr>
            <w:tcW w:w="2331" w:type="dxa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长期例行监测数据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52"/>
            </w:r>
          </w:p>
        </w:tc>
        <w:tc>
          <w:tcPr>
            <w:tcW w:w="2059" w:type="dxa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主管部门发布的数据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  <w:tc>
          <w:tcPr>
            <w:tcW w:w="1487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现状补充监测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904" w:type="dxa"/>
            <w:vMerge w:val="continue"/>
            <w:tcBorders>
              <w:top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现状评价</w:t>
            </w:r>
          </w:p>
        </w:tc>
        <w:tc>
          <w:tcPr>
            <w:tcW w:w="3040" w:type="dxa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达标区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  <w:tc>
          <w:tcPr>
            <w:tcW w:w="2837" w:type="dxa"/>
            <w:gridSpan w:val="7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不达标区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52"/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9" w:hRule="atLeast"/>
        </w:trPr>
        <w:tc>
          <w:tcPr>
            <w:tcW w:w="904" w:type="dxa"/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污染源调查</w:t>
            </w:r>
          </w:p>
        </w:tc>
        <w:tc>
          <w:tcPr>
            <w:tcW w:w="1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调查内容</w:t>
            </w:r>
          </w:p>
        </w:tc>
        <w:tc>
          <w:tcPr>
            <w:tcW w:w="1978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本项目正常排放源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52"/>
            </w:r>
          </w:p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本项目非正常排放源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现有污染源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  <w:tc>
          <w:tcPr>
            <w:tcW w:w="1062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拟替代的污染源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  <w:tc>
          <w:tcPr>
            <w:tcW w:w="1724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其他在建、拟建项目污染源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  <w:tc>
          <w:tcPr>
            <w:tcW w:w="1113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区域污染源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904" w:type="dxa"/>
            <w:vMerge w:val="restart"/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大气环境影响预测与 评价</w:t>
            </w:r>
          </w:p>
        </w:tc>
        <w:tc>
          <w:tcPr>
            <w:tcW w:w="1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预测模型</w:t>
            </w:r>
          </w:p>
        </w:tc>
        <w:tc>
          <w:tcPr>
            <w:tcW w:w="8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AERMOD</w:t>
            </w:r>
          </w:p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  <w:tc>
          <w:tcPr>
            <w:tcW w:w="692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ADMS</w:t>
            </w:r>
          </w:p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  <w:tc>
          <w:tcPr>
            <w:tcW w:w="984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AUSTAL</w:t>
            </w:r>
          </w:p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2000</w:t>
            </w:r>
          </w:p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  <w:tc>
          <w:tcPr>
            <w:tcW w:w="1061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EDMS/AEDT</w:t>
            </w:r>
          </w:p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  <w:tc>
          <w:tcPr>
            <w:tcW w:w="754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CALPUFF</w:t>
            </w:r>
          </w:p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  <w:tc>
          <w:tcPr>
            <w:tcW w:w="822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网格模型</w:t>
            </w:r>
          </w:p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  <w:tc>
          <w:tcPr>
            <w:tcW w:w="6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其他</w:t>
            </w:r>
          </w:p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904" w:type="dxa"/>
            <w:vMerge w:val="continue"/>
            <w:tcBorders>
              <w:top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预测范围</w:t>
            </w:r>
          </w:p>
        </w:tc>
        <w:tc>
          <w:tcPr>
            <w:tcW w:w="1591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边长≥ 50km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  <w:tc>
          <w:tcPr>
            <w:tcW w:w="2799" w:type="dxa"/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边长 5～50km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  <w:tc>
          <w:tcPr>
            <w:tcW w:w="1487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边长 = 5 km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904" w:type="dxa"/>
            <w:vMerge w:val="continue"/>
            <w:tcBorders>
              <w:top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预测因子</w:t>
            </w:r>
          </w:p>
        </w:tc>
        <w:tc>
          <w:tcPr>
            <w:tcW w:w="3040" w:type="dxa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预测因子(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 xml:space="preserve">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837" w:type="dxa"/>
            <w:gridSpan w:val="7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包括二次PM2.5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不包括二次PM2.5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904" w:type="dxa"/>
            <w:vMerge w:val="continue"/>
            <w:tcBorders>
              <w:top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正常排放短期浓度贡献值</w:t>
            </w:r>
          </w:p>
        </w:tc>
        <w:tc>
          <w:tcPr>
            <w:tcW w:w="3040" w:type="dxa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本项目最大占标率≤100%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  <w:tc>
          <w:tcPr>
            <w:tcW w:w="2837" w:type="dxa"/>
            <w:gridSpan w:val="7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本项目最大占标率＞100%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904" w:type="dxa"/>
            <w:vMerge w:val="continue"/>
            <w:tcBorders>
              <w:top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5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正常排放年均浓度贡献值</w:t>
            </w:r>
          </w:p>
        </w:tc>
        <w:tc>
          <w:tcPr>
            <w:tcW w:w="8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一类区</w:t>
            </w:r>
          </w:p>
        </w:tc>
        <w:tc>
          <w:tcPr>
            <w:tcW w:w="2141" w:type="dxa"/>
            <w:gridSpan w:val="8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本项目最大占标率≤10%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  <w:tc>
          <w:tcPr>
            <w:tcW w:w="2837" w:type="dxa"/>
            <w:gridSpan w:val="7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本项目最大标率＞10%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" w:hRule="atLeast"/>
        </w:trPr>
        <w:tc>
          <w:tcPr>
            <w:tcW w:w="904" w:type="dxa"/>
            <w:vMerge w:val="continue"/>
            <w:tcBorders>
              <w:top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5" w:type="dxa"/>
            <w:vMerge w:val="continue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二类区</w:t>
            </w:r>
          </w:p>
        </w:tc>
        <w:tc>
          <w:tcPr>
            <w:tcW w:w="2141" w:type="dxa"/>
            <w:gridSpan w:val="8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本项目最大占标率≤30%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  <w:tc>
          <w:tcPr>
            <w:tcW w:w="2837" w:type="dxa"/>
            <w:gridSpan w:val="7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本项目最大标率＞30%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904" w:type="dxa"/>
            <w:vMerge w:val="continue"/>
            <w:tcBorders>
              <w:top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非正常排放 1h 浓</w:t>
            </w:r>
          </w:p>
          <w:p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度贡献值</w:t>
            </w:r>
          </w:p>
        </w:tc>
        <w:tc>
          <w:tcPr>
            <w:tcW w:w="1350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非正常持续时长</w:t>
            </w:r>
          </w:p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（ ）h</w:t>
            </w:r>
          </w:p>
        </w:tc>
        <w:tc>
          <w:tcPr>
            <w:tcW w:w="2453" w:type="dxa"/>
            <w:gridSpan w:val="8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非正常占标率≤100%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  <w:tc>
          <w:tcPr>
            <w:tcW w:w="2074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非正常占标率＞100%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904" w:type="dxa"/>
            <w:vMerge w:val="continue"/>
            <w:tcBorders>
              <w:top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保证率日平均浓度和年平均浓度叠加值</w:t>
            </w:r>
          </w:p>
        </w:tc>
        <w:tc>
          <w:tcPr>
            <w:tcW w:w="2779" w:type="dxa"/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叠加达标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  <w:tc>
          <w:tcPr>
            <w:tcW w:w="3098" w:type="dxa"/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叠加不达标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904" w:type="dxa"/>
            <w:vMerge w:val="continue"/>
            <w:tcBorders>
              <w:top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区域环境质量的整体变化情况</w:t>
            </w:r>
          </w:p>
        </w:tc>
        <w:tc>
          <w:tcPr>
            <w:tcW w:w="2779" w:type="dxa"/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k  ≤-20%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  <w:tc>
          <w:tcPr>
            <w:tcW w:w="3098" w:type="dxa"/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k  ＞-20%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904" w:type="dxa"/>
            <w:vMerge w:val="restart"/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环境监测计划</w:t>
            </w:r>
          </w:p>
        </w:tc>
        <w:tc>
          <w:tcPr>
            <w:tcW w:w="1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污染源监测</w:t>
            </w:r>
          </w:p>
        </w:tc>
        <w:tc>
          <w:tcPr>
            <w:tcW w:w="2575" w:type="dxa"/>
            <w:gridSpan w:val="7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监测因子：（</w:t>
            </w:r>
            <w:r>
              <w:rPr>
                <w:rFonts w:hint="eastAsia" w:ascii="Times New Roman" w:hAnsi="Times New Roman" w:cs="Times New Roman"/>
                <w:sz w:val="18"/>
                <w:szCs w:val="18"/>
              </w:rPr>
              <w:t>颗粒物</w:t>
            </w:r>
            <w:r>
              <w:rPr>
                <w:rFonts w:hint="eastAsia" w:ascii="Times New Roman" w:hAnsi="Times New Roman" w:cs="Times New Roman"/>
                <w:sz w:val="18"/>
                <w:szCs w:val="18"/>
                <w:lang w:eastAsia="zh-CN"/>
              </w:rPr>
              <w:t>、硫化氢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）</w:t>
            </w:r>
          </w:p>
        </w:tc>
        <w:tc>
          <w:tcPr>
            <w:tcW w:w="2189" w:type="dxa"/>
            <w:gridSpan w:val="7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有组织废气监测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52"/>
            </w:r>
          </w:p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无组织废气监测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52"/>
            </w:r>
          </w:p>
        </w:tc>
        <w:tc>
          <w:tcPr>
            <w:tcW w:w="1113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无监测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904" w:type="dxa"/>
            <w:vMerge w:val="continue"/>
            <w:tcBorders>
              <w:top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环境质量监测</w:t>
            </w:r>
          </w:p>
        </w:tc>
        <w:tc>
          <w:tcPr>
            <w:tcW w:w="2575" w:type="dxa"/>
            <w:gridSpan w:val="7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监测因子：（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>
              <w:rPr>
                <w:rFonts w:ascii="Times New Roman" w:hAnsi="Times New Roman" w:cs="Times New Roman"/>
                <w:sz w:val="18"/>
                <w:szCs w:val="18"/>
              </w:rPr>
              <w:t>）</w:t>
            </w:r>
          </w:p>
        </w:tc>
        <w:tc>
          <w:tcPr>
            <w:tcW w:w="2189" w:type="dxa"/>
            <w:gridSpan w:val="7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监测点位数（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>
              <w:rPr>
                <w:rFonts w:ascii="Times New Roman" w:hAnsi="Times New Roman" w:cs="Times New Roman"/>
                <w:sz w:val="18"/>
                <w:szCs w:val="18"/>
              </w:rPr>
              <w:t>）</w:t>
            </w:r>
          </w:p>
        </w:tc>
        <w:tc>
          <w:tcPr>
            <w:tcW w:w="1113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无监测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52"/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" w:hRule="atLeast"/>
        </w:trPr>
        <w:tc>
          <w:tcPr>
            <w:tcW w:w="904" w:type="dxa"/>
            <w:vMerge w:val="restart"/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评价结论</w:t>
            </w:r>
          </w:p>
        </w:tc>
        <w:tc>
          <w:tcPr>
            <w:tcW w:w="1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环境影响</w:t>
            </w:r>
          </w:p>
        </w:tc>
        <w:tc>
          <w:tcPr>
            <w:tcW w:w="5877" w:type="dxa"/>
            <w:gridSpan w:val="16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可以接受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52"/>
            </w:r>
            <w:r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不可以接受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904" w:type="dxa"/>
            <w:vMerge w:val="continue"/>
            <w:tcBorders>
              <w:top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大气环境防护距离</w:t>
            </w:r>
          </w:p>
        </w:tc>
        <w:tc>
          <w:tcPr>
            <w:tcW w:w="5877" w:type="dxa"/>
            <w:gridSpan w:val="16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距（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>
              <w:rPr>
                <w:rFonts w:ascii="Times New Roman" w:hAnsi="Times New Roman" w:cs="Times New Roman"/>
                <w:sz w:val="18"/>
                <w:szCs w:val="18"/>
              </w:rPr>
              <w:t>）厂界最远（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）m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904" w:type="dxa"/>
            <w:vMerge w:val="continue"/>
            <w:tcBorders>
              <w:top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污染源年排放量</w:t>
            </w:r>
          </w:p>
        </w:tc>
        <w:tc>
          <w:tcPr>
            <w:tcW w:w="1591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SO</w:t>
            </w:r>
            <w:r>
              <w:rPr>
                <w:rFonts w:ascii="Times New Roman" w:hAnsi="Times New Roman" w:cs="Times New Roman"/>
                <w:sz w:val="18"/>
                <w:szCs w:val="18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:（</w:t>
            </w: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）t/a</w:t>
            </w:r>
          </w:p>
        </w:tc>
        <w:tc>
          <w:tcPr>
            <w:tcW w:w="1449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NOx:（</w:t>
            </w: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）t/a</w:t>
            </w:r>
          </w:p>
        </w:tc>
        <w:tc>
          <w:tcPr>
            <w:tcW w:w="1507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颗粒物:</w:t>
            </w:r>
          </w:p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（</w:t>
            </w: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0.0087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）t/a</w:t>
            </w:r>
          </w:p>
        </w:tc>
        <w:tc>
          <w:tcPr>
            <w:tcW w:w="1330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VOCs:</w:t>
            </w:r>
          </w:p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（</w:t>
            </w: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）t/a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8336" w:type="dxa"/>
            <w:gridSpan w:val="18"/>
            <w:tcBorders>
              <w:top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注：“□” 为勾选项 ，填“√” ；“（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>
              <w:rPr>
                <w:rFonts w:ascii="Times New Roman" w:hAnsi="Times New Roman" w:cs="Times New Roman"/>
                <w:sz w:val="18"/>
                <w:szCs w:val="18"/>
              </w:rPr>
              <w:t>）”  为内容填写项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D1176"/>
    <w:rsid w:val="00172A27"/>
    <w:rsid w:val="00174CB7"/>
    <w:rsid w:val="0034194F"/>
    <w:rsid w:val="00394694"/>
    <w:rsid w:val="00396C4A"/>
    <w:rsid w:val="003B4CF8"/>
    <w:rsid w:val="00625AFC"/>
    <w:rsid w:val="0068325E"/>
    <w:rsid w:val="006D3D31"/>
    <w:rsid w:val="00AB4635"/>
    <w:rsid w:val="00B02800"/>
    <w:rsid w:val="00B23979"/>
    <w:rsid w:val="00C27C3A"/>
    <w:rsid w:val="00C351B9"/>
    <w:rsid w:val="00C62D8B"/>
    <w:rsid w:val="00DD7A93"/>
    <w:rsid w:val="00DE01B0"/>
    <w:rsid w:val="00DF36F9"/>
    <w:rsid w:val="00DF7A03"/>
    <w:rsid w:val="00E05C20"/>
    <w:rsid w:val="04EF61D8"/>
    <w:rsid w:val="0C130F3C"/>
    <w:rsid w:val="0C793A5E"/>
    <w:rsid w:val="0D3468F9"/>
    <w:rsid w:val="0EFA4765"/>
    <w:rsid w:val="14546478"/>
    <w:rsid w:val="15627B6B"/>
    <w:rsid w:val="1C620658"/>
    <w:rsid w:val="203B1583"/>
    <w:rsid w:val="21A1134F"/>
    <w:rsid w:val="21F421D1"/>
    <w:rsid w:val="28802028"/>
    <w:rsid w:val="2AE16ABB"/>
    <w:rsid w:val="2B24076E"/>
    <w:rsid w:val="2CC851E8"/>
    <w:rsid w:val="2EB42087"/>
    <w:rsid w:val="2F775AC9"/>
    <w:rsid w:val="345022DA"/>
    <w:rsid w:val="345369A3"/>
    <w:rsid w:val="39995182"/>
    <w:rsid w:val="39BB35CA"/>
    <w:rsid w:val="3A9575BE"/>
    <w:rsid w:val="3C7B4C78"/>
    <w:rsid w:val="3E4C2CE2"/>
    <w:rsid w:val="4042101B"/>
    <w:rsid w:val="41FE6F4F"/>
    <w:rsid w:val="435907F9"/>
    <w:rsid w:val="45260E8B"/>
    <w:rsid w:val="460A75CF"/>
    <w:rsid w:val="4B0D5F05"/>
    <w:rsid w:val="4C465949"/>
    <w:rsid w:val="4C8C5BC6"/>
    <w:rsid w:val="4EDC757D"/>
    <w:rsid w:val="4FA64F41"/>
    <w:rsid w:val="52790361"/>
    <w:rsid w:val="53284CC4"/>
    <w:rsid w:val="59917F20"/>
    <w:rsid w:val="5BD006E7"/>
    <w:rsid w:val="5C412355"/>
    <w:rsid w:val="5D9F2ACE"/>
    <w:rsid w:val="6F49314A"/>
    <w:rsid w:val="72845A16"/>
    <w:rsid w:val="740864E0"/>
    <w:rsid w:val="7C84566D"/>
    <w:rsid w:val="7F2E37BC"/>
    <w:rsid w:val="7F5124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zh-CN" w:eastAsia="zh-CN" w:bidi="zh-CN"/>
    </w:rPr>
  </w:style>
  <w:style w:type="paragraph" w:styleId="2">
    <w:name w:val="heading 1"/>
    <w:basedOn w:val="1"/>
    <w:next w:val="1"/>
    <w:qFormat/>
    <w:uiPriority w:val="0"/>
    <w:pPr>
      <w:spacing w:afterLines="50" w:line="710" w:lineRule="exact"/>
      <w:ind w:left="1134"/>
      <w:outlineLvl w:val="0"/>
    </w:pPr>
    <w:rPr>
      <w:rFonts w:ascii="微软雅黑" w:hAnsi="微软雅黑" w:cs="微软雅黑"/>
      <w:b/>
      <w:bCs/>
      <w:sz w:val="44"/>
      <w:szCs w:val="44"/>
    </w:rPr>
  </w:style>
  <w:style w:type="paragraph" w:styleId="3">
    <w:name w:val="heading 2"/>
    <w:basedOn w:val="1"/>
    <w:next w:val="1"/>
    <w:semiHidden/>
    <w:unhideWhenUsed/>
    <w:qFormat/>
    <w:uiPriority w:val="0"/>
    <w:pPr>
      <w:ind w:left="1395" w:hanging="476"/>
      <w:outlineLvl w:val="1"/>
    </w:pPr>
    <w:rPr>
      <w:rFonts w:ascii="微软雅黑" w:hAnsi="微软雅黑" w:cs="微软雅黑"/>
      <w:b/>
      <w:bCs/>
      <w:sz w:val="32"/>
      <w:szCs w:val="32"/>
    </w:rPr>
  </w:style>
  <w:style w:type="paragraph" w:styleId="4">
    <w:name w:val="heading 3"/>
    <w:basedOn w:val="1"/>
    <w:next w:val="1"/>
    <w:semiHidden/>
    <w:unhideWhenUsed/>
    <w:qFormat/>
    <w:uiPriority w:val="0"/>
    <w:pPr>
      <w:ind w:left="1134" w:hanging="668"/>
      <w:outlineLvl w:val="2"/>
    </w:pPr>
    <w:rPr>
      <w:rFonts w:ascii="微软雅黑" w:hAnsi="微软雅黑" w:cs="微软雅黑"/>
      <w:b/>
      <w:bCs/>
      <w:sz w:val="24"/>
      <w:szCs w:val="24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qFormat/>
    <w:uiPriority w:val="1"/>
    <w:rPr>
      <w:sz w:val="21"/>
      <w:szCs w:val="21"/>
    </w:rPr>
  </w:style>
  <w:style w:type="paragraph" w:styleId="6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7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10">
    <w:name w:val="Table Paragraph"/>
    <w:basedOn w:val="1"/>
    <w:qFormat/>
    <w:uiPriority w:val="1"/>
  </w:style>
  <w:style w:type="character" w:customStyle="1" w:styleId="11">
    <w:name w:val="页眉 Char"/>
    <w:basedOn w:val="9"/>
    <w:link w:val="7"/>
    <w:qFormat/>
    <w:uiPriority w:val="0"/>
    <w:rPr>
      <w:rFonts w:ascii="宋体" w:hAnsi="宋体" w:eastAsia="宋体" w:cs="宋体"/>
      <w:sz w:val="18"/>
      <w:szCs w:val="18"/>
      <w:lang w:val="zh-CN" w:bidi="zh-CN"/>
    </w:rPr>
  </w:style>
  <w:style w:type="character" w:customStyle="1" w:styleId="12">
    <w:name w:val="页脚 Char"/>
    <w:basedOn w:val="9"/>
    <w:link w:val="6"/>
    <w:qFormat/>
    <w:uiPriority w:val="0"/>
    <w:rPr>
      <w:rFonts w:ascii="宋体" w:hAnsi="宋体" w:eastAsia="宋体" w:cs="宋体"/>
      <w:sz w:val="18"/>
      <w:szCs w:val="18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Kingsoft</Company>
  <Pages>1</Pages>
  <Words>162</Words>
  <Characters>926</Characters>
  <Lines>7</Lines>
  <Paragraphs>2</Paragraphs>
  <TotalTime>25</TotalTime>
  <ScaleCrop>false</ScaleCrop>
  <LinksUpToDate>false</LinksUpToDate>
  <CharactersWithSpaces>1086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余玺</dc:creator>
  <cp:lastModifiedBy>Administrator</cp:lastModifiedBy>
  <dcterms:modified xsi:type="dcterms:W3CDTF">2020-11-06T03:45:31Z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