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jc w:val="both"/>
        <w:rPr>
          <w:rFonts w:hint="eastAsia" w:ascii="黑体" w:hAnsi="黑体" w:eastAsia="黑体" w:cs="黑体"/>
          <w:sz w:val="52"/>
          <w:szCs w:val="52"/>
          <w:lang w:eastAsia="zh-CN"/>
        </w:rPr>
      </w:pPr>
    </w:p>
    <w:p>
      <w:pPr>
        <w:ind w:left="0" w:leftChars="0" w:firstLine="0" w:firstLineChars="0"/>
        <w:jc w:val="center"/>
        <w:rPr>
          <w:rFonts w:hint="eastAsia" w:ascii="黑体" w:hAnsi="黑体" w:eastAsia="黑体" w:cs="黑体"/>
          <w:sz w:val="52"/>
          <w:szCs w:val="52"/>
          <w:lang w:eastAsia="zh-CN"/>
        </w:rPr>
      </w:pPr>
    </w:p>
    <w:p>
      <w:pPr>
        <w:ind w:left="0" w:leftChars="0" w:firstLine="0" w:firstLineChars="0"/>
        <w:jc w:val="center"/>
        <w:rPr>
          <w:rFonts w:hint="eastAsia"/>
          <w:lang w:eastAsia="zh-CN"/>
        </w:rPr>
      </w:pPr>
      <w:r>
        <w:rPr>
          <w:rFonts w:hint="eastAsia" w:ascii="黑体" w:hAnsi="黑体" w:eastAsia="黑体" w:cs="黑体"/>
          <w:sz w:val="52"/>
          <w:szCs w:val="52"/>
          <w:lang w:eastAsia="zh-CN"/>
        </w:rPr>
        <w:t>建设项目环境影响报告表</w:t>
      </w:r>
    </w:p>
    <w:p>
      <w:pPr>
        <w:ind w:left="0" w:leftChars="0" w:firstLine="0" w:firstLineChars="0"/>
        <w:jc w:val="center"/>
        <w:rPr>
          <w:rFonts w:hint="eastAsia"/>
          <w:sz w:val="28"/>
          <w:szCs w:val="28"/>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pStyle w:val="2"/>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keepNext w:val="0"/>
        <w:keepLines w:val="0"/>
        <w:pageBreakBefore w:val="0"/>
        <w:widowControl w:val="0"/>
        <w:kinsoku/>
        <w:wordWrap/>
        <w:overflowPunct/>
        <w:topLinePunct w:val="0"/>
        <w:autoSpaceDE/>
        <w:autoSpaceDN/>
        <w:bidi w:val="0"/>
        <w:adjustRightInd/>
        <w:snapToGrid/>
        <w:ind w:left="2240" w:leftChars="0" w:hanging="2240" w:hangingChars="800"/>
        <w:jc w:val="left"/>
        <w:textAlignment w:val="auto"/>
        <w:rPr>
          <w:rFonts w:hint="default"/>
          <w:sz w:val="28"/>
          <w:szCs w:val="28"/>
          <w:u w:val="single"/>
          <w:lang w:val="en-US" w:eastAsia="zh-CN"/>
        </w:rPr>
      </w:pPr>
      <w:r>
        <w:rPr>
          <w:rFonts w:hint="eastAsia"/>
          <w:sz w:val="28"/>
          <w:szCs w:val="28"/>
          <w:lang w:eastAsia="zh-CN"/>
        </w:rPr>
        <w:t>项</w:t>
      </w:r>
      <w:r>
        <w:rPr>
          <w:rFonts w:hint="eastAsia"/>
          <w:sz w:val="28"/>
          <w:szCs w:val="28"/>
          <w:lang w:val="en-US" w:eastAsia="zh-CN"/>
        </w:rPr>
        <w:t xml:space="preserve">  </w:t>
      </w:r>
      <w:r>
        <w:rPr>
          <w:rFonts w:hint="eastAsia"/>
          <w:sz w:val="28"/>
          <w:szCs w:val="28"/>
          <w:lang w:eastAsia="zh-CN"/>
        </w:rPr>
        <w:t>目</w:t>
      </w:r>
      <w:r>
        <w:rPr>
          <w:rFonts w:hint="eastAsia"/>
          <w:sz w:val="28"/>
          <w:szCs w:val="28"/>
          <w:lang w:val="en-US" w:eastAsia="zh-CN"/>
        </w:rPr>
        <w:t xml:space="preserve">  </w:t>
      </w:r>
      <w:r>
        <w:rPr>
          <w:rFonts w:hint="eastAsia"/>
          <w:sz w:val="28"/>
          <w:szCs w:val="28"/>
          <w:lang w:eastAsia="zh-CN"/>
        </w:rPr>
        <w:t>名</w:t>
      </w:r>
      <w:r>
        <w:rPr>
          <w:rFonts w:hint="eastAsia"/>
          <w:sz w:val="28"/>
          <w:szCs w:val="28"/>
          <w:lang w:val="en-US" w:eastAsia="zh-CN"/>
        </w:rPr>
        <w:t xml:space="preserve">  </w:t>
      </w:r>
      <w:r>
        <w:rPr>
          <w:rFonts w:hint="eastAsia"/>
          <w:sz w:val="28"/>
          <w:szCs w:val="28"/>
          <w:lang w:eastAsia="zh-CN"/>
        </w:rPr>
        <w:t>称：</w:t>
      </w:r>
      <w:r>
        <w:rPr>
          <w:rFonts w:hint="eastAsia"/>
          <w:sz w:val="28"/>
          <w:szCs w:val="28"/>
          <w:u w:val="single"/>
          <w:lang w:eastAsia="zh-CN"/>
        </w:rPr>
        <w:t>河南高速能源有限责任公司鲁山经营部石人山服务区南加油站项目</w:t>
      </w:r>
      <w:r>
        <w:rPr>
          <w:rFonts w:hint="eastAsia"/>
          <w:sz w:val="28"/>
          <w:szCs w:val="28"/>
          <w:u w:val="single"/>
          <w:lang w:val="en-US" w:eastAsia="zh-CN"/>
        </w:rPr>
        <w:t xml:space="preserve">                              </w:t>
      </w:r>
    </w:p>
    <w:p>
      <w:pPr>
        <w:ind w:left="0" w:leftChars="0" w:firstLine="0" w:firstLineChars="0"/>
        <w:rPr>
          <w:rFonts w:hint="default"/>
          <w:sz w:val="28"/>
          <w:szCs w:val="28"/>
          <w:lang w:val="en-US" w:eastAsia="zh-CN"/>
        </w:rPr>
      </w:pPr>
      <w:r>
        <w:rPr>
          <w:rFonts w:hint="eastAsia"/>
          <w:sz w:val="28"/>
          <w:szCs w:val="28"/>
          <w:lang w:eastAsia="zh-CN"/>
        </w:rPr>
        <w:t>建设单位（盖章）：</w:t>
      </w:r>
      <w:r>
        <w:rPr>
          <w:rFonts w:hint="eastAsia"/>
          <w:sz w:val="28"/>
          <w:szCs w:val="28"/>
          <w:u w:val="single"/>
          <w:lang w:eastAsia="zh-CN"/>
        </w:rPr>
        <w:t>河南高速能源有限责任公司</w:t>
      </w:r>
      <w:r>
        <w:rPr>
          <w:rFonts w:hint="eastAsia"/>
          <w:sz w:val="28"/>
          <w:szCs w:val="28"/>
          <w:u w:val="single"/>
          <w:lang w:val="en-US" w:eastAsia="zh-CN"/>
        </w:rPr>
        <w:t xml:space="preserve">                  </w:t>
      </w: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rPr>
          <w:rFonts w:hint="eastAsia"/>
          <w:lang w:eastAsia="zh-CN"/>
        </w:rPr>
      </w:pPr>
    </w:p>
    <w:p>
      <w:pPr>
        <w:ind w:left="0" w:leftChars="0" w:firstLine="0" w:firstLineChars="0"/>
        <w:jc w:val="center"/>
        <w:rPr>
          <w:rFonts w:hint="default"/>
          <w:sz w:val="28"/>
          <w:szCs w:val="28"/>
          <w:lang w:val="en-US" w:eastAsia="zh-CN"/>
        </w:rPr>
      </w:pPr>
      <w:r>
        <w:rPr>
          <w:rFonts w:hint="eastAsia"/>
          <w:sz w:val="28"/>
          <w:szCs w:val="28"/>
          <w:lang w:eastAsia="zh-CN"/>
        </w:rPr>
        <w:t>编制日期：二〇二〇</w:t>
      </w:r>
      <w:r>
        <w:rPr>
          <w:rFonts w:hint="eastAsia"/>
          <w:sz w:val="28"/>
          <w:szCs w:val="28"/>
          <w:lang w:val="en-US" w:eastAsia="zh-CN"/>
        </w:rPr>
        <w:t>年十二月</w:t>
      </w:r>
    </w:p>
    <w:p>
      <w:pPr>
        <w:ind w:left="0" w:leftChars="0" w:firstLine="0" w:firstLineChars="0"/>
        <w:jc w:val="center"/>
        <w:rPr>
          <w:rFonts w:hint="eastAsia"/>
          <w:sz w:val="28"/>
          <w:szCs w:val="28"/>
          <w:lang w:eastAsia="zh-CN"/>
        </w:rPr>
      </w:pPr>
      <w:r>
        <w:rPr>
          <w:rFonts w:hint="eastAsia"/>
          <w:sz w:val="28"/>
          <w:szCs w:val="28"/>
          <w:lang w:eastAsia="zh-CN"/>
        </w:rPr>
        <w:t>国家生态环境部制</w:t>
      </w:r>
    </w:p>
    <w:p>
      <w:pPr>
        <w:rPr>
          <w:rFonts w:hint="eastAsia"/>
          <w:sz w:val="28"/>
          <w:szCs w:val="28"/>
          <w:lang w:eastAsia="zh-CN"/>
        </w:rPr>
      </w:pPr>
      <w:r>
        <w:rPr>
          <w:rFonts w:hint="eastAsia"/>
          <w:sz w:val="28"/>
          <w:szCs w:val="28"/>
          <w:lang w:eastAsia="zh-CN"/>
        </w:rPr>
        <w:br w:type="page"/>
      </w:r>
    </w:p>
    <w:p>
      <w:pPr>
        <w:keepNext w:val="0"/>
        <w:keepLines w:val="0"/>
        <w:pageBreakBefore w:val="0"/>
        <w:widowControl w:val="0"/>
        <w:kinsoku/>
        <w:wordWrap/>
        <w:overflowPunct/>
        <w:topLinePunct w:val="0"/>
        <w:autoSpaceDE/>
        <w:autoSpaceDN/>
        <w:bidi w:val="0"/>
        <w:adjustRightInd w:val="0"/>
        <w:snapToGrid w:val="0"/>
        <w:spacing w:line="480" w:lineRule="auto"/>
        <w:ind w:left="0" w:right="0" w:rightChars="0"/>
        <w:jc w:val="center"/>
        <w:textAlignment w:val="auto"/>
        <w:rPr>
          <w:b/>
          <w:sz w:val="36"/>
        </w:rPr>
      </w:pPr>
      <w:bookmarkStart w:id="28" w:name="_GoBack"/>
      <w:bookmarkEnd w:id="28"/>
      <w:r>
        <w:rPr>
          <w:b/>
          <w:sz w:val="36"/>
        </w:rPr>
        <w:t>《建设项目环境影响报告表》编制说明</w:t>
      </w:r>
    </w:p>
    <w:p>
      <w:pPr>
        <w:pStyle w:val="16"/>
        <w:keepNext w:val="0"/>
        <w:keepLines w:val="0"/>
        <w:pageBreakBefore w:val="0"/>
        <w:widowControl w:val="0"/>
        <w:kinsoku/>
        <w:wordWrap/>
        <w:overflowPunct/>
        <w:topLinePunct w:val="0"/>
        <w:autoSpaceDE/>
        <w:autoSpaceDN/>
        <w:bidi w:val="0"/>
        <w:adjustRightInd w:val="0"/>
        <w:snapToGrid w:val="0"/>
        <w:ind w:left="0" w:right="0" w:rightChars="0" w:firstLine="560" w:firstLineChars="200"/>
        <w:textAlignment w:val="auto"/>
        <w:rPr>
          <w:sz w:val="28"/>
          <w:szCs w:val="28"/>
        </w:rPr>
      </w:pPr>
      <w:r>
        <w:rPr>
          <w:sz w:val="28"/>
          <w:szCs w:val="28"/>
        </w:rPr>
        <w:t>《建设项目环境影响报告表》由具有从事环境影响评价工作资质的单位编制。</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pPr>
      <w:r>
        <w:t>项目名称----指项目立项批复时的名称，应不超过30个字（两个英文字段作一个汉字）。</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pPr>
      <w:r>
        <w:t>建设地点----指项目所在地详细地址、公路、铁路应填写起止地点。</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pPr>
      <w:r>
        <w:t>行业类别----按国标填写。</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pPr>
      <w:r>
        <w:t>总投资----指项目投资总额。</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pPr>
      <w:r>
        <w:t>主要环境保护目标----指项目区周围一定范围内集中居民住宅、学校、医院、保护文物、风景名胜区、水源地和生态敏感点等，应尽可能给出保护目标、性质、规模和距厂界距离等。</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pPr>
      <w:r>
        <w:t>结论与建议----给出本项目清洁生产、达标排放和总量控制的分析结论，确定污染防治措施的有效性，说明本项目对环境造成的影响，给出建设项目环境可行性的明确结论。同时提出减少环境影响的其它建议。</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pPr>
      <w:r>
        <w:t>预审意见----由行业主管部门填写答复意见，无主管部门项目，可不填。</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right="0" w:rightChars="0"/>
        <w:textAlignment w:val="auto"/>
        <w:rPr>
          <w:sz w:val="24"/>
        </w:rPr>
      </w:pPr>
      <w:r>
        <w:t>审批意见----由负责审批该项目的环境保护行政主管部门批复。</w:t>
      </w:r>
    </w:p>
    <w:p>
      <w:pPr>
        <w:adjustRightInd w:val="0"/>
        <w:snapToGrid w:val="0"/>
        <w:spacing w:line="360" w:lineRule="auto"/>
        <w:rPr>
          <w:sz w:val="24"/>
        </w:rPr>
      </w:pPr>
    </w:p>
    <w:p>
      <w:pPr>
        <w:adjustRightInd w:val="0"/>
        <w:snapToGrid w:val="0"/>
        <w:spacing w:line="360" w:lineRule="auto"/>
        <w:rPr>
          <w:sz w:val="24"/>
        </w:rPr>
      </w:pPr>
    </w:p>
    <w:p>
      <w:pPr>
        <w:rPr>
          <w:sz w:val="24"/>
        </w:rPr>
      </w:pPr>
      <w:r>
        <w:rPr>
          <w:sz w:val="24"/>
        </w:rPr>
        <w:br w:type="page"/>
      </w:r>
    </w:p>
    <w:p>
      <w:pPr>
        <w:pStyle w:val="2"/>
      </w:pPr>
    </w:p>
    <w:p>
      <w:pPr>
        <w:adjustRightInd w:val="0"/>
        <w:snapToGrid w:val="0"/>
        <w:spacing w:line="360" w:lineRule="auto"/>
        <w:rPr>
          <w:sz w:val="24"/>
        </w:rPr>
        <w:sectPr>
          <w:footerReference r:id="rId5" w:type="first"/>
          <w:headerReference r:id="rId3" w:type="default"/>
          <w:footerReference r:id="rId4" w:type="even"/>
          <w:pgSz w:w="11906" w:h="16838"/>
          <w:pgMar w:top="1701" w:right="1588" w:bottom="1985" w:left="1588" w:header="851" w:footer="1134" w:gutter="284"/>
          <w:pgBorders>
            <w:top w:val="none" w:sz="0" w:space="0"/>
            <w:left w:val="none" w:sz="0" w:space="0"/>
            <w:bottom w:val="none" w:sz="0" w:space="0"/>
            <w:right w:val="none" w:sz="0" w:space="0"/>
          </w:pgBorders>
          <w:pgNumType w:start="0"/>
          <w:cols w:space="720" w:num="1"/>
          <w:docGrid w:type="linesAndChars" w:linePitch="312" w:charSpace="0"/>
        </w:sectPr>
      </w:pPr>
    </w:p>
    <w:p>
      <w:pPr>
        <w:spacing w:line="240" w:lineRule="auto"/>
        <w:ind w:firstLine="0" w:firstLineChars="0"/>
        <w:rPr>
          <w:rStyle w:val="28"/>
          <w:rFonts w:ascii="Times New Roman" w:hAnsi="Times New Roman" w:eastAsia="宋体" w:cs="Times New Roman"/>
          <w:sz w:val="30"/>
          <w:szCs w:val="30"/>
        </w:rPr>
      </w:pPr>
      <w:bookmarkStart w:id="0" w:name="_Toc256177428"/>
      <w:bookmarkStart w:id="1" w:name="_Toc168387856"/>
      <w:bookmarkStart w:id="2" w:name="_Toc257241223"/>
      <w:r>
        <w:rPr>
          <w:rStyle w:val="28"/>
          <w:rFonts w:ascii="Times New Roman" w:hAnsi="Times New Roman" w:eastAsia="宋体" w:cs="Times New Roman"/>
          <w:sz w:val="30"/>
          <w:szCs w:val="30"/>
        </w:rPr>
        <w:t>建设项目基本情况</w:t>
      </w:r>
      <w:bookmarkEnd w:id="0"/>
      <w:bookmarkEnd w:id="1"/>
      <w:bookmarkEnd w:id="2"/>
    </w:p>
    <w:tbl>
      <w:tblPr>
        <w:tblStyle w:val="20"/>
        <w:tblW w:w="8459"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5"/>
        <w:gridCol w:w="1719"/>
        <w:gridCol w:w="59"/>
        <w:gridCol w:w="464"/>
        <w:gridCol w:w="735"/>
        <w:gridCol w:w="164"/>
        <w:gridCol w:w="1078"/>
        <w:gridCol w:w="271"/>
        <w:gridCol w:w="1261"/>
        <w:gridCol w:w="21"/>
        <w:gridCol w:w="146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项目名称</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sz w:val="21"/>
                <w:szCs w:val="21"/>
                <w:u w:val="none"/>
                <w:lang w:eastAsia="zh-CN"/>
              </w:rPr>
              <w:t>河南高速能源有限责任公司鲁山经营部石人山服务区南加油站</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建设单位</w:t>
            </w:r>
          </w:p>
        </w:tc>
        <w:tc>
          <w:tcPr>
            <w:tcW w:w="7234" w:type="dxa"/>
            <w:gridSpan w:val="10"/>
            <w:vAlign w:val="center"/>
          </w:tcPr>
          <w:p>
            <w:pPr>
              <w:spacing w:line="240" w:lineRule="auto"/>
              <w:ind w:firstLine="0" w:firstLineChars="0"/>
              <w:jc w:val="center"/>
              <w:rPr>
                <w:rFonts w:ascii="Times New Roman" w:hAnsi="Times New Roman" w:eastAsia="宋体" w:cs="Times New Roman"/>
                <w:sz w:val="21"/>
                <w:szCs w:val="21"/>
              </w:rPr>
            </w:pPr>
            <w:r>
              <w:rPr>
                <w:rFonts w:hint="eastAsia"/>
                <w:sz w:val="21"/>
                <w:szCs w:val="21"/>
                <w:u w:val="none"/>
                <w:lang w:eastAsia="zh-CN"/>
              </w:rPr>
              <w:t>河南高速能源有限责任公司</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法人代表</w:t>
            </w:r>
          </w:p>
        </w:tc>
        <w:tc>
          <w:tcPr>
            <w:tcW w:w="3141" w:type="dxa"/>
            <w:gridSpan w:val="5"/>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c>
          <w:tcPr>
            <w:tcW w:w="1349"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联系人</w:t>
            </w:r>
          </w:p>
        </w:tc>
        <w:tc>
          <w:tcPr>
            <w:tcW w:w="2744" w:type="dxa"/>
            <w:gridSpan w:val="3"/>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张旭光</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通讯地址</w:t>
            </w:r>
          </w:p>
        </w:tc>
        <w:tc>
          <w:tcPr>
            <w:tcW w:w="7234" w:type="dxa"/>
            <w:gridSpan w:val="10"/>
            <w:vAlign w:val="center"/>
          </w:tcPr>
          <w:p>
            <w:pPr>
              <w:spacing w:line="240" w:lineRule="auto"/>
              <w:ind w:firstLine="0" w:firstLineChars="0"/>
              <w:jc w:val="center"/>
              <w:rPr>
                <w:rFonts w:ascii="Times New Roman" w:hAnsi="Times New Roman" w:eastAsia="宋体" w:cs="Times New Roman"/>
                <w:bCs/>
                <w:sz w:val="21"/>
                <w:szCs w:val="21"/>
              </w:rPr>
            </w:pPr>
            <w:r>
              <w:rPr>
                <w:rFonts w:hint="eastAsia" w:cs="Times New Roman"/>
                <w:sz w:val="21"/>
                <w:szCs w:val="21"/>
                <w:lang w:eastAsia="zh-CN"/>
              </w:rPr>
              <w:t>石人山服务区加油真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联系电话</w:t>
            </w:r>
          </w:p>
        </w:tc>
        <w:tc>
          <w:tcPr>
            <w:tcW w:w="2242" w:type="dxa"/>
            <w:gridSpan w:val="3"/>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15136211101</w:t>
            </w:r>
          </w:p>
        </w:tc>
        <w:tc>
          <w:tcPr>
            <w:tcW w:w="899" w:type="dxa"/>
            <w:gridSpan w:val="2"/>
            <w:vAlign w:val="center"/>
          </w:tcPr>
          <w:p>
            <w:pPr>
              <w:spacing w:line="240" w:lineRule="auto"/>
              <w:ind w:left="-48" w:leftChars="-20" w:right="-48" w:rightChars="-20"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传真</w:t>
            </w:r>
          </w:p>
        </w:tc>
        <w:tc>
          <w:tcPr>
            <w:tcW w:w="1349"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1"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邮政编码</w:t>
            </w:r>
          </w:p>
        </w:tc>
        <w:tc>
          <w:tcPr>
            <w:tcW w:w="1483" w:type="dxa"/>
            <w:gridSpan w:val="2"/>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467343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建设地点</w:t>
            </w:r>
          </w:p>
        </w:tc>
        <w:tc>
          <w:tcPr>
            <w:tcW w:w="7234" w:type="dxa"/>
            <w:gridSpan w:val="10"/>
            <w:vAlign w:val="center"/>
          </w:tcPr>
          <w:p>
            <w:pPr>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郑州至石人山高速公路石人山服务区南侧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hint="eastAsia" w:ascii="Times New Roman" w:hAnsi="Times New Roman" w:eastAsia="宋体" w:cs="Times New Roman"/>
                <w:bCs/>
                <w:sz w:val="21"/>
                <w:szCs w:val="21"/>
              </w:rPr>
              <w:t>立项审批</w:t>
            </w:r>
            <w:r>
              <w:rPr>
                <w:rFonts w:ascii="Times New Roman" w:hAnsi="Times New Roman" w:eastAsia="宋体" w:cs="Times New Roman"/>
                <w:bCs/>
                <w:sz w:val="21"/>
                <w:szCs w:val="21"/>
              </w:rPr>
              <w:t>部门</w:t>
            </w:r>
          </w:p>
        </w:tc>
        <w:tc>
          <w:tcPr>
            <w:tcW w:w="2977" w:type="dxa"/>
            <w:gridSpan w:val="4"/>
            <w:vAlign w:val="center"/>
          </w:tcPr>
          <w:p>
            <w:pPr>
              <w:spacing w:line="240" w:lineRule="auto"/>
              <w:ind w:left="-96" w:leftChars="-40" w:right="-43" w:rightChars="-18" w:firstLine="0" w:firstLineChars="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eastAsia" w:ascii="Times New Roman" w:hAnsi="Times New Roman"/>
                <w:color w:val="auto"/>
                <w:sz w:val="21"/>
                <w:szCs w:val="21"/>
              </w:rPr>
              <w:t>鲁山县发展和改革委员会</w:t>
            </w:r>
          </w:p>
        </w:tc>
        <w:tc>
          <w:tcPr>
            <w:tcW w:w="1242" w:type="dxa"/>
            <w:gridSpan w:val="2"/>
            <w:vAlign w:val="center"/>
          </w:tcPr>
          <w:p>
            <w:pPr>
              <w:spacing w:line="240" w:lineRule="auto"/>
              <w:ind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hint="eastAsia" w:ascii="Times New Roman" w:hAnsi="Times New Roman" w:eastAsia="宋体" w:cs="Times New Roman"/>
                <w:bCs/>
                <w:color w:val="000000" w:themeColor="text1"/>
                <w:sz w:val="21"/>
                <w:szCs w:val="21"/>
                <w14:textFill>
                  <w14:solidFill>
                    <w14:schemeClr w14:val="tx1"/>
                  </w14:solidFill>
                </w14:textFill>
              </w:rPr>
              <w:t>审批文号</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olor w:val="auto"/>
                <w:sz w:val="21"/>
                <w:szCs w:val="21"/>
              </w:rPr>
              <w:t>2020-410423-52-03-101107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建设性质</w:t>
            </w:r>
          </w:p>
        </w:tc>
        <w:tc>
          <w:tcPr>
            <w:tcW w:w="2977" w:type="dxa"/>
            <w:gridSpan w:val="4"/>
            <w:vAlign w:val="center"/>
          </w:tcPr>
          <w:p>
            <w:pPr>
              <w:spacing w:line="240" w:lineRule="auto"/>
              <w:ind w:firstLine="0" w:firstLineChars="0"/>
              <w:jc w:val="center"/>
              <w:rPr>
                <w:rFonts w:hint="eastAsia" w:ascii="Times New Roman" w:hAnsi="Times New Roman" w:eastAsia="宋体" w:cs="Times New Roman"/>
                <w:bCs/>
                <w:sz w:val="21"/>
                <w:szCs w:val="21"/>
                <w:lang w:eastAsia="zh-CN"/>
              </w:rPr>
            </w:pPr>
            <w:r>
              <w:rPr>
                <w:rFonts w:ascii="Times New Roman" w:hAnsi="Times New Roman" w:eastAsia="宋体" w:cs="Times New Roman"/>
                <w:sz w:val="21"/>
                <w:szCs w:val="21"/>
              </w:rPr>
              <w:t>新建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改扩建</w:t>
            </w:r>
            <w:r>
              <w:rPr>
                <w:rFonts w:hint="eastAsia" w:cs="Times New Roman"/>
                <w:sz w:val="21"/>
                <w:szCs w:val="21"/>
                <w:lang w:eastAsia="zh-CN"/>
              </w:rPr>
              <w:t>☑</w:t>
            </w:r>
            <w:r>
              <w:rPr>
                <w:rFonts w:hint="eastAsia" w:ascii="Times New Roman" w:hAnsi="Times New Roman" w:eastAsia="宋体" w:cs="Times New Roman"/>
                <w:sz w:val="21"/>
                <w:szCs w:val="21"/>
              </w:rPr>
              <w:t xml:space="preserve"> </w:t>
            </w:r>
            <w:r>
              <w:rPr>
                <w:rFonts w:hint="eastAsia" w:cs="Times New Roman"/>
                <w:sz w:val="21"/>
                <w:szCs w:val="21"/>
                <w:lang w:val="en-US" w:eastAsia="zh-CN"/>
              </w:rPr>
              <w:t xml:space="preserve"> </w:t>
            </w:r>
            <w:r>
              <w:rPr>
                <w:rFonts w:ascii="Times New Roman" w:hAnsi="Times New Roman" w:eastAsia="宋体" w:cs="Times New Roman"/>
                <w:sz w:val="21"/>
                <w:szCs w:val="21"/>
              </w:rPr>
              <w:t>技改</w:t>
            </w:r>
            <w:r>
              <w:rPr>
                <w:rFonts w:hint="eastAsia" w:cs="Times New Roman"/>
                <w:sz w:val="21"/>
                <w:szCs w:val="21"/>
                <w:lang w:eastAsia="zh-CN"/>
              </w:rPr>
              <w:t>□</w:t>
            </w:r>
          </w:p>
        </w:tc>
        <w:tc>
          <w:tcPr>
            <w:tcW w:w="1242" w:type="dxa"/>
            <w:gridSpan w:val="2"/>
            <w:vAlign w:val="center"/>
          </w:tcPr>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行业类别</w:t>
            </w:r>
          </w:p>
          <w:p>
            <w:pPr>
              <w:spacing w:line="240" w:lineRule="auto"/>
              <w:ind w:left="-55" w:leftChars="-23"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及代码</w:t>
            </w:r>
          </w:p>
        </w:tc>
        <w:tc>
          <w:tcPr>
            <w:tcW w:w="3015" w:type="dxa"/>
            <w:gridSpan w:val="4"/>
            <w:vAlign w:val="center"/>
          </w:tcPr>
          <w:p>
            <w:pPr>
              <w:spacing w:line="240" w:lineRule="auto"/>
              <w:ind w:left="-101" w:leftChars="-42" w:right="-125" w:rightChars="-52"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F526</w:t>
            </w:r>
            <w:r>
              <w:rPr>
                <w:rFonts w:hint="eastAsia" w:ascii="Times New Roman" w:hAnsi="Times New Roman" w:eastAsia="宋体" w:cs="Times New Roman"/>
                <w:sz w:val="21"/>
                <w:szCs w:val="21"/>
                <w:lang w:val="en-US" w:eastAsia="zh-CN"/>
              </w:rPr>
              <w:t>5</w:t>
            </w:r>
            <w:r>
              <w:rPr>
                <w:rFonts w:hint="eastAsia" w:ascii="Times New Roman" w:hAnsi="Times New Roman" w:eastAsia="宋体" w:cs="Times New Roman"/>
                <w:sz w:val="21"/>
                <w:szCs w:val="21"/>
              </w:rPr>
              <w:t>机动车燃料零售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占地面积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2977"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4000</w:t>
            </w:r>
          </w:p>
        </w:tc>
        <w:tc>
          <w:tcPr>
            <w:tcW w:w="1242" w:type="dxa"/>
            <w:gridSpan w:val="2"/>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绿化面积</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(平方米)</w:t>
            </w:r>
          </w:p>
        </w:tc>
        <w:tc>
          <w:tcPr>
            <w:tcW w:w="3015" w:type="dxa"/>
            <w:gridSpan w:val="4"/>
            <w:vAlign w:val="center"/>
          </w:tcPr>
          <w:p>
            <w:pPr>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总投资</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19" w:type="dxa"/>
            <w:vAlign w:val="center"/>
          </w:tcPr>
          <w:p>
            <w:pPr>
              <w:spacing w:line="240" w:lineRule="auto"/>
              <w:ind w:firstLine="0" w:firstLineChars="0"/>
              <w:jc w:val="center"/>
              <w:rPr>
                <w:rFonts w:hint="default" w:ascii="Times New Roman" w:hAnsi="Times New Roman" w:eastAsia="宋体" w:cs="Times New Roman"/>
                <w:color w:val="FF0000"/>
                <w:sz w:val="21"/>
                <w:szCs w:val="21"/>
                <w:lang w:val="en-US" w:eastAsia="zh-CN"/>
              </w:rPr>
            </w:pPr>
            <w:r>
              <w:rPr>
                <w:rFonts w:hint="eastAsia" w:cs="Times New Roman"/>
                <w:color w:val="auto"/>
                <w:sz w:val="21"/>
                <w:szCs w:val="21"/>
                <w:lang w:val="en-US" w:eastAsia="zh-CN"/>
              </w:rPr>
              <w:t>120</w:t>
            </w:r>
          </w:p>
        </w:tc>
        <w:tc>
          <w:tcPr>
            <w:tcW w:w="1258" w:type="dxa"/>
            <w:gridSpan w:val="3"/>
            <w:vAlign w:val="center"/>
          </w:tcPr>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其中：环保</w:t>
            </w:r>
          </w:p>
          <w:p>
            <w:pPr>
              <w:spacing w:line="240" w:lineRule="auto"/>
              <w:ind w:left="-82" w:leftChars="-34" w:right="-60" w:rightChars="-25" w:firstLine="0" w:firstLineChars="0"/>
              <w:jc w:val="center"/>
              <w:rPr>
                <w:rFonts w:ascii="Times New Roman" w:hAnsi="Times New Roman" w:eastAsia="宋体" w:cs="Times New Roman"/>
                <w:bCs/>
                <w:color w:val="000000" w:themeColor="text1"/>
                <w:sz w:val="21"/>
                <w:szCs w:val="21"/>
                <w14:textFill>
                  <w14:solidFill>
                    <w14:schemeClr w14:val="tx1"/>
                  </w14:solidFill>
                </w14:textFill>
              </w:rPr>
            </w:pPr>
            <w:r>
              <w:rPr>
                <w:rFonts w:ascii="Times New Roman" w:hAnsi="Times New Roman" w:eastAsia="宋体" w:cs="Times New Roman"/>
                <w:bCs/>
                <w:color w:val="000000" w:themeColor="text1"/>
                <w:sz w:val="21"/>
                <w:szCs w:val="21"/>
                <w14:textFill>
                  <w14:solidFill>
                    <w14:schemeClr w14:val="tx1"/>
                  </w14:solidFill>
                </w14:textFill>
              </w:rPr>
              <w:t>投资(万元)</w:t>
            </w:r>
          </w:p>
        </w:tc>
        <w:tc>
          <w:tcPr>
            <w:tcW w:w="1242" w:type="dxa"/>
            <w:gridSpan w:val="2"/>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63</w:t>
            </w:r>
          </w:p>
        </w:tc>
        <w:tc>
          <w:tcPr>
            <w:tcW w:w="1553" w:type="dxa"/>
            <w:gridSpan w:val="3"/>
            <w:vAlign w:val="center"/>
          </w:tcPr>
          <w:p>
            <w:pPr>
              <w:spacing w:line="240" w:lineRule="auto"/>
              <w:ind w:firstLine="0" w:firstLineChars="0"/>
              <w:jc w:val="center"/>
              <w:rPr>
                <w:rFonts w:ascii="Times New Roman" w:hAnsi="Times New Roman" w:eastAsia="宋体" w:cs="Times New Roman"/>
                <w:bCs/>
                <w:color w:val="auto"/>
                <w:sz w:val="21"/>
                <w:szCs w:val="21"/>
              </w:rPr>
            </w:pPr>
            <w:r>
              <w:rPr>
                <w:rFonts w:ascii="Times New Roman" w:hAnsi="Times New Roman" w:eastAsia="宋体" w:cs="Times New Roman"/>
                <w:bCs/>
                <w:color w:val="auto"/>
                <w:sz w:val="21"/>
                <w:szCs w:val="21"/>
              </w:rPr>
              <w:t>环保投资占总投资比例</w:t>
            </w:r>
          </w:p>
        </w:tc>
        <w:tc>
          <w:tcPr>
            <w:tcW w:w="1462" w:type="dxa"/>
            <w:vAlign w:val="center"/>
          </w:tcPr>
          <w:p>
            <w:pPr>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52.5%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1" w:hRule="atLeast"/>
          <w:jc w:val="center"/>
        </w:trPr>
        <w:tc>
          <w:tcPr>
            <w:tcW w:w="1225" w:type="dxa"/>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评价经费</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(万元)</w:t>
            </w:r>
          </w:p>
        </w:tc>
        <w:tc>
          <w:tcPr>
            <w:tcW w:w="1778" w:type="dxa"/>
            <w:gridSpan w:val="2"/>
            <w:vAlign w:val="center"/>
          </w:tcPr>
          <w:p>
            <w:pPr>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w:t>
            </w:r>
          </w:p>
        </w:tc>
        <w:tc>
          <w:tcPr>
            <w:tcW w:w="1363" w:type="dxa"/>
            <w:gridSpan w:val="3"/>
            <w:vAlign w:val="center"/>
          </w:tcPr>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预期投产</w:t>
            </w:r>
          </w:p>
          <w:p>
            <w:pPr>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日期</w:t>
            </w:r>
          </w:p>
        </w:tc>
        <w:tc>
          <w:tcPr>
            <w:tcW w:w="4093" w:type="dxa"/>
            <w:gridSpan w:val="5"/>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7139" w:hRule="atLeast"/>
          <w:jc w:val="center"/>
        </w:trPr>
        <w:tc>
          <w:tcPr>
            <w:tcW w:w="8459" w:type="dxa"/>
            <w:gridSpan w:val="11"/>
          </w:tcPr>
          <w:p>
            <w:pPr>
              <w:spacing w:line="360" w:lineRule="auto"/>
              <w:ind w:firstLine="0" w:firstLineChars="0"/>
              <w:rPr>
                <w:b/>
                <w:bCs/>
                <w:sz w:val="24"/>
                <w:szCs w:val="24"/>
              </w:rPr>
            </w:pPr>
            <w:r>
              <w:rPr>
                <w:b/>
                <w:bCs/>
                <w:sz w:val="24"/>
                <w:szCs w:val="24"/>
              </w:rPr>
              <w:t>项目内容及规模</w:t>
            </w:r>
          </w:p>
          <w:p>
            <w:pPr>
              <w:spacing w:line="360" w:lineRule="auto"/>
              <w:ind w:firstLine="0" w:firstLineChars="0"/>
              <w:rPr>
                <w:sz w:val="24"/>
                <w:szCs w:val="24"/>
              </w:rPr>
            </w:pPr>
            <w:r>
              <w:rPr>
                <w:b/>
                <w:bCs/>
                <w:sz w:val="24"/>
                <w:szCs w:val="24"/>
              </w:rPr>
              <w:t>1</w:t>
            </w:r>
            <w:r>
              <w:rPr>
                <w:rFonts w:hint="eastAsia"/>
                <w:b/>
                <w:bCs/>
                <w:sz w:val="24"/>
                <w:szCs w:val="24"/>
              </w:rPr>
              <w:t>、</w:t>
            </w:r>
            <w:r>
              <w:rPr>
                <w:b/>
                <w:bCs/>
                <w:sz w:val="24"/>
                <w:szCs w:val="24"/>
              </w:rPr>
              <w:t>项目由来</w:t>
            </w:r>
          </w:p>
          <w:p>
            <w:pPr>
              <w:spacing w:line="360" w:lineRule="auto"/>
              <w:ind w:firstLine="480" w:firstLineChars="200"/>
              <w:rPr>
                <w:rFonts w:hint="eastAsia"/>
                <w:sz w:val="24"/>
                <w:szCs w:val="24"/>
                <w:lang w:val="en-US" w:eastAsia="zh-CN"/>
              </w:rPr>
            </w:pPr>
            <w:r>
              <w:rPr>
                <w:rFonts w:hint="eastAsia"/>
                <w:sz w:val="24"/>
                <w:szCs w:val="24"/>
                <w:lang w:eastAsia="zh-CN"/>
              </w:rPr>
              <w:t>根据《国家公路网规划（</w:t>
            </w:r>
            <w:r>
              <w:rPr>
                <w:rFonts w:hint="eastAsia"/>
                <w:sz w:val="24"/>
                <w:szCs w:val="24"/>
                <w:lang w:val="en-US" w:eastAsia="zh-CN"/>
              </w:rPr>
              <w:t>2013-2030年</w:t>
            </w:r>
            <w:r>
              <w:rPr>
                <w:rFonts w:hint="eastAsia"/>
                <w:sz w:val="24"/>
                <w:szCs w:val="24"/>
                <w:lang w:eastAsia="zh-CN"/>
              </w:rPr>
              <w:t>）》，郑州至石人山高速公路总里程</w:t>
            </w:r>
            <w:r>
              <w:rPr>
                <w:rFonts w:hint="eastAsia"/>
                <w:sz w:val="24"/>
                <w:szCs w:val="24"/>
                <w:lang w:val="en-US" w:eastAsia="zh-CN"/>
              </w:rPr>
              <w:t>183.479km，本工程起于郑州市西南侯寨乡，经郑州市所辖二七区、新密市、新郑市，许昌市所辖长葛市、禹州市，平顶山市所辖郏县、宝丰县、新城区、鲁山县，最终在石人山风景名胜区上汤附近与国道G311线衔接。建设单位为河南省中原高速公路股份有限公司，项目于2005年12月取得了《河南省环境保护局关于《郑州至石人山高速公路环境影响报告书》的批复》（豫监环[2005]197号）。郑州至石人山高速公路的建设，对促进沿线经济发展及产业调整、自然资源开发、特色产业升级都具有重大意义。</w:t>
            </w:r>
          </w:p>
          <w:p>
            <w:pPr>
              <w:bidi w:val="0"/>
              <w:rPr>
                <w:rFonts w:hint="default"/>
                <w:sz w:val="24"/>
                <w:szCs w:val="24"/>
                <w:lang w:val="en-US" w:eastAsia="zh-CN"/>
              </w:rPr>
            </w:pPr>
            <w:r>
              <w:rPr>
                <w:rFonts w:hint="eastAsia"/>
                <w:sz w:val="24"/>
                <w:szCs w:val="24"/>
                <w:lang w:val="en-US" w:eastAsia="zh-CN"/>
              </w:rPr>
              <w:t>根据《郑州至石人山高速公路环境影响报告书》及其环境影响报告书批复（豫监环[2005]197号）中的相关内容，该报告书只明确了服务区内容，未对加油站的具体规模功能及其环境影响做相关评价。</w:t>
            </w:r>
            <w:r>
              <w:rPr>
                <w:rFonts w:hint="eastAsia" w:cs="宋体"/>
                <w:color w:val="auto"/>
                <w:sz w:val="24"/>
                <w:szCs w:val="24"/>
                <w:lang w:val="zh-CN"/>
              </w:rPr>
              <w:t>现项目由于更换双层储罐，并且更换加油罩棚，应鲁山县环保局要求</w:t>
            </w:r>
            <w:r>
              <w:rPr>
                <w:rFonts w:hint="eastAsia"/>
                <w:sz w:val="24"/>
                <w:szCs w:val="24"/>
                <w:lang w:val="en-US" w:eastAsia="zh-CN"/>
              </w:rPr>
              <w:t>对加油站的具体规模功能及其环境影响做相关评价。</w:t>
            </w:r>
            <w:r>
              <w:rPr>
                <w:rFonts w:hint="eastAsia" w:cs="宋体"/>
                <w:color w:val="auto"/>
                <w:sz w:val="24"/>
                <w:szCs w:val="24"/>
                <w:lang w:val="zh-CN"/>
              </w:rPr>
              <w:t>项目</w:t>
            </w:r>
            <w:r>
              <w:rPr>
                <w:rFonts w:hint="eastAsia" w:ascii="Times New Roman" w:hAnsi="Times New Roman" w:cs="宋体"/>
                <w:color w:val="auto"/>
                <w:sz w:val="24"/>
                <w:szCs w:val="24"/>
                <w:lang w:val="zh-CN"/>
              </w:rPr>
              <w:t>同时项目已由</w:t>
            </w:r>
            <w:r>
              <w:rPr>
                <w:rFonts w:hint="eastAsia" w:ascii="Times New Roman" w:hAnsi="Times New Roman"/>
                <w:color w:val="auto"/>
                <w:sz w:val="24"/>
                <w:szCs w:val="24"/>
              </w:rPr>
              <w:t>鲁山县发展和改革委员会</w:t>
            </w:r>
            <w:r>
              <w:rPr>
                <w:rFonts w:hint="eastAsia" w:ascii="Times New Roman" w:hAnsi="Times New Roman" w:cs="宋体"/>
                <w:color w:val="auto"/>
                <w:sz w:val="24"/>
                <w:szCs w:val="24"/>
                <w:lang w:val="zh-CN"/>
              </w:rPr>
              <w:t>备案，项目代码为</w:t>
            </w:r>
            <w:r>
              <w:rPr>
                <w:rFonts w:hint="eastAsia"/>
                <w:color w:val="auto"/>
                <w:sz w:val="24"/>
                <w:szCs w:val="24"/>
                <w:lang w:eastAsia="zh-CN"/>
              </w:rPr>
              <w:t>2020-410423-52-03-101107</w:t>
            </w:r>
            <w:r>
              <w:rPr>
                <w:rFonts w:hint="eastAsia" w:ascii="Times New Roman" w:hAnsi="Times New Roman" w:cs="宋体"/>
                <w:color w:val="auto"/>
                <w:sz w:val="24"/>
                <w:szCs w:val="24"/>
                <w:lang w:val="zh-CN"/>
              </w:rPr>
              <w:t>。</w:t>
            </w:r>
          </w:p>
          <w:p>
            <w:pPr>
              <w:spacing w:line="360" w:lineRule="auto"/>
              <w:ind w:firstLine="600" w:firstLineChars="250"/>
              <w:rPr>
                <w:sz w:val="24"/>
                <w:szCs w:val="24"/>
              </w:rPr>
            </w:pPr>
            <w:r>
              <w:rPr>
                <w:rFonts w:hint="eastAsia"/>
                <w:sz w:val="24"/>
                <w:szCs w:val="24"/>
              </w:rPr>
              <w:t>根据《中华人民共和国环境影响评价法》、《建设项目环境保护管理条例》及《河南省建设项目环境保护条例》等法律、法规的规定及要求，该项目需进行环境影响评价。根据《建设项目环境影响评价分类管理名录》(</w:t>
            </w:r>
            <w:r>
              <w:rPr>
                <w:rFonts w:hint="default"/>
                <w:sz w:val="24"/>
                <w:szCs w:val="24"/>
              </w:rPr>
              <w:t>2017年9月1日</w:t>
            </w:r>
            <w:r>
              <w:rPr>
                <w:rFonts w:hint="eastAsia"/>
                <w:sz w:val="24"/>
                <w:szCs w:val="24"/>
              </w:rPr>
              <w:t>)，本项目属于“四十、社会事业与服务业124、加油、加气站”项目。根据管理名录要求，加油、加气站“</w:t>
            </w:r>
            <w:r>
              <w:rPr>
                <w:rFonts w:hint="eastAsia"/>
                <w:sz w:val="24"/>
                <w:szCs w:val="24"/>
                <w:lang w:eastAsia="zh-CN"/>
              </w:rPr>
              <w:t>改扩建</w:t>
            </w:r>
            <w:r>
              <w:rPr>
                <w:rFonts w:hint="eastAsia"/>
                <w:sz w:val="24"/>
                <w:szCs w:val="24"/>
              </w:rPr>
              <w:t>”，全部编制环境影响报告表。因此，本项目应编制环境影响报告表。</w:t>
            </w:r>
          </w:p>
          <w:p>
            <w:pPr>
              <w:spacing w:line="360" w:lineRule="auto"/>
              <w:ind w:firstLine="480" w:firstLineChars="200"/>
              <w:rPr>
                <w:sz w:val="24"/>
                <w:szCs w:val="24"/>
              </w:rPr>
            </w:pPr>
            <w:r>
              <w:rPr>
                <w:sz w:val="24"/>
                <w:szCs w:val="24"/>
              </w:rPr>
              <w:t>受</w:t>
            </w:r>
            <w:r>
              <w:rPr>
                <w:rFonts w:hint="eastAsia"/>
                <w:sz w:val="24"/>
                <w:szCs w:val="24"/>
                <w:lang w:eastAsia="zh-CN"/>
              </w:rPr>
              <w:t>河南高速能源有限责任公司</w:t>
            </w:r>
            <w:r>
              <w:rPr>
                <w:sz w:val="24"/>
                <w:szCs w:val="24"/>
              </w:rPr>
              <w:t>委托</w:t>
            </w:r>
            <w:r>
              <w:rPr>
                <w:rFonts w:hint="eastAsia"/>
                <w:sz w:val="24"/>
                <w:szCs w:val="24"/>
              </w:rPr>
              <w:t>（委托书见附件一）</w:t>
            </w:r>
            <w:r>
              <w:rPr>
                <w:sz w:val="24"/>
                <w:szCs w:val="24"/>
              </w:rPr>
              <w:t>，我单位承担了本项目的环境影响评价工作。接受委托后，组织有关技术人员，在现场踏勘、资料收集、调查研究和征求当地环保部门</w:t>
            </w:r>
            <w:r>
              <w:rPr>
                <w:rFonts w:hint="eastAsia"/>
                <w:sz w:val="24"/>
                <w:szCs w:val="24"/>
              </w:rPr>
              <w:t>意见</w:t>
            </w:r>
            <w:r>
              <w:rPr>
                <w:sz w:val="24"/>
                <w:szCs w:val="24"/>
              </w:rPr>
              <w:t>的基础上，本着</w:t>
            </w:r>
            <w:r>
              <w:rPr>
                <w:rFonts w:hint="eastAsia"/>
                <w:sz w:val="24"/>
                <w:szCs w:val="24"/>
              </w:rPr>
              <w:t>“</w:t>
            </w:r>
            <w:r>
              <w:rPr>
                <w:sz w:val="24"/>
                <w:szCs w:val="24"/>
              </w:rPr>
              <w:t>科学、公正、客观、严谨</w:t>
            </w:r>
            <w:r>
              <w:rPr>
                <w:rFonts w:hint="eastAsia"/>
                <w:sz w:val="24"/>
                <w:szCs w:val="24"/>
              </w:rPr>
              <w:t>”</w:t>
            </w:r>
            <w:r>
              <w:rPr>
                <w:sz w:val="24"/>
                <w:szCs w:val="24"/>
              </w:rPr>
              <w:t>的态度，并结合本</w:t>
            </w:r>
            <w:r>
              <w:rPr>
                <w:rFonts w:hint="eastAsia"/>
                <w:sz w:val="24"/>
                <w:szCs w:val="24"/>
              </w:rPr>
              <w:t>项目</w:t>
            </w:r>
            <w:r>
              <w:rPr>
                <w:sz w:val="24"/>
                <w:szCs w:val="24"/>
              </w:rPr>
              <w:t>有关资料，编制了本项目的环境影响报告表。</w:t>
            </w:r>
          </w:p>
          <w:p>
            <w:pPr>
              <w:bidi w:val="0"/>
              <w:rPr>
                <w:rFonts w:hint="eastAsia"/>
                <w:sz w:val="24"/>
                <w:szCs w:val="24"/>
                <w:lang w:val="en-US" w:eastAsia="zh-CN"/>
              </w:rPr>
            </w:pPr>
            <w:r>
              <w:rPr>
                <w:rFonts w:hint="eastAsia"/>
                <w:b/>
                <w:bCs/>
                <w:sz w:val="24"/>
                <w:szCs w:val="24"/>
                <w:lang w:val="en-US" w:eastAsia="zh-CN"/>
              </w:rPr>
              <w:t>2、建设场地及内容</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z w:val="24"/>
                <w:szCs w:val="24"/>
              </w:rPr>
            </w:pPr>
            <w:r>
              <w:rPr>
                <w:rFonts w:hint="eastAsia"/>
                <w:sz w:val="24"/>
                <w:szCs w:val="24"/>
                <w:u w:val="none"/>
                <w:lang w:eastAsia="zh-CN"/>
              </w:rPr>
              <w:t>河南高速能源有限责任公司鲁山经营部石人山服务区南加油站</w:t>
            </w:r>
            <w:r>
              <w:rPr>
                <w:rFonts w:hint="eastAsia" w:ascii="Times New Roman" w:hAnsi="Times New Roman" w:cs="Times New Roman"/>
                <w:sz w:val="24"/>
                <w:szCs w:val="24"/>
                <w:lang w:eastAsia="zh-CN"/>
              </w:rPr>
              <w:t>位于</w:t>
            </w:r>
            <w:r>
              <w:rPr>
                <w:rFonts w:hint="eastAsia" w:cs="Times New Roman"/>
                <w:sz w:val="24"/>
                <w:szCs w:val="24"/>
                <w:lang w:eastAsia="zh-CN"/>
              </w:rPr>
              <w:t>郑州至石人山高速公路南侧石人山南服务区内</w:t>
            </w:r>
            <w:r>
              <w:rPr>
                <w:rFonts w:hint="eastAsia" w:ascii="Times New Roman" w:hAnsi="Times New Roman" w:cs="Times New Roman"/>
                <w:sz w:val="24"/>
                <w:szCs w:val="24"/>
                <w:lang w:eastAsia="zh-CN"/>
              </w:rPr>
              <w:t>，企业法人</w:t>
            </w:r>
            <w:r>
              <w:rPr>
                <w:rFonts w:hint="eastAsia" w:cs="Times New Roman"/>
                <w:sz w:val="24"/>
                <w:szCs w:val="24"/>
                <w:lang w:eastAsia="zh-CN"/>
              </w:rPr>
              <w:t>张旭光</w:t>
            </w:r>
            <w:r>
              <w:rPr>
                <w:rFonts w:hint="eastAsia" w:ascii="Times New Roman" w:hAnsi="Times New Roman" w:cs="Times New Roman"/>
                <w:sz w:val="24"/>
                <w:szCs w:val="24"/>
                <w:lang w:eastAsia="zh-CN"/>
              </w:rPr>
              <w:t>。</w:t>
            </w:r>
            <w:r>
              <w:rPr>
                <w:rFonts w:hint="eastAsia" w:ascii="Times New Roman" w:hAnsi="Times New Roman" w:eastAsia="宋体" w:cs="Times New Roman"/>
                <w:sz w:val="24"/>
                <w:szCs w:val="24"/>
              </w:rPr>
              <w:t>项目地理位置图见附图一，项目周边环境示意图见附图二，项目平面布置见附图三，主要构筑物见表</w:t>
            </w:r>
            <w:r>
              <w:rPr>
                <w:rFonts w:hint="default" w:ascii="Times New Roman" w:hAnsi="Times New Roman" w:eastAsia="宋体" w:cs="Times New Roman"/>
                <w:sz w:val="24"/>
                <w:szCs w:val="24"/>
              </w:rPr>
              <w:t>1</w:t>
            </w:r>
            <w:r>
              <w:rPr>
                <w:rFonts w:hint="eastAsia" w:ascii="Times New Roman" w:hAnsi="Times New Roman" w:eastAsia="宋体" w:cs="Times New Roman"/>
                <w:sz w:val="24"/>
                <w:szCs w:val="24"/>
              </w:rPr>
              <w:t>。</w:t>
            </w:r>
          </w:p>
          <w:p>
            <w:pPr>
              <w:keepNext w:val="0"/>
              <w:keepLines w:val="0"/>
              <w:suppressLineNumbers w:val="0"/>
              <w:spacing w:before="0" w:beforeAutospacing="0" w:after="0" w:afterAutospacing="0" w:line="240" w:lineRule="auto"/>
              <w:ind w:left="0" w:right="0" w:firstLine="42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表</w:t>
            </w:r>
            <w:r>
              <w:rPr>
                <w:rFonts w:hint="default" w:ascii="Times New Roman" w:hAnsi="Times New Roman" w:eastAsia="宋体" w:cs="Times New Roman"/>
                <w:sz w:val="21"/>
                <w:szCs w:val="21"/>
              </w:rPr>
              <w:t xml:space="preserve">1        </w:t>
            </w:r>
            <w:r>
              <w:rPr>
                <w:rFonts w:hint="eastAsia" w:ascii="Times New Roman" w:hAnsi="Times New Roman" w:eastAsia="宋体" w:cs="Times New Roman"/>
                <w:sz w:val="21"/>
                <w:szCs w:val="21"/>
              </w:rPr>
              <w:t>主要</w:t>
            </w:r>
            <w:r>
              <w:rPr>
                <w:rFonts w:hint="eastAsia" w:ascii="Times New Roman" w:hAnsi="Times New Roman" w:eastAsia="宋体" w:cs="Times New Roman"/>
                <w:sz w:val="21"/>
                <w:szCs w:val="21"/>
                <w:lang w:eastAsia="zh-CN"/>
              </w:rPr>
              <w:t>建设内容</w:t>
            </w:r>
            <w:r>
              <w:rPr>
                <w:rFonts w:hint="eastAsia" w:ascii="Times New Roman" w:hAnsi="Times New Roman" w:eastAsia="宋体" w:cs="Times New Roman"/>
                <w:sz w:val="21"/>
                <w:szCs w:val="21"/>
              </w:rPr>
              <w:t>一览表</w:t>
            </w:r>
          </w:p>
          <w:tbl>
            <w:tblPr>
              <w:tblStyle w:val="20"/>
              <w:tblW w:w="85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47"/>
              <w:gridCol w:w="741"/>
              <w:gridCol w:w="1358"/>
              <w:gridCol w:w="3922"/>
              <w:gridCol w:w="10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44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内容</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lang w:eastAsia="zh-CN"/>
                    </w:rPr>
                    <w:t>工程</w:t>
                  </w:r>
                  <w:r>
                    <w:rPr>
                      <w:rFonts w:hint="default"/>
                      <w:sz w:val="21"/>
                      <w:szCs w:val="21"/>
                    </w:rPr>
                    <w:t>名称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建设内容</w:t>
                  </w:r>
                </w:p>
              </w:tc>
              <w:tc>
                <w:tcPr>
                  <w:tcW w:w="109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主体工程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加油罩棚</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val="en-US" w:eastAsia="zh-CN"/>
                    </w:rPr>
                  </w:pPr>
                  <w:r>
                    <w:rPr>
                      <w:rFonts w:hint="default"/>
                      <w:sz w:val="21"/>
                      <w:szCs w:val="21"/>
                      <w:lang w:val="en-US" w:eastAsia="zh-CN"/>
                    </w:rPr>
                    <w:t>1座，1层，</w:t>
                  </w:r>
                  <w:r>
                    <w:rPr>
                      <w:rFonts w:hint="default"/>
                      <w:sz w:val="21"/>
                      <w:szCs w:val="21"/>
                    </w:rPr>
                    <w:t>占地面积</w:t>
                  </w:r>
                  <w:r>
                    <w:rPr>
                      <w:rFonts w:hint="eastAsia"/>
                      <w:sz w:val="21"/>
                      <w:szCs w:val="21"/>
                      <w:lang w:val="en-US" w:eastAsia="zh-CN"/>
                    </w:rPr>
                    <w:t>1200</w:t>
                  </w:r>
                  <w:r>
                    <w:rPr>
                      <w:rFonts w:hint="default"/>
                      <w:sz w:val="21"/>
                      <w:szCs w:val="21"/>
                      <w:lang w:eastAsia="zh-CN"/>
                    </w:rPr>
                    <w:t>m²</w:t>
                  </w:r>
                  <w:r>
                    <w:rPr>
                      <w:rFonts w:hint="default"/>
                      <w:sz w:val="21"/>
                      <w:szCs w:val="21"/>
                    </w:rPr>
                    <w:t>（</w:t>
                  </w:r>
                </w:p>
              </w:tc>
              <w:tc>
                <w:tcPr>
                  <w:tcW w:w="1090" w:type="dxa"/>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eastAsia"/>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eastAsia"/>
                      <w:sz w:val="21"/>
                      <w:szCs w:val="21"/>
                    </w:rPr>
                    <w:t>埋地卧式油罐区</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eastAsia"/>
                      <w:sz w:val="21"/>
                      <w:szCs w:val="21"/>
                      <w:lang w:val="en-US" w:eastAsia="zh-CN"/>
                    </w:rPr>
                    <w:t>3</w:t>
                  </w:r>
                  <w:r>
                    <w:rPr>
                      <w:rFonts w:hint="eastAsia"/>
                      <w:sz w:val="21"/>
                      <w:szCs w:val="21"/>
                    </w:rPr>
                    <w:t>个30m3柴油罐，</w:t>
                  </w:r>
                  <w:r>
                    <w:rPr>
                      <w:rFonts w:hint="eastAsia"/>
                      <w:sz w:val="21"/>
                      <w:szCs w:val="21"/>
                      <w:lang w:val="en-US" w:eastAsia="zh-CN"/>
                    </w:rPr>
                    <w:t>3</w:t>
                  </w:r>
                  <w:r>
                    <w:rPr>
                      <w:rFonts w:hint="eastAsia"/>
                      <w:sz w:val="21"/>
                      <w:szCs w:val="21"/>
                    </w:rPr>
                    <w:t>个</w:t>
                  </w:r>
                  <w:r>
                    <w:rPr>
                      <w:rFonts w:hint="eastAsia"/>
                      <w:sz w:val="21"/>
                      <w:szCs w:val="21"/>
                      <w:lang w:val="en-US" w:eastAsia="zh-CN"/>
                    </w:rPr>
                    <w:t>50</w:t>
                  </w:r>
                  <w:r>
                    <w:rPr>
                      <w:rFonts w:hint="eastAsia"/>
                      <w:sz w:val="21"/>
                      <w:szCs w:val="21"/>
                    </w:rPr>
                    <w:t>m3汽油罐，油罐总容积为</w:t>
                  </w:r>
                  <w:r>
                    <w:rPr>
                      <w:rFonts w:hint="eastAsia"/>
                      <w:sz w:val="21"/>
                      <w:szCs w:val="21"/>
                      <w:lang w:val="en-US" w:eastAsia="zh-CN"/>
                    </w:rPr>
                    <w:t>165</w:t>
                  </w:r>
                  <w:r>
                    <w:rPr>
                      <w:rFonts w:hint="eastAsia"/>
                      <w:sz w:val="21"/>
                      <w:szCs w:val="21"/>
                    </w:rPr>
                    <w:t>m3</w:t>
                  </w:r>
                </w:p>
              </w:tc>
              <w:tc>
                <w:tcPr>
                  <w:tcW w:w="1090" w:type="dxa"/>
                  <w:tcBorders>
                    <w:left w:val="single" w:color="auto" w:sz="4" w:space="0"/>
                    <w:right w:val="single" w:color="auto" w:sz="4" w:space="0"/>
                  </w:tcBorders>
                  <w:shd w:val="clear" w:color="auto" w:fill="auto"/>
                  <w:vAlign w:val="center"/>
                </w:tcPr>
                <w:p>
                  <w:pPr>
                    <w:pStyle w:val="10"/>
                    <w:bidi w:val="0"/>
                    <w:jc w:val="center"/>
                    <w:rPr>
                      <w:rFonts w:hint="eastAsia"/>
                      <w:sz w:val="21"/>
                      <w:szCs w:val="21"/>
                      <w:lang w:eastAsia="zh-CN"/>
                    </w:rPr>
                  </w:pPr>
                  <w:r>
                    <w:rPr>
                      <w:rFonts w:hint="eastAsia"/>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restart"/>
                  <w:tcBorders>
                    <w:left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公用工程</w:t>
                  </w: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供水工程</w:t>
                  </w:r>
                </w:p>
              </w:tc>
              <w:tc>
                <w:tcPr>
                  <w:tcW w:w="3922" w:type="dxa"/>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eastAsia"/>
                      <w:sz w:val="21"/>
                      <w:szCs w:val="21"/>
                      <w:lang w:eastAsia="zh-CN"/>
                    </w:rPr>
                    <w:t>服务区供水</w:t>
                  </w:r>
                </w:p>
              </w:tc>
              <w:tc>
                <w:tcPr>
                  <w:tcW w:w="1090" w:type="dxa"/>
                  <w:tcBorders>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供电工程</w:t>
                  </w:r>
                </w:p>
              </w:tc>
              <w:tc>
                <w:tcPr>
                  <w:tcW w:w="3922" w:type="dxa"/>
                  <w:tcBorders>
                    <w:left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eastAsia"/>
                      <w:sz w:val="21"/>
                      <w:szCs w:val="21"/>
                      <w:lang w:eastAsia="zh-CN"/>
                    </w:rPr>
                    <w:t>城乡</w:t>
                  </w:r>
                  <w:r>
                    <w:rPr>
                      <w:rFonts w:hint="default"/>
                      <w:sz w:val="21"/>
                      <w:szCs w:val="21"/>
                      <w:lang w:eastAsia="zh-CN"/>
                    </w:rPr>
                    <w:t>电网</w:t>
                  </w:r>
                </w:p>
              </w:tc>
              <w:tc>
                <w:tcPr>
                  <w:tcW w:w="1090" w:type="dxa"/>
                  <w:tcBorders>
                    <w:left w:val="single" w:color="auto" w:sz="4" w:space="0"/>
                    <w:right w:val="single" w:color="auto" w:sz="4" w:space="0"/>
                  </w:tcBorders>
                  <w:shd w:val="clear" w:color="auto" w:fill="auto"/>
                  <w:vAlign w:val="center"/>
                </w:tcPr>
                <w:p>
                  <w:pPr>
                    <w:pStyle w:val="10"/>
                    <w:bidi w:val="0"/>
                    <w:jc w:val="center"/>
                    <w:rPr>
                      <w:rFonts w:hint="default"/>
                      <w:sz w:val="21"/>
                      <w:szCs w:val="21"/>
                      <w:lang w:val="en-US" w:eastAsia="zh-CN"/>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 w:hRule="atLeast"/>
                <w:jc w:val="center"/>
              </w:trPr>
              <w:tc>
                <w:tcPr>
                  <w:tcW w:w="1447" w:type="dxa"/>
                  <w:vMerge w:val="continue"/>
                  <w:tcBorders>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排水工程</w:t>
                  </w:r>
                </w:p>
              </w:tc>
              <w:tc>
                <w:tcPr>
                  <w:tcW w:w="3922" w:type="dxa"/>
                  <w:tcBorders>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val="en-US" w:eastAsia="zh-CN"/>
                    </w:rPr>
                  </w:pPr>
                  <w:r>
                    <w:rPr>
                      <w:rFonts w:hint="default"/>
                      <w:sz w:val="21"/>
                      <w:szCs w:val="21"/>
                      <w:lang w:eastAsia="zh-CN"/>
                    </w:rPr>
                    <w:t>项目建化粪池一座，容积</w:t>
                  </w:r>
                  <w:r>
                    <w:rPr>
                      <w:rFonts w:hint="default"/>
                      <w:sz w:val="21"/>
                      <w:szCs w:val="21"/>
                      <w:lang w:val="en-US" w:eastAsia="zh-CN"/>
                    </w:rPr>
                    <w:t>6m³，生活污水经化粪池处理后，由服务区统一定期清掏处理</w:t>
                  </w:r>
                </w:p>
              </w:tc>
              <w:tc>
                <w:tcPr>
                  <w:tcW w:w="1090" w:type="dxa"/>
                  <w:tcBorders>
                    <w:left w:val="single" w:color="auto" w:sz="4" w:space="0"/>
                    <w:right w:val="single" w:color="auto" w:sz="4" w:space="0"/>
                  </w:tcBorders>
                  <w:shd w:val="clear" w:color="auto" w:fill="auto"/>
                  <w:vAlign w:val="center"/>
                </w:tcPr>
                <w:p>
                  <w:pPr>
                    <w:pStyle w:val="10"/>
                    <w:bidi w:val="0"/>
                    <w:jc w:val="center"/>
                    <w:rPr>
                      <w:rFonts w:hint="default"/>
                      <w:sz w:val="21"/>
                      <w:szCs w:val="21"/>
                      <w:lang w:val="en-US" w:eastAsia="zh-CN"/>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辅助工程</w:t>
                  </w:r>
                </w:p>
              </w:tc>
              <w:tc>
                <w:tcPr>
                  <w:tcW w:w="741" w:type="dxa"/>
                  <w:vMerge w:val="restart"/>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站房</w:t>
                  </w: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配电室</w:t>
                  </w:r>
                </w:p>
              </w:tc>
              <w:tc>
                <w:tcPr>
                  <w:tcW w:w="3922" w:type="dxa"/>
                  <w:vMerge w:val="restart"/>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lang w:val="en-US" w:eastAsia="zh-CN"/>
                    </w:rPr>
                    <w:t>1座，1</w:t>
                  </w:r>
                  <w:r>
                    <w:rPr>
                      <w:rFonts w:hint="default"/>
                      <w:sz w:val="21"/>
                      <w:szCs w:val="21"/>
                    </w:rPr>
                    <w:t>层砖混结构，</w:t>
                  </w:r>
                </w:p>
                <w:p>
                  <w:pPr>
                    <w:pStyle w:val="10"/>
                    <w:bidi w:val="0"/>
                    <w:jc w:val="center"/>
                    <w:rPr>
                      <w:rFonts w:hint="default"/>
                      <w:sz w:val="21"/>
                      <w:szCs w:val="21"/>
                    </w:rPr>
                  </w:pPr>
                  <w:r>
                    <w:rPr>
                      <w:rFonts w:hint="default"/>
                      <w:sz w:val="21"/>
                      <w:szCs w:val="21"/>
                      <w:lang w:eastAsia="zh-CN"/>
                    </w:rPr>
                    <w:t>建筑</w:t>
                  </w:r>
                  <w:r>
                    <w:rPr>
                      <w:rFonts w:hint="default"/>
                      <w:sz w:val="21"/>
                      <w:szCs w:val="21"/>
                    </w:rPr>
                    <w:t>面积</w:t>
                  </w:r>
                  <w:r>
                    <w:rPr>
                      <w:rFonts w:hint="eastAsia"/>
                      <w:sz w:val="21"/>
                      <w:szCs w:val="21"/>
                      <w:lang w:val="en-US" w:eastAsia="zh-CN"/>
                    </w:rPr>
                    <w:t>300</w:t>
                  </w:r>
                  <w:r>
                    <w:rPr>
                      <w:rFonts w:hint="default"/>
                      <w:sz w:val="21"/>
                      <w:szCs w:val="21"/>
                      <w:lang w:eastAsia="zh-CN"/>
                    </w:rPr>
                    <w:t>m²</w:t>
                  </w:r>
                </w:p>
              </w:tc>
              <w:tc>
                <w:tcPr>
                  <w:tcW w:w="1090" w:type="dxa"/>
                  <w:vMerge w:val="restart"/>
                  <w:tcBorders>
                    <w:left w:val="single" w:color="auto" w:sz="4" w:space="0"/>
                    <w:right w:val="single" w:color="auto" w:sz="4" w:space="0"/>
                  </w:tcBorders>
                  <w:shd w:val="clear" w:color="auto" w:fill="auto"/>
                  <w:vAlign w:val="center"/>
                </w:tcPr>
                <w:p>
                  <w:pPr>
                    <w:pStyle w:val="10"/>
                    <w:bidi w:val="0"/>
                    <w:jc w:val="center"/>
                    <w:rPr>
                      <w:rFonts w:hint="eastAsia"/>
                      <w:sz w:val="21"/>
                      <w:szCs w:val="21"/>
                      <w:lang w:eastAsia="zh-CN"/>
                    </w:rPr>
                  </w:pPr>
                  <w:r>
                    <w:rPr>
                      <w:rFonts w:hint="eastAsia"/>
                      <w:sz w:val="21"/>
                      <w:szCs w:val="21"/>
                      <w:lang w:eastAsia="zh-CN"/>
                    </w:rPr>
                    <w:t>依托原有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值班室</w:t>
                  </w:r>
                </w:p>
              </w:tc>
              <w:tc>
                <w:tcPr>
                  <w:tcW w:w="3922"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综合办公室</w:t>
                  </w:r>
                </w:p>
              </w:tc>
              <w:tc>
                <w:tcPr>
                  <w:tcW w:w="3922"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储藏室</w:t>
                  </w:r>
                </w:p>
              </w:tc>
              <w:tc>
                <w:tcPr>
                  <w:tcW w:w="3922"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741"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358"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卫生间</w:t>
                  </w:r>
                </w:p>
              </w:tc>
              <w:tc>
                <w:tcPr>
                  <w:tcW w:w="3922"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1090"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1447" w:type="dxa"/>
                  <w:vMerge w:val="restart"/>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rPr>
                    <w:t>环保工程</w:t>
                  </w: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废气治理措施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rPr>
                    <w:t>油罐配备</w:t>
                  </w:r>
                  <w:r>
                    <w:rPr>
                      <w:rFonts w:hint="default"/>
                      <w:sz w:val="21"/>
                      <w:szCs w:val="21"/>
                      <w:lang w:eastAsia="zh-CN"/>
                    </w:rPr>
                    <w:t>一套</w:t>
                  </w:r>
                  <w:r>
                    <w:rPr>
                      <w:rFonts w:hint="default"/>
                      <w:sz w:val="21"/>
                      <w:szCs w:val="21"/>
                    </w:rPr>
                    <w:t>油气一次回收系统，油枪配备</w:t>
                  </w:r>
                  <w:r>
                    <w:rPr>
                      <w:rFonts w:hint="default"/>
                      <w:sz w:val="21"/>
                      <w:szCs w:val="21"/>
                      <w:lang w:eastAsia="zh-CN"/>
                    </w:rPr>
                    <w:t>一套</w:t>
                  </w:r>
                  <w:r>
                    <w:rPr>
                      <w:rFonts w:hint="default"/>
                      <w:sz w:val="21"/>
                      <w:szCs w:val="21"/>
                    </w:rPr>
                    <w:t>油气二次回收系统</w:t>
                  </w:r>
                </w:p>
              </w:tc>
              <w:tc>
                <w:tcPr>
                  <w:tcW w:w="1090" w:type="dxa"/>
                  <w:tcBorders>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eastAsia"/>
                      <w:sz w:val="21"/>
                      <w:szCs w:val="21"/>
                      <w:lang w:eastAsia="zh-CN"/>
                    </w:rPr>
                    <w:t>拆除</w:t>
                  </w:r>
                  <w:r>
                    <w:rPr>
                      <w:rFonts w:hint="default"/>
                      <w:sz w:val="21"/>
                      <w:szCs w:val="21"/>
                      <w:lang w:eastAsia="zh-CN"/>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废水治理措施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val="en-US" w:eastAsia="zh-CN"/>
                    </w:rPr>
                  </w:pPr>
                  <w:r>
                    <w:rPr>
                      <w:rFonts w:hint="eastAsia"/>
                      <w:sz w:val="21"/>
                      <w:szCs w:val="21"/>
                      <w:lang w:val="en-US" w:eastAsia="zh-CN"/>
                    </w:rPr>
                    <w:t>生活污水处理站</w:t>
                  </w:r>
                </w:p>
              </w:tc>
              <w:tc>
                <w:tcPr>
                  <w:tcW w:w="1090" w:type="dxa"/>
                  <w:tcBorders>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eastAsia"/>
                      <w:sz w:val="21"/>
                      <w:szCs w:val="21"/>
                      <w:lang w:eastAsia="zh-CN"/>
                    </w:rPr>
                    <w:t>依托服务区生活污水处理站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default"/>
                      <w:sz w:val="21"/>
                      <w:szCs w:val="21"/>
                      <w:lang w:eastAsia="zh-CN"/>
                    </w:rPr>
                    <w:t>噪声</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站内绿化，加强设备管理</w:t>
                  </w:r>
                </w:p>
              </w:tc>
              <w:tc>
                <w:tcPr>
                  <w:tcW w:w="1090" w:type="dxa"/>
                  <w:tcBorders>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eastAsia"/>
                      <w:sz w:val="21"/>
                      <w:szCs w:val="21"/>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2099"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固废处置措施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default"/>
                      <w:sz w:val="21"/>
                      <w:szCs w:val="21"/>
                      <w:lang w:eastAsia="zh-CN"/>
                    </w:rPr>
                    <w:t>生活垃圾收集后交由环卫部门处理；油罐油泥委托有资质单位定期清理处置</w:t>
                  </w:r>
                  <w:r>
                    <w:rPr>
                      <w:rFonts w:hint="eastAsia"/>
                      <w:sz w:val="21"/>
                      <w:szCs w:val="21"/>
                      <w:lang w:eastAsia="zh-CN"/>
                    </w:rPr>
                    <w:t>，即产即运</w:t>
                  </w:r>
                </w:p>
              </w:tc>
              <w:tc>
                <w:tcPr>
                  <w:tcW w:w="1090" w:type="dxa"/>
                  <w:tcBorders>
                    <w:left w:val="single" w:color="auto" w:sz="4" w:space="0"/>
                    <w:right w:val="single" w:color="auto" w:sz="4" w:space="0"/>
                  </w:tcBorders>
                  <w:shd w:val="clear" w:color="auto" w:fill="auto"/>
                  <w:vAlign w:val="center"/>
                </w:tcPr>
                <w:p>
                  <w:pPr>
                    <w:pStyle w:val="10"/>
                    <w:bidi w:val="0"/>
                    <w:jc w:val="center"/>
                    <w:rPr>
                      <w:rFonts w:hint="default"/>
                      <w:sz w:val="21"/>
                      <w:szCs w:val="21"/>
                    </w:rPr>
                  </w:pPr>
                  <w:r>
                    <w:rPr>
                      <w:rFonts w:hint="eastAsia"/>
                      <w:sz w:val="21"/>
                      <w:szCs w:val="21"/>
                      <w:lang w:eastAsia="zh-CN"/>
                    </w:rPr>
                    <w:t>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47" w:type="dxa"/>
                  <w:vMerge w:val="continue"/>
                  <w:tcBorders>
                    <w:left w:val="single" w:color="auto" w:sz="4" w:space="0"/>
                    <w:right w:val="single" w:color="auto" w:sz="4" w:space="0"/>
                  </w:tcBorders>
                  <w:shd w:val="clear" w:color="auto" w:fill="auto"/>
                  <w:vAlign w:val="center"/>
                </w:tcPr>
                <w:p>
                  <w:pPr>
                    <w:pStyle w:val="10"/>
                    <w:bidi w:val="0"/>
                    <w:jc w:val="center"/>
                    <w:rPr>
                      <w:rFonts w:hint="default"/>
                      <w:sz w:val="21"/>
                      <w:szCs w:val="21"/>
                    </w:rPr>
                  </w:pPr>
                </w:p>
              </w:tc>
              <w:tc>
                <w:tcPr>
                  <w:tcW w:w="2099" w:type="dxa"/>
                  <w:gridSpan w:val="2"/>
                  <w:tcBorders>
                    <w:top w:val="single" w:color="auto" w:sz="4" w:space="0"/>
                    <w:left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eastAsia"/>
                      <w:sz w:val="21"/>
                      <w:szCs w:val="21"/>
                    </w:rPr>
                    <w:t>防渗措施</w:t>
                  </w:r>
                </w:p>
              </w:tc>
              <w:tc>
                <w:tcPr>
                  <w:tcW w:w="3922"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0"/>
                    <w:bidi w:val="0"/>
                    <w:jc w:val="center"/>
                    <w:rPr>
                      <w:rFonts w:hint="default"/>
                      <w:sz w:val="21"/>
                      <w:szCs w:val="21"/>
                      <w:lang w:eastAsia="zh-CN"/>
                    </w:rPr>
                  </w:pPr>
                  <w:r>
                    <w:rPr>
                      <w:rFonts w:hint="eastAsia"/>
                      <w:sz w:val="21"/>
                      <w:szCs w:val="21"/>
                    </w:rPr>
                    <w:t>地埋油罐灌区等区域防渗</w:t>
                  </w:r>
                </w:p>
              </w:tc>
              <w:tc>
                <w:tcPr>
                  <w:tcW w:w="1090" w:type="dxa"/>
                  <w:tcBorders>
                    <w:left w:val="single" w:color="auto" w:sz="4" w:space="0"/>
                    <w:right w:val="single" w:color="auto" w:sz="4" w:space="0"/>
                  </w:tcBorders>
                  <w:shd w:val="clear" w:color="auto" w:fill="auto"/>
                  <w:vAlign w:val="center"/>
                </w:tcPr>
                <w:p>
                  <w:pPr>
                    <w:pStyle w:val="10"/>
                    <w:bidi w:val="0"/>
                    <w:jc w:val="center"/>
                    <w:rPr>
                      <w:rFonts w:hint="eastAsia"/>
                      <w:sz w:val="21"/>
                      <w:szCs w:val="21"/>
                      <w:lang w:eastAsia="zh-CN"/>
                    </w:rPr>
                  </w:pPr>
                  <w:r>
                    <w:rPr>
                      <w:rFonts w:hint="eastAsia"/>
                      <w:sz w:val="21"/>
                      <w:szCs w:val="21"/>
                    </w:rPr>
                    <w:t>新建</w:t>
                  </w:r>
                </w:p>
              </w:tc>
            </w:tr>
          </w:tbl>
          <w:p>
            <w:pPr>
              <w:spacing w:line="360" w:lineRule="auto"/>
              <w:ind w:firstLine="0" w:firstLineChars="0"/>
              <w:rPr>
                <w:rFonts w:hint="eastAsia"/>
                <w:sz w:val="24"/>
                <w:szCs w:val="24"/>
                <w:lang w:val="en-US" w:eastAsia="zh-CN"/>
              </w:rPr>
            </w:pPr>
            <w:r>
              <w:rPr>
                <w:rFonts w:hint="eastAsia"/>
                <w:b/>
                <w:bCs/>
                <w:sz w:val="24"/>
                <w:szCs w:val="24"/>
                <w:lang w:val="en-US" w:eastAsia="zh-CN"/>
              </w:rPr>
              <w:t>3、建设规模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本项目为机动车燃料油零售项目，主要销售92#、95#和0#柴油，设</w:t>
            </w:r>
            <w:r>
              <w:rPr>
                <w:rFonts w:hint="eastAsia" w:cs="Times New Roman"/>
                <w:sz w:val="24"/>
                <w:szCs w:val="24"/>
                <w:lang w:val="en-US" w:eastAsia="zh-CN"/>
              </w:rPr>
              <w:t>6</w:t>
            </w:r>
            <w:r>
              <w:rPr>
                <w:rFonts w:hint="default" w:ascii="Times New Roman" w:hAnsi="Times New Roman" w:eastAsia="宋体" w:cs="Times New Roman"/>
                <w:sz w:val="24"/>
                <w:szCs w:val="24"/>
              </w:rPr>
              <w:t>个地埋式</w:t>
            </w:r>
            <w:r>
              <w:rPr>
                <w:rFonts w:hint="default" w:ascii="Times New Roman" w:hAnsi="Times New Roman" w:cs="Times New Roman"/>
                <w:sz w:val="24"/>
                <w:szCs w:val="24"/>
                <w:lang w:val="en-US" w:eastAsia="zh-CN"/>
              </w:rPr>
              <w:t>S/F双层</w:t>
            </w:r>
            <w:r>
              <w:rPr>
                <w:rFonts w:hint="default" w:ascii="Times New Roman" w:hAnsi="Times New Roman" w:eastAsia="宋体" w:cs="Times New Roman"/>
                <w:sz w:val="24"/>
                <w:szCs w:val="24"/>
              </w:rPr>
              <w:t>油罐，其中</w:t>
            </w:r>
            <w:r>
              <w:rPr>
                <w:rFonts w:hint="default" w:ascii="Times New Roman" w:hAnsi="Times New Roman" w:cs="Times New Roman"/>
                <w:sz w:val="24"/>
                <w:szCs w:val="24"/>
                <w:lang w:val="en-US" w:eastAsia="zh-CN"/>
              </w:rPr>
              <w:t>3</w:t>
            </w:r>
            <w:r>
              <w:rPr>
                <w:rFonts w:hint="default" w:ascii="Times New Roman" w:hAnsi="Times New Roman" w:eastAsia="宋体" w:cs="Times New Roman"/>
                <w:sz w:val="24"/>
                <w:szCs w:val="24"/>
              </w:rPr>
              <w:t>个汽油罐、</w:t>
            </w:r>
            <w:r>
              <w:rPr>
                <w:rFonts w:hint="eastAsia" w:cs="Times New Roman"/>
                <w:sz w:val="24"/>
                <w:szCs w:val="24"/>
                <w:lang w:val="en-US" w:eastAsia="zh-CN"/>
              </w:rPr>
              <w:t>3</w:t>
            </w:r>
            <w:r>
              <w:rPr>
                <w:rFonts w:hint="default" w:ascii="Times New Roman" w:hAnsi="Times New Roman" w:eastAsia="宋体" w:cs="Times New Roman"/>
                <w:sz w:val="24"/>
                <w:szCs w:val="24"/>
              </w:rPr>
              <w:t>个柴油罐，单个</w:t>
            </w:r>
            <w:r>
              <w:rPr>
                <w:rFonts w:hint="eastAsia" w:cs="Times New Roman"/>
                <w:sz w:val="24"/>
                <w:szCs w:val="24"/>
                <w:lang w:eastAsia="zh-CN"/>
              </w:rPr>
              <w:t>汽油</w:t>
            </w:r>
            <w:r>
              <w:rPr>
                <w:rFonts w:hint="default" w:ascii="Times New Roman" w:hAnsi="Times New Roman" w:eastAsia="宋体" w:cs="Times New Roman"/>
                <w:sz w:val="24"/>
                <w:szCs w:val="24"/>
              </w:rPr>
              <w:t>罐</w:t>
            </w:r>
            <w:r>
              <w:rPr>
                <w:rFonts w:hint="eastAsia" w:cs="Times New Roman"/>
                <w:sz w:val="24"/>
                <w:szCs w:val="24"/>
                <w:lang w:eastAsia="zh-CN"/>
              </w:rPr>
              <w:t>容积</w:t>
            </w:r>
            <w:r>
              <w:rPr>
                <w:rFonts w:hint="default" w:ascii="Times New Roman" w:hAnsi="Times New Roman" w:eastAsia="宋体" w:cs="Times New Roman"/>
                <w:sz w:val="24"/>
                <w:szCs w:val="24"/>
              </w:rPr>
              <w:t>为</w:t>
            </w:r>
            <w:r>
              <w:rPr>
                <w:rFonts w:hint="eastAsia" w:cs="Times New Roman"/>
                <w:sz w:val="24"/>
                <w:szCs w:val="24"/>
                <w:lang w:val="en-US" w:eastAsia="zh-CN"/>
              </w:rPr>
              <w:t>50</w:t>
            </w:r>
            <w:r>
              <w:rPr>
                <w:rFonts w:hint="default" w:ascii="Times New Roman" w:hAnsi="Times New Roman" w:eastAsia="宋体" w:cs="Times New Roman"/>
                <w:sz w:val="24"/>
                <w:szCs w:val="24"/>
                <w:lang w:eastAsia="zh-CN"/>
              </w:rPr>
              <w:t>m³</w:t>
            </w:r>
            <w:r>
              <w:rPr>
                <w:rFonts w:hint="default" w:ascii="Times New Roman" w:hAnsi="Times New Roman" w:eastAsia="宋体" w:cs="Times New Roman"/>
                <w:sz w:val="24"/>
                <w:szCs w:val="24"/>
              </w:rPr>
              <w:t>，</w:t>
            </w:r>
            <w:r>
              <w:rPr>
                <w:rFonts w:hint="eastAsia" w:cs="Times New Roman"/>
                <w:sz w:val="24"/>
                <w:szCs w:val="24"/>
                <w:lang w:eastAsia="zh-CN"/>
              </w:rPr>
              <w:t>单个柴油罐为</w:t>
            </w:r>
            <w:r>
              <w:rPr>
                <w:rFonts w:hint="eastAsia" w:cs="Times New Roman"/>
                <w:sz w:val="24"/>
                <w:szCs w:val="24"/>
                <w:lang w:val="en-US" w:eastAsia="zh-CN"/>
              </w:rPr>
              <w:t>30</w:t>
            </w:r>
            <w:r>
              <w:rPr>
                <w:rFonts w:hint="default" w:ascii="Times New Roman" w:hAnsi="Times New Roman" w:eastAsia="宋体" w:cs="Times New Roman"/>
                <w:sz w:val="24"/>
                <w:szCs w:val="24"/>
                <w:lang w:eastAsia="zh-CN"/>
              </w:rPr>
              <w:t>m³</w:t>
            </w:r>
            <w:r>
              <w:rPr>
                <w:rFonts w:hint="eastAsia" w:cs="Times New Roman"/>
                <w:sz w:val="24"/>
                <w:szCs w:val="24"/>
                <w:lang w:eastAsia="zh-CN"/>
              </w:rPr>
              <w:t>，</w:t>
            </w:r>
            <w:r>
              <w:rPr>
                <w:rFonts w:hint="default" w:ascii="Times New Roman" w:hAnsi="Times New Roman" w:eastAsia="宋体" w:cs="Times New Roman"/>
                <w:sz w:val="24"/>
                <w:szCs w:val="24"/>
              </w:rPr>
              <w:t>根据《汽车加油加气站设计与施工规范》（GB50156-2012），本项目油罐总容积为</w:t>
            </w:r>
            <w:r>
              <w:rPr>
                <w:rFonts w:hint="eastAsia" w:cs="Times New Roman"/>
                <w:sz w:val="24"/>
                <w:szCs w:val="24"/>
                <w:lang w:val="en-US" w:eastAsia="zh-CN"/>
              </w:rPr>
              <w:t>165</w:t>
            </w:r>
            <w:r>
              <w:rPr>
                <w:rFonts w:hint="default" w:ascii="Times New Roman" w:hAnsi="Times New Roman" w:eastAsia="宋体" w:cs="Times New Roman"/>
                <w:sz w:val="24"/>
                <w:szCs w:val="24"/>
                <w:lang w:eastAsia="zh-CN"/>
              </w:rPr>
              <w:t>m³</w:t>
            </w:r>
            <w:r>
              <w:rPr>
                <w:rFonts w:hint="default" w:ascii="Times New Roman" w:hAnsi="Times New Roman" w:eastAsia="宋体" w:cs="Times New Roman"/>
                <w:sz w:val="24"/>
                <w:szCs w:val="24"/>
              </w:rPr>
              <w:t>（其中柴油罐容积折半计入油罐总容积），且单罐罐容≤50</w:t>
            </w:r>
            <w:r>
              <w:rPr>
                <w:rFonts w:hint="default" w:ascii="Times New Roman" w:hAnsi="Times New Roman" w:eastAsia="宋体" w:cs="Times New Roman"/>
                <w:sz w:val="24"/>
                <w:szCs w:val="24"/>
                <w:lang w:eastAsia="zh-CN"/>
              </w:rPr>
              <w:t>m³</w:t>
            </w:r>
            <w:r>
              <w:rPr>
                <w:rFonts w:hint="default" w:ascii="Times New Roman" w:hAnsi="Times New Roman" w:eastAsia="宋体" w:cs="Times New Roman"/>
                <w:sz w:val="24"/>
                <w:szCs w:val="24"/>
              </w:rPr>
              <w:t>，则本项目为</w:t>
            </w:r>
            <w:r>
              <w:rPr>
                <w:rFonts w:hint="eastAsia" w:cs="Times New Roman"/>
                <w:sz w:val="24"/>
                <w:szCs w:val="24"/>
                <w:lang w:eastAsia="zh-CN"/>
              </w:rPr>
              <w:t>一</w:t>
            </w:r>
            <w:r>
              <w:rPr>
                <w:rFonts w:hint="default" w:ascii="Times New Roman" w:hAnsi="Times New Roman" w:eastAsia="宋体" w:cs="Times New Roman"/>
                <w:sz w:val="24"/>
                <w:szCs w:val="24"/>
              </w:rPr>
              <w:t>级加油站，加油站的等级划分见下表。</w:t>
            </w:r>
          </w:p>
          <w:p>
            <w:pPr>
              <w:keepNext w:val="0"/>
              <w:keepLines w:val="0"/>
              <w:suppressLineNumbers w:val="0"/>
              <w:spacing w:before="0" w:beforeAutospacing="0" w:after="0" w:afterAutospacing="0"/>
              <w:ind w:left="0" w:right="0" w:firstLine="48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表</w:t>
            </w:r>
            <w:r>
              <w:rPr>
                <w:rFonts w:hint="default" w:ascii="Times New Roman" w:hAnsi="Times New Roman" w:eastAsia="宋体" w:cs="Times New Roman"/>
                <w:sz w:val="24"/>
                <w:szCs w:val="24"/>
              </w:rPr>
              <w:t xml:space="preserve">2            </w:t>
            </w:r>
            <w:r>
              <w:rPr>
                <w:rFonts w:hint="eastAsia" w:ascii="Times New Roman" w:hAnsi="Times New Roman" w:eastAsia="宋体" w:cs="Times New Roman"/>
                <w:sz w:val="24"/>
                <w:szCs w:val="24"/>
              </w:rPr>
              <w:t>加油站等级划分一览表</w:t>
            </w:r>
          </w:p>
          <w:tbl>
            <w:tblPr>
              <w:tblStyle w:val="20"/>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8"/>
              <w:gridCol w:w="3416"/>
              <w:gridCol w:w="3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188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级别</w:t>
                  </w:r>
                </w:p>
              </w:tc>
              <w:tc>
                <w:tcPr>
                  <w:tcW w:w="683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油罐容积（</w:t>
                  </w:r>
                  <w:r>
                    <w:rPr>
                      <w:rFonts w:hint="eastAsia" w:ascii="Times New Roman" w:hAnsi="Times New Roman" w:eastAsia="宋体" w:cs="Times New Roman"/>
                      <w:sz w:val="21"/>
                      <w:szCs w:val="21"/>
                      <w:lang w:eastAsia="zh-CN"/>
                    </w:rPr>
                    <w:t>m³</w:t>
                  </w:r>
                  <w:r>
                    <w:rPr>
                      <w:rFonts w:hint="eastAsia" w:ascii="Times New Roman" w:hAnsi="Times New Roman"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sz w:val="21"/>
                      <w:szCs w:val="21"/>
                    </w:rPr>
                  </w:pP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总容积</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单罐容积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一级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cs="Times New Roman"/>
                      <w:sz w:val="21"/>
                      <w:szCs w:val="21"/>
                      <w:lang w:val="en-US" w:eastAsia="zh-CN"/>
                    </w:rPr>
                    <w:t>150</w:t>
                  </w:r>
                  <w:r>
                    <w:rPr>
                      <w:rFonts w:hint="default" w:ascii="Times New Roman" w:hAnsi="Times New Roman" w:eastAsia="宋体" w:cs="Times New Roman"/>
                      <w:sz w:val="21"/>
                      <w:szCs w:val="21"/>
                    </w:rPr>
                    <w:t>＜V≤210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二级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90＜V≤</w:t>
                  </w:r>
                  <w:r>
                    <w:rPr>
                      <w:rFonts w:hint="eastAsia" w:cs="Times New Roman"/>
                      <w:sz w:val="21"/>
                      <w:szCs w:val="21"/>
                      <w:lang w:val="en-US" w:eastAsia="zh-CN"/>
                    </w:rPr>
                    <w:t>150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8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三级</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V≤90</w:t>
                  </w:r>
                </w:p>
              </w:tc>
              <w:tc>
                <w:tcPr>
                  <w:tcW w:w="3416"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sz w:val="21"/>
                      <w:szCs w:val="21"/>
                    </w:rPr>
                  </w:pPr>
                  <w:r>
                    <w:rPr>
                      <w:rFonts w:hint="eastAsia" w:ascii="Times New Roman" w:hAnsi="Times New Roman" w:eastAsia="宋体" w:cs="Times New Roman"/>
                      <w:sz w:val="21"/>
                      <w:szCs w:val="21"/>
                    </w:rPr>
                    <w:t>汽油罐</w:t>
                  </w:r>
                  <w:r>
                    <w:rPr>
                      <w:rFonts w:hint="default" w:ascii="Times New Roman" w:hAnsi="Times New Roman" w:eastAsia="宋体" w:cs="Times New Roman"/>
                      <w:sz w:val="21"/>
                      <w:szCs w:val="21"/>
                    </w:rPr>
                    <w:t>≤30</w:t>
                  </w:r>
                  <w:r>
                    <w:rPr>
                      <w:rFonts w:hint="eastAsia" w:ascii="Times New Roman" w:hAnsi="Times New Roman" w:eastAsia="宋体" w:cs="Times New Roman"/>
                      <w:sz w:val="21"/>
                      <w:szCs w:val="21"/>
                    </w:rPr>
                    <w:t>，柴油罐</w:t>
                  </w:r>
                  <w:r>
                    <w:rPr>
                      <w:rFonts w:hint="default" w:ascii="Times New Roman" w:hAnsi="Times New Roman" w:eastAsia="宋体" w:cs="Times New Roman"/>
                      <w:sz w:val="21"/>
                      <w:szCs w:val="21"/>
                    </w:rPr>
                    <w:t>≤50</w:t>
                  </w:r>
                </w:p>
              </w:tc>
            </w:tr>
          </w:tbl>
          <w:p>
            <w:pPr>
              <w:keepNext w:val="0"/>
              <w:keepLines w:val="0"/>
              <w:widowControl/>
              <w:suppressLineNumbers w:val="0"/>
              <w:spacing w:before="0" w:beforeAutospacing="0" w:after="0" w:afterAutospacing="0" w:line="20" w:lineRule="exact"/>
              <w:ind w:left="0" w:right="0"/>
              <w:jc w:val="left"/>
              <w:rPr>
                <w:rFonts w:hint="default" w:ascii="Times New Roman" w:hAnsi="Times New Roman" w:eastAsia="宋体" w:cs="Times New Roman"/>
                <w:sz w:val="21"/>
                <w:szCs w:val="21"/>
              </w:rPr>
            </w:pPr>
          </w:p>
          <w:p>
            <w:pPr>
              <w:keepNext w:val="0"/>
              <w:keepLines w:val="0"/>
              <w:widowControl/>
              <w:suppressLineNumbers w:val="0"/>
              <w:spacing w:before="0" w:beforeAutospacing="0" w:after="0" w:afterAutospacing="0" w:line="20" w:lineRule="exact"/>
              <w:ind w:left="0" w:right="0"/>
              <w:jc w:val="left"/>
              <w:rPr>
                <w:rFonts w:hint="default" w:ascii="Times New Roman" w:hAnsi="Times New Roman" w:eastAsia="宋体" w:cs="Times New Roman"/>
                <w:sz w:val="21"/>
                <w:szCs w:val="21"/>
              </w:rPr>
            </w:pPr>
          </w:p>
          <w:p>
            <w:pPr>
              <w:keepNext w:val="0"/>
              <w:keepLines w:val="0"/>
              <w:widowControl/>
              <w:suppressLineNumbers w:val="0"/>
              <w:adjustRightInd w:val="0"/>
              <w:snapToGrid w:val="0"/>
              <w:spacing w:before="0" w:beforeAutospacing="0" w:after="0" w:afterAutospacing="0" w:line="360" w:lineRule="auto"/>
              <w:ind w:left="0" w:right="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注：柴油罐容积可折半计入油罐总容积。</w:t>
            </w:r>
          </w:p>
          <w:p>
            <w:pPr>
              <w:keepNext w:val="0"/>
              <w:keepLines w:val="0"/>
              <w:suppressLineNumbers w:val="0"/>
              <w:adjustRightInd w:val="0"/>
              <w:spacing w:before="0" w:beforeAutospacing="0" w:after="0" w:afterAutospacing="0" w:line="360" w:lineRule="auto"/>
              <w:ind w:left="0" w:right="0" w:firstLine="0" w:firstLineChars="0"/>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4</w:t>
            </w:r>
            <w:r>
              <w:rPr>
                <w:rFonts w:hint="eastAsia" w:ascii="Times New Roman" w:hAnsi="Times New Roman" w:cs="Times New Roman"/>
                <w:b/>
                <w:bCs/>
                <w:sz w:val="24"/>
                <w:szCs w:val="24"/>
                <w:lang w:eastAsia="zh-CN"/>
              </w:rPr>
              <w:t>、</w:t>
            </w:r>
            <w:r>
              <w:rPr>
                <w:rFonts w:hint="eastAsia" w:ascii="Times New Roman" w:hAnsi="Times New Roman" w:eastAsia="宋体" w:cs="Times New Roman"/>
                <w:b/>
                <w:bCs/>
                <w:sz w:val="24"/>
                <w:szCs w:val="24"/>
              </w:rPr>
              <w:t>生产设备</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项目主要生产设备见下表。</w:t>
            </w:r>
          </w:p>
          <w:p>
            <w:pPr>
              <w:keepNext w:val="0"/>
              <w:keepLines w:val="0"/>
              <w:suppressLineNumbers w:val="0"/>
              <w:spacing w:before="0" w:beforeAutospacing="0" w:after="0" w:afterAutospacing="0" w:line="240" w:lineRule="auto"/>
              <w:ind w:left="0" w:right="0" w:firstLine="48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表</w:t>
            </w:r>
            <w:r>
              <w:rPr>
                <w:rFonts w:hint="default" w:ascii="Times New Roman" w:hAnsi="Times New Roman" w:eastAsia="宋体" w:cs="Times New Roman"/>
                <w:sz w:val="24"/>
                <w:szCs w:val="24"/>
              </w:rPr>
              <w:t xml:space="preserve">3           </w:t>
            </w:r>
            <w:r>
              <w:rPr>
                <w:rFonts w:hint="eastAsia" w:ascii="Times New Roman" w:hAnsi="Times New Roman" w:eastAsia="宋体" w:cs="Times New Roman"/>
                <w:sz w:val="24"/>
                <w:szCs w:val="24"/>
              </w:rPr>
              <w:t>项目主要生产设备一览表</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2146"/>
              <w:gridCol w:w="1810"/>
              <w:gridCol w:w="33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规格（型号）</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jc w:val="center"/>
              </w:trPr>
              <w:tc>
                <w:tcPr>
                  <w:tcW w:w="577" w:type="pct"/>
                  <w:vMerge w:val="restart"/>
                  <w:tcBorders>
                    <w:top w:val="single" w:color="auto" w:sz="2"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加油区</w:t>
                  </w:r>
                </w:p>
              </w:tc>
              <w:tc>
                <w:tcPr>
                  <w:tcW w:w="1303"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加油机</w:t>
                  </w:r>
                </w:p>
              </w:tc>
              <w:tc>
                <w:tcPr>
                  <w:tcW w:w="109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val="en-US" w:eastAsia="zh-CN"/>
                    </w:rPr>
                  </w:pPr>
                  <w:r>
                    <w:rPr>
                      <w:rFonts w:hint="eastAsia" w:cs="Times New Roman"/>
                      <w:sz w:val="21"/>
                      <w:szCs w:val="21"/>
                      <w:lang w:val="en-US" w:eastAsia="zh-CN"/>
                    </w:rPr>
                    <w:t>CS30D2211N</w:t>
                  </w:r>
                </w:p>
              </w:tc>
              <w:tc>
                <w:tcPr>
                  <w:tcW w:w="2019"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val="en-US" w:eastAsia="zh-CN"/>
                    </w:rPr>
                  </w:pPr>
                  <w:r>
                    <w:rPr>
                      <w:rFonts w:hint="eastAsia" w:cs="Times New Roman"/>
                      <w:sz w:val="21"/>
                      <w:szCs w:val="21"/>
                      <w:lang w:val="en-US" w:eastAsia="zh-CN"/>
                    </w:rPr>
                    <w:t>6（4台汽油双泵双枪，2台柴油双泵双枪）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储油罐</w:t>
                  </w:r>
                </w:p>
              </w:tc>
              <w:tc>
                <w:tcPr>
                  <w:tcW w:w="1099"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SF双层直埋非承重罐</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lang w:val="en-US" w:eastAsia="zh-CN"/>
                    </w:rPr>
                    <w:t>3</w:t>
                  </w:r>
                  <w:r>
                    <w:rPr>
                      <w:rFonts w:hint="default" w:ascii="Times New Roman" w:hAnsi="Times New Roman" w:eastAsia="宋体" w:cs="Times New Roman"/>
                      <w:sz w:val="21"/>
                      <w:szCs w:val="21"/>
                    </w:rPr>
                    <w:t>座汽油罐</w:t>
                  </w:r>
                  <w:r>
                    <w:rPr>
                      <w:rFonts w:hint="eastAsia" w:cs="Times New Roman"/>
                      <w:sz w:val="21"/>
                      <w:szCs w:val="21"/>
                      <w:lang w:eastAsia="zh-CN"/>
                    </w:rPr>
                    <w:t>（</w:t>
                  </w:r>
                  <w:r>
                    <w:rPr>
                      <w:rFonts w:hint="eastAsia" w:cs="Times New Roman"/>
                      <w:sz w:val="21"/>
                      <w:szCs w:val="21"/>
                      <w:lang w:val="en-US" w:eastAsia="zh-CN"/>
                    </w:rPr>
                    <w:t>30</w:t>
                  </w:r>
                  <w:r>
                    <w:rPr>
                      <w:rFonts w:hint="default" w:ascii="Times New Roman" w:hAnsi="Times New Roman" w:eastAsia="宋体" w:cs="Times New Roman"/>
                      <w:sz w:val="21"/>
                      <w:szCs w:val="21"/>
                      <w:lang w:eastAsia="zh-CN"/>
                    </w:rPr>
                    <w:t>m²</w:t>
                  </w:r>
                  <w:r>
                    <w:rPr>
                      <w:rFonts w:hint="eastAsia" w:cs="Times New Roman"/>
                      <w:sz w:val="21"/>
                      <w:szCs w:val="21"/>
                      <w:lang w:val="en-US" w:eastAsia="zh-CN"/>
                    </w:rPr>
                    <w:t>/个</w:t>
                  </w:r>
                  <w:r>
                    <w:rPr>
                      <w:rFonts w:hint="eastAsia"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1099"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座柴油罐（</w:t>
                  </w:r>
                  <w:r>
                    <w:rPr>
                      <w:rFonts w:hint="eastAsia" w:cs="Times New Roman"/>
                      <w:sz w:val="21"/>
                      <w:szCs w:val="21"/>
                      <w:lang w:val="en-US" w:eastAsia="zh-CN"/>
                    </w:rPr>
                    <w:t>50</w:t>
                  </w:r>
                  <w:r>
                    <w:rPr>
                      <w:rFonts w:hint="default" w:ascii="Times New Roman" w:hAnsi="Times New Roman" w:eastAsia="宋体" w:cs="Times New Roman"/>
                      <w:sz w:val="21"/>
                      <w:szCs w:val="21"/>
                      <w:lang w:eastAsia="zh-CN"/>
                    </w:rPr>
                    <w:t>m²</w:t>
                  </w:r>
                  <w:r>
                    <w:rPr>
                      <w:rFonts w:hint="eastAsia" w:cs="Times New Roman"/>
                      <w:sz w:val="21"/>
                      <w:szCs w:val="21"/>
                      <w:lang w:val="en-US" w:eastAsia="zh-CN"/>
                    </w:rPr>
                    <w:t>/个</w:t>
                  </w:r>
                  <w:r>
                    <w:rPr>
                      <w:rFonts w:hint="default" w:ascii="Times New Roman" w:hAnsi="Times New Roman"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油气回收装置</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一次油气回收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汽油罐配备一套油气回收装置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eastAsia="zh-CN"/>
                    </w:rPr>
                  </w:pPr>
                  <w:r>
                    <w:rPr>
                      <w:rFonts w:hint="default" w:ascii="Times New Roman" w:hAnsi="Times New Roman" w:eastAsia="宋体" w:cs="Times New Roman"/>
                      <w:b w:val="0"/>
                      <w:bCs w:val="0"/>
                      <w:sz w:val="21"/>
                      <w:szCs w:val="21"/>
                      <w:u w:val="none"/>
                      <w:lang w:eastAsia="zh-CN"/>
                    </w:rPr>
                    <w:t>二次油气回收</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b w:val="0"/>
                      <w:bCs w:val="0"/>
                      <w:sz w:val="21"/>
                      <w:szCs w:val="21"/>
                      <w:u w:val="none"/>
                      <w:lang w:val="en-US" w:eastAsia="zh-CN"/>
                    </w:rPr>
                  </w:pPr>
                  <w:r>
                    <w:rPr>
                      <w:rFonts w:hint="default" w:ascii="Times New Roman" w:hAnsi="Times New Roman" w:eastAsia="宋体" w:cs="Times New Roman"/>
                      <w:b w:val="0"/>
                      <w:bCs w:val="0"/>
                      <w:sz w:val="21"/>
                      <w:szCs w:val="21"/>
                      <w:u w:val="none"/>
                      <w:lang w:eastAsia="zh-CN"/>
                    </w:rPr>
                    <w:t>每把加油枪配备一套油气回收装置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restar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消防</w:t>
                  </w:r>
                </w:p>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设施</w:t>
                  </w: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灭火毯</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灭火沙池</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干粉灭火器</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rPr>
                  </w:pPr>
                  <w:r>
                    <w:rPr>
                      <w:rFonts w:hint="eastAsia" w:cs="Times New Roman"/>
                      <w:sz w:val="21"/>
                      <w:szCs w:val="21"/>
                      <w:lang w:val="en-US" w:eastAsia="zh-CN"/>
                    </w:rPr>
                    <w:t>5kg</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8</w:t>
                  </w:r>
                  <w:r>
                    <w:rPr>
                      <w:rFonts w:hint="default" w:ascii="Times New Roman" w:hAnsi="Times New Roman" w:eastAsia="宋体" w:cs="Times New Roman"/>
                      <w:sz w:val="21"/>
                      <w:szCs w:val="21"/>
                    </w:rPr>
                    <w:t>个（</w:t>
                  </w:r>
                  <w:r>
                    <w:rPr>
                      <w:rFonts w:hint="default" w:ascii="Times New Roman" w:hAnsi="Times New Roman" w:cs="Times New Roman"/>
                      <w:sz w:val="21"/>
                      <w:szCs w:val="21"/>
                      <w:lang w:val="en-US" w:eastAsia="zh-CN"/>
                    </w:rPr>
                    <w:t>CO</w:t>
                  </w:r>
                  <w:r>
                    <w:rPr>
                      <w:rFonts w:hint="default" w:ascii="Times New Roman" w:hAnsi="Times New Roman" w:cs="Times New Roman"/>
                      <w:sz w:val="21"/>
                      <w:szCs w:val="21"/>
                      <w:vertAlign w:val="subscript"/>
                      <w:lang w:val="en-US" w:eastAsia="zh-CN"/>
                    </w:rPr>
                    <w:t>2</w:t>
                  </w:r>
                  <w:r>
                    <w:rPr>
                      <w:rFonts w:hint="default" w:ascii="Times New Roman" w:hAnsi="Times New Roman" w:cs="Times New Roman"/>
                      <w:sz w:val="21"/>
                      <w:szCs w:val="21"/>
                      <w:lang w:val="en-US" w:eastAsia="zh-CN"/>
                    </w:rPr>
                    <w:t>灭火器</w:t>
                  </w:r>
                  <w:r>
                    <w:rPr>
                      <w:rFonts w:hint="default" w:ascii="Times New Roman" w:hAnsi="Times New Roman" w:eastAsia="宋体" w:cs="Times New Roman"/>
                      <w:sz w:val="21"/>
                      <w:szCs w:val="21"/>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消防桶</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5</w:t>
                  </w:r>
                  <w:r>
                    <w:rPr>
                      <w:rFonts w:hint="default" w:ascii="Times New Roman" w:hAnsi="Times New Roman" w:eastAsia="宋体" w:cs="Times New Roman"/>
                      <w:sz w:val="21"/>
                      <w:szCs w:val="21"/>
                    </w:rPr>
                    <w:t>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消防铲</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val="en-US" w:eastAsia="zh-CN"/>
                    </w:rPr>
                    <w:t>5</w:t>
                  </w:r>
                  <w:r>
                    <w:rPr>
                      <w:rFonts w:hint="default" w:ascii="Times New Roman" w:hAnsi="Times New Roman" w:eastAsia="宋体" w:cs="Times New Roman"/>
                      <w:sz w:val="21"/>
                      <w:szCs w:val="21"/>
                    </w:rPr>
                    <w:t>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7" w:type="pct"/>
                  <w:vMerge w:val="continue"/>
                  <w:tcBorders>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0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eastAsia="zh-CN"/>
                    </w:rPr>
                  </w:pPr>
                  <w:r>
                    <w:rPr>
                      <w:rFonts w:hint="eastAsia" w:ascii="Times New Roman" w:hAnsi="Times New Roman" w:cs="Times New Roman"/>
                      <w:sz w:val="21"/>
                      <w:szCs w:val="21"/>
                      <w:lang w:eastAsia="zh-CN"/>
                    </w:rPr>
                    <w:t>静电阻隔报警系统</w:t>
                  </w:r>
                </w:p>
              </w:tc>
              <w:tc>
                <w:tcPr>
                  <w:tcW w:w="109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201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1套</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0" w:firstLineChars="0"/>
              <w:textAlignment w:val="auto"/>
              <w:rPr>
                <w:rFonts w:hint="default" w:ascii="Times New Roman" w:hAnsi="Times New Roman" w:eastAsia="宋体" w:cs="Times New Roman"/>
                <w:sz w:val="24"/>
                <w:szCs w:val="24"/>
              </w:rPr>
            </w:pPr>
            <w:r>
              <w:rPr>
                <w:rFonts w:hint="default" w:ascii="Times New Roman" w:hAnsi="Times New Roman" w:eastAsia="宋体" w:cs="Times New Roman"/>
                <w:b/>
                <w:bCs/>
                <w:sz w:val="24"/>
                <w:szCs w:val="24"/>
              </w:rPr>
              <w:t xml:space="preserve">5. </w:t>
            </w:r>
            <w:r>
              <w:rPr>
                <w:rFonts w:hint="eastAsia" w:ascii="Times New Roman" w:hAnsi="Times New Roman" w:eastAsia="宋体" w:cs="Times New Roman"/>
                <w:b/>
                <w:bCs/>
                <w:sz w:val="24"/>
                <w:szCs w:val="24"/>
              </w:rPr>
              <w:t>原材料及能源消耗</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本项目主要原材料及能源消耗见下表。</w:t>
            </w:r>
          </w:p>
          <w:p>
            <w:pPr>
              <w:keepNext w:val="0"/>
              <w:keepLines w:val="0"/>
              <w:suppressLineNumbers w:val="0"/>
              <w:spacing w:before="0" w:beforeAutospacing="0" w:after="0" w:afterAutospacing="0" w:line="240" w:lineRule="auto"/>
              <w:ind w:left="0" w:right="0" w:firstLine="480" w:firstLineChars="200"/>
              <w:jc w:val="center"/>
              <w:rPr>
                <w:rFonts w:hint="default" w:ascii="Times New Roman" w:hAnsi="Times New Roman" w:eastAsia="宋体" w:cs="Times New Roman"/>
                <w:sz w:val="21"/>
                <w:szCs w:val="21"/>
              </w:rPr>
            </w:pPr>
            <w:r>
              <w:rPr>
                <w:rFonts w:hint="eastAsia" w:ascii="Times New Roman" w:hAnsi="Times New Roman" w:eastAsia="宋体" w:cs="Times New Roman"/>
                <w:sz w:val="24"/>
                <w:szCs w:val="24"/>
              </w:rPr>
              <w:t>表</w:t>
            </w:r>
            <w:r>
              <w:rPr>
                <w:rFonts w:hint="default" w:ascii="Times New Roman" w:hAnsi="Times New Roman" w:eastAsia="宋体" w:cs="Times New Roman"/>
                <w:sz w:val="24"/>
                <w:szCs w:val="24"/>
              </w:rPr>
              <w:t xml:space="preserve">4       </w:t>
            </w:r>
            <w:r>
              <w:rPr>
                <w:rFonts w:hint="eastAsia" w:ascii="Times New Roman" w:hAnsi="Times New Roman" w:eastAsia="宋体" w:cs="Times New Roman"/>
                <w:sz w:val="24"/>
                <w:szCs w:val="24"/>
              </w:rPr>
              <w:t>主要原材料及能源消耗一览表</w:t>
            </w:r>
          </w:p>
          <w:tbl>
            <w:tblPr>
              <w:tblStyle w:val="20"/>
              <w:tblW w:w="84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8"/>
              <w:gridCol w:w="1288"/>
              <w:gridCol w:w="1425"/>
              <w:gridCol w:w="3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单位</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消耗量</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92#汽油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950</w:t>
                  </w:r>
                  <w:r>
                    <w:rPr>
                      <w:rFonts w:hint="default" w:ascii="Times New Roman" w:hAnsi="Times New Roman" w:cs="Times New Roman"/>
                      <w:sz w:val="21"/>
                      <w:szCs w:val="21"/>
                      <w:lang w:val="en-US" w:eastAsia="zh-CN"/>
                    </w:rPr>
                    <w:t>t</w:t>
                  </w:r>
                </w:p>
              </w:tc>
              <w:tc>
                <w:tcPr>
                  <w:tcW w:w="371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年销售成品油共</w:t>
                  </w:r>
                  <w:r>
                    <w:rPr>
                      <w:rFonts w:hint="eastAsia" w:cs="Times New Roman"/>
                      <w:sz w:val="21"/>
                      <w:szCs w:val="21"/>
                      <w:lang w:val="en-US" w:eastAsia="zh-CN"/>
                    </w:rPr>
                    <w:t>2110</w:t>
                  </w:r>
                  <w:r>
                    <w:rPr>
                      <w:rFonts w:hint="default" w:ascii="Times New Roman" w:hAnsi="Times New Roman" w:eastAsia="宋体" w:cs="Times New Roman"/>
                      <w:sz w:val="21"/>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95#汽油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900</w:t>
                  </w:r>
                  <w:r>
                    <w:rPr>
                      <w:rFonts w:hint="default" w:ascii="Times New Roman" w:hAnsi="Times New Roman" w:cs="Times New Roman"/>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0#柴油</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260</w:t>
                  </w:r>
                  <w:r>
                    <w:rPr>
                      <w:rFonts w:hint="default" w:ascii="Times New Roman" w:hAnsi="Times New Roman" w:cs="Times New Roman"/>
                      <w:sz w:val="21"/>
                      <w:szCs w:val="21"/>
                      <w:lang w:val="en-US" w:eastAsia="zh-CN"/>
                    </w:rPr>
                    <w:t>t</w:t>
                  </w:r>
                </w:p>
              </w:tc>
              <w:tc>
                <w:tcPr>
                  <w:tcW w:w="37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新鲜水</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w:t>
                  </w:r>
                  <w:r>
                    <w:rPr>
                      <w:rFonts w:hint="default" w:ascii="Times New Roman" w:hAnsi="Times New Roman" w:cs="Times New Roman"/>
                      <w:sz w:val="21"/>
                      <w:szCs w:val="21"/>
                      <w:lang w:val="en-US" w:eastAsia="zh-CN"/>
                    </w:rPr>
                    <w:t>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服务区统一供水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20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电</w:t>
                  </w:r>
                </w:p>
              </w:tc>
              <w:tc>
                <w:tcPr>
                  <w:tcW w:w="128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kW·h/a</w:t>
                  </w:r>
                </w:p>
              </w:tc>
              <w:tc>
                <w:tcPr>
                  <w:tcW w:w="14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4500</w:t>
                  </w:r>
                </w:p>
              </w:tc>
              <w:tc>
                <w:tcPr>
                  <w:tcW w:w="37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right="0" w:firstLine="0" w:firstLineChars="0"/>
                    <w:jc w:val="center"/>
                    <w:rPr>
                      <w:rFonts w:hint="default" w:ascii="Times New Roman" w:hAnsi="Times New Roman" w:eastAsia="宋体" w:cs="Times New Roman"/>
                      <w:sz w:val="21"/>
                      <w:szCs w:val="21"/>
                    </w:rPr>
                  </w:pPr>
                  <w:r>
                    <w:rPr>
                      <w:rFonts w:hint="eastAsia" w:cs="Times New Roman"/>
                      <w:sz w:val="21"/>
                      <w:szCs w:val="21"/>
                      <w:lang w:eastAsia="zh-CN"/>
                    </w:rPr>
                    <w:t>城乡电网</w:t>
                  </w:r>
                  <w:r>
                    <w:rPr>
                      <w:rFonts w:hint="default" w:ascii="Times New Roman" w:hAnsi="Times New Roman" w:eastAsia="宋体" w:cs="Times New Roman"/>
                      <w:sz w:val="21"/>
                      <w:szCs w:val="21"/>
                    </w:rPr>
                    <w:t>供电</w:t>
                  </w:r>
                </w:p>
              </w:tc>
            </w:tr>
          </w:tbl>
          <w:p>
            <w:pPr>
              <w:keepNext w:val="0"/>
              <w:keepLines w:val="0"/>
              <w:widowControl/>
              <w:suppressLineNumbers w:val="0"/>
              <w:adjustRightInd w:val="0"/>
              <w:snapToGrid w:val="0"/>
              <w:spacing w:before="0" w:beforeAutospacing="0" w:after="0" w:afterAutospacing="0" w:line="360" w:lineRule="auto"/>
              <w:ind w:left="0" w:right="0" w:firstLine="0" w:firstLineChars="0"/>
              <w:jc w:val="left"/>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注：汽油、柴油在不同温度下密度不同。</w:t>
            </w:r>
          </w:p>
          <w:p>
            <w:pPr>
              <w:keepNext w:val="0"/>
              <w:keepLines w:val="0"/>
              <w:widowControl w:val="0"/>
              <w:suppressLineNumbers w:val="0"/>
              <w:spacing w:before="0" w:beforeAutospacing="0" w:after="120" w:afterAutospacing="0" w:line="240" w:lineRule="auto"/>
              <w:ind w:left="0" w:leftChars="0" w:right="0" w:firstLine="0" w:firstLineChars="0"/>
              <w:jc w:val="both"/>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理化性质：</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 xml:space="preserve">（1）汽油：无色或淡黄色易挥发液体，具有特殊臭味。闪点-60℃，自燃点 250℃， 沸点 30-205℃，易燃；是应用于点式发动机（汽油发动机）的专用燃料，密度一般 在 0.71-0.75g/cm³ 之间，按用途可分为航空汽油和车用汽油，在加油站销售的汽油一般为车用汽油。 </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right="0"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（2）柴油：由不同的碳氢化合物混合组成，主要成分是含10到22个碳原子的链烷、环烷。它的化学和物理特性位于汽油和重油之间，沸点在 170℃至 390℃之间， 比重为 0.82-0.0845kg/</w:t>
            </w:r>
            <w:r>
              <w:rPr>
                <w:rFonts w:hint="eastAsia" w:ascii="Times New Roman" w:hAnsi="Times New Roman" w:cs="Times New Roman"/>
                <w:kern w:val="2"/>
                <w:sz w:val="24"/>
                <w:szCs w:val="24"/>
                <w:lang w:val="en-US" w:eastAsia="zh-CN" w:bidi="ar-SA"/>
              </w:rPr>
              <w:t>L</w:t>
            </w:r>
            <w:r>
              <w:rPr>
                <w:rFonts w:hint="default" w:ascii="Times New Roman" w:hAnsi="Times New Roman" w:eastAsia="宋体" w:cs="Times New Roman"/>
                <w:kern w:val="2"/>
                <w:sz w:val="24"/>
                <w:szCs w:val="24"/>
                <w:lang w:val="en-US" w:eastAsia="zh-CN" w:bidi="ar-SA"/>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6. 投资及规模</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项目总投资</w:t>
            </w:r>
            <w:r>
              <w:rPr>
                <w:rFonts w:hint="eastAsia" w:cs="Times New Roman"/>
                <w:sz w:val="24"/>
                <w:szCs w:val="24"/>
                <w:lang w:val="en-US" w:eastAsia="zh-CN"/>
              </w:rPr>
              <w:t>110</w:t>
            </w:r>
            <w:r>
              <w:rPr>
                <w:rFonts w:hint="default" w:ascii="Times New Roman" w:hAnsi="Times New Roman" w:eastAsia="宋体" w:cs="Times New Roman"/>
                <w:sz w:val="24"/>
                <w:szCs w:val="24"/>
                <w:lang w:val="en-US" w:eastAsia="zh-CN"/>
              </w:rPr>
              <w:t>万元，均由企业自筹。</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sz w:val="24"/>
                <w:szCs w:val="24"/>
                <w:lang w:val="en-US" w:eastAsia="zh-CN"/>
              </w:rPr>
            </w:pPr>
            <w:r>
              <w:rPr>
                <w:rFonts w:hint="default" w:ascii="Times New Roman" w:hAnsi="Times New Roman" w:eastAsia="宋体" w:cs="Times New Roman"/>
                <w:b/>
                <w:bCs/>
                <w:sz w:val="24"/>
                <w:szCs w:val="24"/>
                <w:lang w:val="en-US" w:eastAsia="zh-CN"/>
              </w:rPr>
              <w:t>7. 劳动定员及工作制度</w:t>
            </w:r>
          </w:p>
          <w:p>
            <w:pPr>
              <w:keepNext w:val="0"/>
              <w:keepLines w:val="0"/>
              <w:widowControl/>
              <w:suppressLineNumbers w:val="0"/>
              <w:adjustRightInd w:val="0"/>
              <w:snapToGrid w:val="0"/>
              <w:spacing w:before="0" w:beforeAutospacing="0" w:after="0" w:afterAutospacing="0" w:line="360" w:lineRule="auto"/>
              <w:ind w:left="0" w:right="0" w:firstLine="480" w:firstLineChars="200"/>
              <w:jc w:val="left"/>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本项目劳动定员</w:t>
            </w:r>
            <w:r>
              <w:rPr>
                <w:rFonts w:hint="eastAsia" w:cs="Times New Roman"/>
                <w:kern w:val="2"/>
                <w:sz w:val="24"/>
                <w:szCs w:val="24"/>
                <w:lang w:val="en-US" w:eastAsia="zh-CN" w:bidi="ar-SA"/>
              </w:rPr>
              <w:t>6</w:t>
            </w:r>
            <w:r>
              <w:rPr>
                <w:rFonts w:hint="default" w:ascii="Times New Roman" w:hAnsi="Times New Roman" w:eastAsia="宋体" w:cs="Times New Roman"/>
                <w:kern w:val="2"/>
                <w:sz w:val="24"/>
                <w:szCs w:val="24"/>
                <w:lang w:val="en-US" w:eastAsia="zh-CN" w:bidi="ar-SA"/>
              </w:rPr>
              <w:t>人，运行制度实行</w:t>
            </w:r>
            <w:r>
              <w:rPr>
                <w:rFonts w:hint="eastAsia" w:cs="Times New Roman"/>
                <w:kern w:val="2"/>
                <w:sz w:val="24"/>
                <w:szCs w:val="24"/>
                <w:lang w:val="en-US" w:eastAsia="zh-CN" w:bidi="ar-SA"/>
              </w:rPr>
              <w:t>2</w:t>
            </w:r>
            <w:r>
              <w:rPr>
                <w:rFonts w:hint="default" w:ascii="Times New Roman" w:hAnsi="Times New Roman" w:eastAsia="宋体" w:cs="Times New Roman"/>
                <w:kern w:val="2"/>
                <w:sz w:val="24"/>
                <w:szCs w:val="24"/>
                <w:lang w:val="en-US" w:eastAsia="zh-CN" w:bidi="ar-SA"/>
              </w:rPr>
              <w:t>班制每班</w:t>
            </w:r>
            <w:r>
              <w:rPr>
                <w:rFonts w:hint="eastAsia" w:cs="Times New Roman"/>
                <w:kern w:val="2"/>
                <w:sz w:val="24"/>
                <w:szCs w:val="24"/>
                <w:lang w:val="en-US" w:eastAsia="zh-CN" w:bidi="ar-SA"/>
              </w:rPr>
              <w:t>12</w:t>
            </w:r>
            <w:r>
              <w:rPr>
                <w:rFonts w:hint="default" w:ascii="Times New Roman" w:hAnsi="Times New Roman" w:eastAsia="宋体" w:cs="Times New Roman"/>
                <w:kern w:val="2"/>
                <w:sz w:val="24"/>
                <w:szCs w:val="24"/>
                <w:lang w:val="en-US" w:eastAsia="zh-CN" w:bidi="ar-SA"/>
              </w:rPr>
              <w:t>小时。</w:t>
            </w:r>
          </w:p>
          <w:p>
            <w:pPr>
              <w:keepNext w:val="0"/>
              <w:keepLines w:val="0"/>
              <w:suppressLineNumbers w:val="0"/>
              <w:adjustRightInd w:val="0"/>
              <w:spacing w:before="0" w:beforeAutospacing="0" w:after="0" w:afterAutospacing="0" w:line="360" w:lineRule="auto"/>
              <w:ind w:left="0" w:right="0" w:firstLine="0" w:firstLineChars="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b/>
                <w:bCs/>
                <w:kern w:val="2"/>
                <w:sz w:val="24"/>
                <w:szCs w:val="24"/>
                <w:lang w:val="en-US" w:eastAsia="zh-CN" w:bidi="ar-SA"/>
              </w:rPr>
              <w:t>8.</w:t>
            </w:r>
            <w:r>
              <w:rPr>
                <w:rFonts w:hint="eastAsia" w:cs="Times New Roman"/>
                <w:b/>
                <w:bCs/>
                <w:kern w:val="2"/>
                <w:sz w:val="24"/>
                <w:szCs w:val="24"/>
                <w:lang w:val="en-US" w:eastAsia="zh-CN" w:bidi="ar-SA"/>
              </w:rPr>
              <w:t xml:space="preserve"> 配套工程</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①给水</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本项目用水由</w:t>
            </w:r>
            <w:r>
              <w:rPr>
                <w:rFonts w:hint="default" w:ascii="Times New Roman" w:hAnsi="Times New Roman" w:cs="Times New Roman"/>
                <w:kern w:val="2"/>
                <w:sz w:val="24"/>
                <w:szCs w:val="24"/>
                <w:lang w:val="en-US" w:eastAsia="zh-CN" w:bidi="ar-SA"/>
              </w:rPr>
              <w:t>服务区统一供给</w:t>
            </w:r>
            <w:r>
              <w:rPr>
                <w:rFonts w:hint="default" w:ascii="Times New Roman" w:hAnsi="Times New Roman" w:eastAsia="宋体" w:cs="Times New Roman"/>
                <w:kern w:val="2"/>
                <w:sz w:val="24"/>
                <w:szCs w:val="24"/>
                <w:lang w:val="en-US" w:eastAsia="zh-CN" w:bidi="ar-SA"/>
              </w:rPr>
              <w:t>，项目不设洗车服务。项目用水主要为生活用水，包括冲厕水和职工盥洗废水。项目劳动定员</w:t>
            </w:r>
            <w:r>
              <w:rPr>
                <w:rFonts w:hint="eastAsia" w:cs="Times New Roman"/>
                <w:kern w:val="2"/>
                <w:sz w:val="24"/>
                <w:szCs w:val="24"/>
                <w:lang w:val="en-US" w:eastAsia="zh-CN" w:bidi="ar-SA"/>
              </w:rPr>
              <w:t>6人</w:t>
            </w:r>
            <w:r>
              <w:rPr>
                <w:rFonts w:hint="default" w:ascii="Times New Roman" w:hAnsi="Times New Roman" w:eastAsia="宋体" w:cs="Times New Roman"/>
                <w:kern w:val="2"/>
                <w:sz w:val="24"/>
                <w:szCs w:val="24"/>
                <w:lang w:val="en-US" w:eastAsia="zh-CN" w:bidi="ar-SA"/>
              </w:rPr>
              <w:t>，年用水量约为</w:t>
            </w:r>
            <w:r>
              <w:rPr>
                <w:rFonts w:hint="default" w:ascii="Times New Roman" w:hAnsi="Times New Roman" w:cs="Times New Roman"/>
                <w:kern w:val="2"/>
                <w:sz w:val="24"/>
                <w:szCs w:val="24"/>
                <w:lang w:val="en-US" w:eastAsia="zh-CN" w:bidi="ar-SA"/>
              </w:rPr>
              <w:t>500</w:t>
            </w:r>
            <w:r>
              <w:rPr>
                <w:rFonts w:hint="default" w:ascii="Times New Roman" w:hAnsi="Times New Roman" w:eastAsia="宋体" w:cs="Times New Roman"/>
                <w:kern w:val="2"/>
                <w:sz w:val="24"/>
                <w:szCs w:val="24"/>
                <w:lang w:val="en-US" w:eastAsia="zh-CN" w:bidi="ar-SA"/>
              </w:rPr>
              <w:t>m³/a。</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②排水</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项目运营期主要为生活污水，生活污水经化粪池处理后，</w:t>
            </w:r>
            <w:r>
              <w:rPr>
                <w:rFonts w:hint="default" w:ascii="Times New Roman" w:hAnsi="Times New Roman" w:cs="Times New Roman"/>
                <w:kern w:val="2"/>
                <w:sz w:val="24"/>
                <w:szCs w:val="24"/>
                <w:lang w:val="en-US" w:eastAsia="zh-CN" w:bidi="ar-SA"/>
              </w:rPr>
              <w:t>由服务区</w:t>
            </w:r>
            <w:r>
              <w:rPr>
                <w:rFonts w:hint="default" w:ascii="Times New Roman" w:hAnsi="Times New Roman" w:eastAsia="宋体" w:cs="Times New Roman"/>
                <w:kern w:val="2"/>
                <w:sz w:val="24"/>
                <w:szCs w:val="24"/>
                <w:lang w:val="en-US" w:eastAsia="zh-CN" w:bidi="ar-SA"/>
              </w:rPr>
              <w:t>定期清掏。</w:t>
            </w:r>
          </w:p>
          <w:p>
            <w:pPr>
              <w:keepNext w:val="0"/>
              <w:keepLines w:val="0"/>
              <w:suppressLineNumbers w:val="0"/>
              <w:adjustRightInd w:val="0"/>
              <w:spacing w:before="0" w:beforeAutospacing="0" w:after="0" w:afterAutospacing="0" w:line="360" w:lineRule="auto"/>
              <w:ind w:left="0" w:right="0" w:firstLine="480" w:firstLineChars="200"/>
              <w:contextualSpacing/>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③供电</w:t>
            </w:r>
          </w:p>
          <w:p>
            <w:pPr>
              <w:keepNext w:val="0"/>
              <w:keepLines w:val="0"/>
              <w:suppressLineNumbers w:val="0"/>
              <w:adjustRightInd w:val="0"/>
              <w:spacing w:before="0" w:beforeAutospacing="0" w:after="0" w:afterAutospacing="0" w:line="360" w:lineRule="auto"/>
              <w:ind w:left="0" w:right="0" w:firstLine="480" w:firstLineChars="200"/>
              <w:contextualSpacing/>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项目由</w:t>
            </w:r>
            <w:r>
              <w:rPr>
                <w:rFonts w:hint="eastAsia" w:cs="Times New Roman"/>
                <w:kern w:val="2"/>
                <w:sz w:val="24"/>
                <w:szCs w:val="24"/>
                <w:lang w:val="en-US" w:eastAsia="zh-CN" w:bidi="ar-SA"/>
              </w:rPr>
              <w:t>城乡电网</w:t>
            </w:r>
            <w:r>
              <w:rPr>
                <w:rFonts w:hint="eastAsia" w:ascii="Times New Roman" w:hAnsi="Times New Roman" w:eastAsia="宋体" w:cs="Times New Roman"/>
                <w:kern w:val="2"/>
                <w:sz w:val="24"/>
                <w:szCs w:val="24"/>
                <w:lang w:val="en-US" w:eastAsia="zh-CN" w:bidi="ar-SA"/>
              </w:rPr>
              <w:t>供电。</w:t>
            </w:r>
          </w:p>
          <w:p>
            <w:pPr>
              <w:keepNext w:val="0"/>
              <w:keepLines w:val="0"/>
              <w:numPr>
                <w:ilvl w:val="0"/>
                <w:numId w:val="0"/>
              </w:numPr>
              <w:suppressLineNumbers w:val="0"/>
              <w:spacing w:before="0" w:beforeAutospacing="0" w:after="0" w:afterAutospacing="0" w:line="520" w:lineRule="exact"/>
              <w:ind w:left="480" w:right="0" w:rightChars="0" w:hanging="482" w:hangingChars="200"/>
              <w:jc w:val="left"/>
              <w:rPr>
                <w:rFonts w:hint="eastAsia" w:ascii="Times New Roman" w:hAnsi="Times New Roman" w:eastAsia="宋体" w:cs="Times New Roman"/>
                <w:kern w:val="2"/>
                <w:sz w:val="24"/>
                <w:szCs w:val="24"/>
                <w:lang w:val="en-US" w:eastAsia="zh-CN" w:bidi="ar-SA"/>
              </w:rPr>
            </w:pPr>
            <w:r>
              <w:rPr>
                <w:rFonts w:hint="eastAsia" w:cs="Times New Roman"/>
                <w:b/>
                <w:bCs/>
                <w:kern w:val="2"/>
                <w:sz w:val="24"/>
                <w:szCs w:val="24"/>
                <w:lang w:val="en-US" w:eastAsia="zh-CN" w:bidi="ar-SA"/>
              </w:rPr>
              <w:t>9</w:t>
            </w:r>
            <w:r>
              <w:rPr>
                <w:rFonts w:hint="eastAsia" w:ascii="Times New Roman" w:hAnsi="Times New Roman" w:eastAsia="宋体" w:cs="Times New Roman"/>
                <w:b/>
                <w:bCs/>
                <w:kern w:val="2"/>
                <w:sz w:val="24"/>
                <w:szCs w:val="24"/>
                <w:lang w:val="en-US" w:eastAsia="zh-CN" w:bidi="ar-SA"/>
              </w:rPr>
              <w:t>.</w:t>
            </w:r>
            <w:r>
              <w:rPr>
                <w:rFonts w:hint="eastAsia" w:cs="Times New Roman"/>
                <w:b/>
                <w:bCs/>
                <w:kern w:val="2"/>
                <w:sz w:val="24"/>
                <w:szCs w:val="24"/>
                <w:lang w:val="en-US" w:eastAsia="zh-CN" w:bidi="ar-SA"/>
              </w:rPr>
              <w:t xml:space="preserve"> </w:t>
            </w:r>
            <w:r>
              <w:rPr>
                <w:rFonts w:hint="eastAsia" w:ascii="Times New Roman" w:hAnsi="Times New Roman" w:eastAsia="宋体" w:cs="Times New Roman"/>
                <w:b/>
                <w:bCs/>
                <w:kern w:val="2"/>
                <w:sz w:val="24"/>
                <w:szCs w:val="24"/>
                <w:lang w:val="en-US" w:eastAsia="zh-CN" w:bidi="ar-SA"/>
              </w:rPr>
              <w:t>选址及规划相符性分析</w:t>
            </w:r>
            <w:r>
              <w:rPr>
                <w:rFonts w:hint="eastAsia" w:ascii="Times New Roman" w:hAnsi="Times New Roman" w:eastAsia="宋体" w:cs="Times New Roman"/>
                <w:kern w:val="2"/>
                <w:sz w:val="24"/>
                <w:szCs w:val="24"/>
                <w:lang w:val="en-US" w:eastAsia="zh-CN" w:bidi="ar-SA"/>
              </w:rPr>
              <w:br w:type="textWrapping"/>
            </w:r>
            <w:r>
              <w:rPr>
                <w:rFonts w:hint="eastAsia" w:ascii="Times New Roman" w:hAnsi="Times New Roman" w:eastAsia="宋体" w:cs="Times New Roman"/>
                <w:kern w:val="2"/>
                <w:sz w:val="24"/>
                <w:szCs w:val="24"/>
                <w:lang w:val="en-US" w:eastAsia="zh-CN" w:bidi="ar-SA"/>
              </w:rPr>
              <w:t>（1）产业政策符合性分析</w:t>
            </w:r>
          </w:p>
          <w:p>
            <w:pPr>
              <w:keepNext w:val="0"/>
              <w:keepLines w:val="0"/>
              <w:numPr>
                <w:ilvl w:val="0"/>
                <w:numId w:val="0"/>
              </w:numPr>
              <w:suppressLineNumbers w:val="0"/>
              <w:spacing w:before="0" w:beforeAutospacing="0" w:after="0" w:afterAutospacing="0" w:line="520" w:lineRule="exact"/>
              <w:ind w:left="0" w:right="0"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本项目属【F5264】机动车燃料零售，对照《产业结构调整指导目录（201</w:t>
            </w:r>
            <w:r>
              <w:rPr>
                <w:rFonts w:hint="eastAsia" w:ascii="Times New Roman" w:hAnsi="Times New Roman" w:eastAsia="宋体" w:cs="Times New Roman"/>
                <w:sz w:val="24"/>
                <w:szCs w:val="24"/>
                <w:lang w:val="en-US" w:eastAsia="zh-CN"/>
              </w:rPr>
              <w:t>9</w:t>
            </w:r>
            <w:r>
              <w:rPr>
                <w:rFonts w:hint="default" w:ascii="Times New Roman" w:hAnsi="Times New Roman" w:eastAsia="宋体" w:cs="Times New Roman"/>
                <w:sz w:val="24"/>
                <w:szCs w:val="24"/>
              </w:rPr>
              <w:t xml:space="preserve"> 年），本项目不属于限制类和淘汰类，属于允许类，符合国家产业政策。本项目不属于《限制用地项目目录（2012年本）》和《禁止用地项目目录（2012年本）》中限制和禁止用地之列。因此，本项目的建设符合国家产业政策。</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480" w:leftChars="-200" w:right="0" w:firstLine="960" w:firstLineChars="400"/>
              <w:jc w:val="both"/>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（2）规划符合性分析</w:t>
            </w:r>
          </w:p>
          <w:p>
            <w:pPr>
              <w:pStyle w:val="16"/>
              <w:bidi w:val="0"/>
              <w:rPr>
                <w:rFonts w:hint="eastAsia" w:ascii="Times New Roman" w:hAnsi="Times New Roman" w:cs="Times New Roman"/>
                <w:sz w:val="24"/>
                <w:szCs w:val="24"/>
                <w:lang w:val="en-US" w:eastAsia="zh-CN"/>
              </w:rPr>
            </w:pPr>
            <w:r>
              <w:rPr>
                <w:rFonts w:hint="eastAsia"/>
                <w:sz w:val="24"/>
                <w:szCs w:val="24"/>
                <w:lang w:eastAsia="zh-CN"/>
              </w:rPr>
              <w:t>本项目位于鲁山赵村镇境内郑石高速石人山南服务区，项目用地为郑石高速石人山服务区用地，该项目用地为鲁山县国土资源局划拨用地，项目选址符合鲁山规划建设。</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0" w:firstLineChars="0"/>
              <w:jc w:val="both"/>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因此，评价认为本项目选址可行。</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eastAsia"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（3）选址符合性分析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firstLine="480" w:firstLineChars="200"/>
              <w:jc w:val="both"/>
              <w:textAlignment w:val="auto"/>
              <w:rPr>
                <w:rFonts w:hint="default" w:ascii="Times New Roman" w:hAnsi="Times New Roman" w:eastAsia="宋体"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根据《汽车加油加气站设计与施工规范》（GB50156-2012）（2014年局部修订 版）的相关规定，拟建项目建成后加油站油罐总容积为</w:t>
            </w:r>
            <w:r>
              <w:rPr>
                <w:rFonts w:hint="eastAsia" w:cs="Times New Roman"/>
                <w:kern w:val="2"/>
                <w:sz w:val="24"/>
                <w:szCs w:val="24"/>
                <w:lang w:val="en-US" w:eastAsia="zh-CN" w:bidi="ar-SA"/>
              </w:rPr>
              <w:t>240</w:t>
            </w:r>
            <w:r>
              <w:rPr>
                <w:rFonts w:hint="default" w:ascii="Times New Roman" w:hAnsi="Times New Roman" w:eastAsia="宋体" w:cs="Times New Roman"/>
                <w:kern w:val="2"/>
                <w:sz w:val="24"/>
                <w:szCs w:val="24"/>
                <w:lang w:val="en-US" w:eastAsia="zh-CN" w:bidi="ar-SA"/>
              </w:rPr>
              <w:t>m³</w:t>
            </w:r>
            <w:r>
              <w:rPr>
                <w:rFonts w:hint="eastAsia" w:ascii="Times New Roman" w:hAnsi="Times New Roman" w:eastAsia="宋体" w:cs="Times New Roman"/>
                <w:kern w:val="2"/>
                <w:sz w:val="24"/>
                <w:szCs w:val="24"/>
                <w:lang w:val="en-US" w:eastAsia="zh-CN" w:bidi="ar-SA"/>
              </w:rPr>
              <w:t>，计算容积为</w:t>
            </w:r>
            <w:r>
              <w:rPr>
                <w:rFonts w:hint="eastAsia" w:cs="Times New Roman"/>
                <w:kern w:val="2"/>
                <w:sz w:val="24"/>
                <w:szCs w:val="24"/>
                <w:lang w:val="en-US" w:eastAsia="zh-CN" w:bidi="ar-SA"/>
              </w:rPr>
              <w:t>165</w:t>
            </w:r>
            <w:r>
              <w:rPr>
                <w:rFonts w:hint="default" w:ascii="Times New Roman" w:hAnsi="Times New Roman" w:eastAsia="宋体" w:cs="Times New Roman"/>
                <w:kern w:val="2"/>
                <w:sz w:val="24"/>
                <w:szCs w:val="24"/>
                <w:lang w:val="en-US" w:eastAsia="zh-CN" w:bidi="ar-SA"/>
              </w:rPr>
              <w:t>m³</w:t>
            </w:r>
            <w:r>
              <w:rPr>
                <w:rFonts w:hint="eastAsia" w:ascii="Times New Roman" w:hAnsi="Times New Roman" w:eastAsia="宋体" w:cs="Times New Roman"/>
                <w:kern w:val="2"/>
                <w:sz w:val="24"/>
                <w:szCs w:val="24"/>
                <w:lang w:val="en-US" w:eastAsia="zh-CN" w:bidi="ar-SA"/>
              </w:rPr>
              <w:t>， 属于一级加油站，站址符合城市总体规划和《汽车加油加气站设计与施工规范》 （GB50156-2012）（2014年局部修订版）中有关站址选择的规定，本项目选址标准情况对比见表5、6。</w:t>
            </w:r>
          </w:p>
          <w:p>
            <w:pPr>
              <w:pStyle w:val="2"/>
              <w:ind w:left="0" w:leftChars="0" w:firstLine="0" w:firstLineChars="0"/>
              <w:rPr>
                <w:rFonts w:ascii="Times New Roman" w:hAnsi="Times New Roman" w:eastAsia="宋体" w:cs="Times New Roman"/>
                <w:sz w:val="24"/>
                <w:szCs w:val="24"/>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p>
            <w:pPr>
              <w:pStyle w:val="2"/>
              <w:ind w:left="0" w:leftChars="0" w:firstLine="0" w:firstLineChars="0"/>
              <w:rPr>
                <w:rFonts w:ascii="Times New Roman" w:hAnsi="Times New Roman" w:eastAsia="宋体" w:cs="Times New Roman"/>
                <w:sz w:val="21"/>
                <w:szCs w:val="21"/>
              </w:rPr>
            </w:pPr>
          </w:p>
        </w:tc>
      </w:tr>
    </w:tbl>
    <w:p>
      <w:pPr>
        <w:ind w:left="0" w:leftChars="0" w:firstLine="0" w:firstLineChars="0"/>
        <w:sectPr>
          <w:footerReference r:id="rId6" w:type="default"/>
          <w:pgSz w:w="11906" w:h="16838"/>
          <w:pgMar w:top="1440" w:right="1800" w:bottom="1440" w:left="1800" w:header="851" w:footer="992" w:gutter="0"/>
          <w:pgNumType w:fmt="decimal" w:start="1"/>
          <w:cols w:space="425" w:num="1"/>
          <w:docGrid w:type="lines" w:linePitch="312" w:charSpace="0"/>
        </w:sectPr>
      </w:pPr>
    </w:p>
    <w:tbl>
      <w:tblPr>
        <w:tblStyle w:val="20"/>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34" w:hRule="atLeast"/>
          <w:jc w:val="center"/>
        </w:trPr>
        <w:tc>
          <w:tcPr>
            <w:tcW w:w="13420" w:type="dxa"/>
          </w:tcPr>
          <w:p>
            <w:pPr>
              <w:widowControl/>
              <w:adjustRightInd w:val="0"/>
              <w:snapToGrid w:val="0"/>
              <w:spacing w:line="500" w:lineRule="exact"/>
              <w:ind w:firstLine="514" w:firstLineChars="24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5</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站内汽油设备与站外建（构）筑物的安全距离         </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单位：m</w:t>
            </w:r>
          </w:p>
          <w:tbl>
            <w:tblPr>
              <w:tblStyle w:val="20"/>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30"/>
              <w:gridCol w:w="3087"/>
              <w:gridCol w:w="1257"/>
              <w:gridCol w:w="919"/>
              <w:gridCol w:w="1355"/>
              <w:gridCol w:w="1064"/>
              <w:gridCol w:w="861"/>
              <w:gridCol w:w="1268"/>
              <w:gridCol w:w="14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restart"/>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 xml:space="preserve">                </w:t>
                  </w:r>
                  <w:r>
                    <w:rPr>
                      <w:rFonts w:ascii="Times New Roman" w:hAnsi="宋体" w:eastAsia="宋体" w:cs="Times New Roman"/>
                      <w:kern w:val="0"/>
                      <w:sz w:val="21"/>
                      <w:szCs w:val="21"/>
                    </w:rPr>
                    <w:t>站内设备</w:t>
                  </w:r>
                </w:p>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p>
                  <w:pPr>
                    <w:widowControl/>
                    <w:adjustRightInd w:val="0"/>
                    <w:snapToGrid w:val="0"/>
                    <w:spacing w:line="240" w:lineRule="auto"/>
                    <w:ind w:firstLine="0" w:firstLineChars="0"/>
                    <w:jc w:val="center"/>
                    <w:rPr>
                      <w:rFonts w:ascii="Times New Roman" w:hAnsi="宋体" w:eastAsia="宋体" w:cs="Times New Roman"/>
                      <w:kern w:val="0"/>
                      <w:sz w:val="21"/>
                      <w:szCs w:val="21"/>
                    </w:rPr>
                  </w:pPr>
                </w:p>
                <w:p>
                  <w:pPr>
                    <w:widowControl/>
                    <w:adjustRightInd w:val="0"/>
                    <w:snapToGrid w:val="0"/>
                    <w:spacing w:line="240" w:lineRule="auto"/>
                    <w:ind w:firstLine="0" w:firstLineChars="0"/>
                    <w:rPr>
                      <w:rFonts w:ascii="Times New Roman" w:hAnsi="Times New Roman" w:eastAsia="宋体" w:cs="Times New Roman"/>
                      <w:kern w:val="0"/>
                      <w:sz w:val="21"/>
                      <w:szCs w:val="21"/>
                    </w:rPr>
                  </w:pPr>
                  <w:r>
                    <w:rPr>
                      <w:rFonts w:ascii="Times New Roman" w:hAnsi="宋体" w:eastAsia="宋体" w:cs="Times New Roman"/>
                      <w:kern w:val="0"/>
                      <w:sz w:val="21"/>
                      <w:szCs w:val="21"/>
                    </w:rPr>
                    <w:t>站外建（构）筑物</w:t>
                  </w:r>
                </w:p>
              </w:tc>
              <w:tc>
                <w:tcPr>
                  <w:tcW w:w="3531" w:type="dxa"/>
                  <w:gridSpan w:val="3"/>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站内汽油设备</w:t>
                  </w:r>
                  <w:r>
                    <w:rPr>
                      <w:rFonts w:hint="eastAsia" w:ascii="Times New Roman" w:hAnsi="宋体" w:eastAsia="宋体" w:cs="Times New Roman"/>
                      <w:kern w:val="0"/>
                      <w:sz w:val="21"/>
                      <w:szCs w:val="21"/>
                    </w:rPr>
                    <w:t>（标准）</w:t>
                  </w:r>
                </w:p>
              </w:tc>
              <w:tc>
                <w:tcPr>
                  <w:tcW w:w="3193" w:type="dxa"/>
                  <w:gridSpan w:val="3"/>
                  <w:tcBorders>
                    <w:bottom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本项目</w:t>
                  </w:r>
                </w:p>
              </w:tc>
              <w:tc>
                <w:tcPr>
                  <w:tcW w:w="1463" w:type="dxa"/>
                  <w:vMerge w:val="restart"/>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919" w:type="dxa"/>
                  <w:vMerge w:val="restart"/>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35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064" w:type="dxa"/>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地埋油罐</w:t>
                  </w:r>
                </w:p>
              </w:tc>
              <w:tc>
                <w:tcPr>
                  <w:tcW w:w="861"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加油机</w:t>
                  </w:r>
                </w:p>
              </w:tc>
              <w:tc>
                <w:tcPr>
                  <w:tcW w:w="1268"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通气管管口</w:t>
                  </w: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57"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hAnsi="宋体" w:cs="Times New Roman"/>
                      <w:kern w:val="0"/>
                      <w:sz w:val="21"/>
                      <w:szCs w:val="21"/>
                      <w:lang w:eastAsia="zh-CN"/>
                    </w:rPr>
                    <w:t>一</w:t>
                  </w:r>
                  <w:r>
                    <w:rPr>
                      <w:rFonts w:ascii="Times New Roman" w:hAnsi="宋体" w:eastAsia="宋体" w:cs="Times New Roman"/>
                      <w:kern w:val="0"/>
                      <w:sz w:val="21"/>
                      <w:szCs w:val="21"/>
                    </w:rPr>
                    <w:t>级站</w:t>
                  </w:r>
                </w:p>
              </w:tc>
              <w:tc>
                <w:tcPr>
                  <w:tcW w:w="919"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355"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c>
                <w:tcPr>
                  <w:tcW w:w="1064" w:type="dxa"/>
                  <w:vAlign w:val="center"/>
                </w:tcPr>
                <w:p>
                  <w:pPr>
                    <w:widowControl/>
                    <w:adjustRightInd w:val="0"/>
                    <w:snapToGrid w:val="0"/>
                    <w:spacing w:line="240" w:lineRule="auto"/>
                    <w:ind w:firstLine="0" w:firstLineChars="0"/>
                    <w:jc w:val="center"/>
                    <w:rPr>
                      <w:rFonts w:hint="eastAsia" w:ascii="Times New Roman" w:hAnsi="宋体" w:eastAsia="宋体" w:cs="Times New Roman"/>
                      <w:kern w:val="0"/>
                      <w:sz w:val="21"/>
                      <w:szCs w:val="21"/>
                      <w:lang w:eastAsia="zh-CN"/>
                    </w:rPr>
                  </w:pPr>
                  <w:r>
                    <w:rPr>
                      <w:rFonts w:hint="eastAsia" w:hAnsi="宋体" w:cs="Times New Roman"/>
                      <w:kern w:val="0"/>
                      <w:sz w:val="21"/>
                      <w:szCs w:val="21"/>
                      <w:lang w:eastAsia="zh-CN"/>
                    </w:rPr>
                    <w:t>一级站</w:t>
                  </w:r>
                </w:p>
              </w:tc>
              <w:tc>
                <w:tcPr>
                  <w:tcW w:w="861"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268" w:type="dxa"/>
                  <w:vMerge w:val="continue"/>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p>
              </w:tc>
              <w:tc>
                <w:tcPr>
                  <w:tcW w:w="1463" w:type="dxa"/>
                  <w:vMerge w:val="continue"/>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vMerge w:val="continue"/>
                  <w:tcBorders>
                    <w:tl2br w:val="single" w:color="auto" w:sz="4" w:space="0"/>
                  </w:tcBorders>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3193"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宋体" w:eastAsia="宋体" w:cs="Times New Roman"/>
                      <w:kern w:val="0"/>
                      <w:sz w:val="21"/>
                      <w:szCs w:val="21"/>
                    </w:rPr>
                    <w:t>有卸油</w:t>
                  </w:r>
                  <w:r>
                    <w:rPr>
                      <w:rFonts w:ascii="Times New Roman" w:hAnsi="宋体" w:eastAsia="宋体" w:cs="Times New Roman"/>
                      <w:kern w:val="0"/>
                      <w:sz w:val="21"/>
                      <w:szCs w:val="21"/>
                    </w:rPr>
                    <w:t>和加油油气回收系统</w:t>
                  </w:r>
                </w:p>
              </w:tc>
              <w:tc>
                <w:tcPr>
                  <w:tcW w:w="1463"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重要公共建筑物</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50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40</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35</w:t>
                  </w:r>
                </w:p>
              </w:tc>
              <w:tc>
                <w:tcPr>
                  <w:tcW w:w="1064"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86</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70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sz w:val="21"/>
                      <w:szCs w:val="21"/>
                      <w:lang w:val="en-US" w:eastAsia="zh-CN"/>
                    </w:rPr>
                    <w:t>90</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明火地点或散发火花地点</w:t>
                  </w:r>
                </w:p>
              </w:tc>
              <w:tc>
                <w:tcPr>
                  <w:tcW w:w="1257"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30</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24</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21</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民用建筑保护物类别</w:t>
                  </w: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25</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20</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14</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rPr>
                    <w:t>侧民房）</w:t>
                  </w:r>
                </w:p>
              </w:tc>
              <w:tc>
                <w:tcPr>
                  <w:tcW w:w="1257"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16</w:t>
                  </w:r>
                </w:p>
              </w:tc>
              <w:tc>
                <w:tcPr>
                  <w:tcW w:w="919"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13</w:t>
                  </w:r>
                </w:p>
              </w:tc>
              <w:tc>
                <w:tcPr>
                  <w:tcW w:w="1355" w:type="dxa"/>
                  <w:vAlign w:val="center"/>
                </w:tcPr>
                <w:p>
                  <w:pPr>
                    <w:spacing w:line="240" w:lineRule="auto"/>
                    <w:ind w:firstLine="0" w:firstLineChars="0"/>
                    <w:jc w:val="center"/>
                    <w:rPr>
                      <w:rFonts w:hint="default" w:ascii="Times New Roman" w:hAnsi="Times New Roman" w:eastAsia="黑体" w:cs="Times New Roman"/>
                      <w:sz w:val="21"/>
                      <w:szCs w:val="21"/>
                      <w:lang w:val="en-US" w:eastAsia="zh-CN"/>
                    </w:rPr>
                  </w:pPr>
                  <w:r>
                    <w:rPr>
                      <w:rFonts w:hint="eastAsia" w:eastAsia="黑体" w:cs="Times New Roman"/>
                      <w:sz w:val="21"/>
                      <w:szCs w:val="21"/>
                      <w:lang w:val="en-US" w:eastAsia="zh-CN"/>
                    </w:rPr>
                    <w:t>11</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150</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184</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eastAsia" w:cs="Times New Roman"/>
                      <w:color w:val="auto"/>
                      <w:kern w:val="0"/>
                      <w:sz w:val="21"/>
                      <w:szCs w:val="21"/>
                      <w:lang w:val="en-US" w:eastAsia="zh-CN"/>
                    </w:rPr>
                    <w:t>180</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甲、乙类物品生产厂房、库房和甲、乙类液体储罐</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丙、丁、戊类物品生产厂房、库房和丙类液体储罐以及容积不大于50m</w:t>
                  </w:r>
                  <w:r>
                    <w:rPr>
                      <w:rFonts w:ascii="Times New Roman" w:hAnsi="宋体" w:eastAsia="宋体" w:cs="Times New Roman"/>
                      <w:sz w:val="21"/>
                      <w:szCs w:val="21"/>
                      <w:vertAlign w:val="superscript"/>
                    </w:rPr>
                    <w:t>3</w:t>
                  </w:r>
                  <w:r>
                    <w:rPr>
                      <w:rFonts w:ascii="Times New Roman" w:hAnsi="宋体" w:eastAsia="宋体" w:cs="Times New Roman"/>
                      <w:sz w:val="21"/>
                      <w:szCs w:val="21"/>
                    </w:rPr>
                    <w:t>的埋地甲、乙类液体储罐</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4</w:t>
                  </w:r>
                  <w:r>
                    <w:rPr>
                      <w:rFonts w:ascii="Times New Roman" w:hAnsi="Times New Roman" w:eastAsia="宋体" w:cs="Times New Roman"/>
                      <w:kern w:val="0"/>
                      <w:sz w:val="21"/>
                      <w:szCs w:val="21"/>
                    </w:rPr>
                    <w:t>.5</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1</w:t>
                  </w:r>
                  <w:r>
                    <w:rPr>
                      <w:rFonts w:hint="eastAsia" w:cs="Times New Roman"/>
                      <w:kern w:val="0"/>
                      <w:sz w:val="21"/>
                      <w:szCs w:val="21"/>
                      <w:lang w:val="en-US" w:eastAsia="zh-CN"/>
                    </w:rPr>
                    <w:t>2</w:t>
                  </w:r>
                  <w:r>
                    <w:rPr>
                      <w:rFonts w:ascii="Times New Roman" w:hAnsi="Times New Roman" w:eastAsia="宋体" w:cs="Times New Roman"/>
                      <w:kern w:val="0"/>
                      <w:sz w:val="21"/>
                      <w:szCs w:val="21"/>
                    </w:rPr>
                    <w:t>.5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室外变配电站</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25</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20</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铁路</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22</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hint="eastAsia" w:cs="Times New Roman"/>
                      <w:kern w:val="0"/>
                      <w:sz w:val="21"/>
                      <w:szCs w:val="21"/>
                      <w:lang w:eastAsia="zh-CN"/>
                    </w:rPr>
                    <w:t>70.8</w:t>
                  </w:r>
                </w:p>
              </w:tc>
              <w:tc>
                <w:tcPr>
                  <w:tcW w:w="1355" w:type="dxa"/>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Times New Roman" w:eastAsia="宋体" w:cs="Times New Roman"/>
                      <w:kern w:val="0"/>
                      <w:sz w:val="21"/>
                      <w:szCs w:val="21"/>
                    </w:rPr>
                    <w:t>15.5</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道路</w:t>
                  </w:r>
                </w:p>
              </w:tc>
              <w:tc>
                <w:tcPr>
                  <w:tcW w:w="3087" w:type="dxa"/>
                  <w:shd w:val="clear" w:color="auto" w:fill="auto"/>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eastAsia="zh-CN"/>
                    </w:rPr>
                  </w:pPr>
                  <w:r>
                    <w:rPr>
                      <w:rFonts w:ascii="Times New Roman" w:hAnsi="宋体" w:eastAsia="宋体" w:cs="Times New Roman"/>
                      <w:kern w:val="0"/>
                      <w:sz w:val="21"/>
                      <w:szCs w:val="21"/>
                    </w:rPr>
                    <w:t>快速路、主干路</w:t>
                  </w:r>
                  <w:r>
                    <w:rPr>
                      <w:rFonts w:hint="eastAsia" w:ascii="Times New Roman" w:hAnsi="宋体" w:eastAsia="宋体" w:cs="Times New Roman"/>
                      <w:kern w:val="0"/>
                      <w:sz w:val="21"/>
                      <w:szCs w:val="21"/>
                      <w:lang w:eastAsia="zh-CN"/>
                    </w:rPr>
                    <w:t>（</w:t>
                  </w:r>
                  <w:r>
                    <w:rPr>
                      <w:rFonts w:hint="eastAsia" w:hAnsi="宋体" w:cs="Times New Roman"/>
                      <w:kern w:val="0"/>
                      <w:sz w:val="21"/>
                      <w:szCs w:val="21"/>
                      <w:lang w:eastAsia="zh-CN"/>
                    </w:rPr>
                    <w:t>南</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val="en-US" w:eastAsia="zh-CN"/>
                    </w:rPr>
                    <w:t>郑石高速</w:t>
                  </w:r>
                  <w:r>
                    <w:rPr>
                      <w:rFonts w:hint="eastAsia" w:ascii="Times New Roman" w:hAnsi="宋体" w:eastAsia="宋体" w:cs="Times New Roman"/>
                      <w:kern w:val="0"/>
                      <w:sz w:val="21"/>
                      <w:szCs w:val="21"/>
                      <w:lang w:eastAsia="zh-CN"/>
                    </w:rPr>
                    <w:t>）</w:t>
                  </w:r>
                </w:p>
              </w:tc>
              <w:tc>
                <w:tcPr>
                  <w:tcW w:w="1257"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w:t>
                  </w:r>
                </w:p>
              </w:tc>
              <w:tc>
                <w:tcPr>
                  <w:tcW w:w="919"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135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7</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eastAsia="zh-CN"/>
                    </w:rPr>
                  </w:pPr>
                  <w:r>
                    <w:rPr>
                      <w:rFonts w:hint="eastAsia" w:cs="Times New Roman"/>
                      <w:kern w:val="0"/>
                      <w:sz w:val="21"/>
                      <w:szCs w:val="21"/>
                      <w:lang w:val="en-US" w:eastAsia="zh-CN"/>
                    </w:rPr>
                    <w:t>45</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30</w:t>
                  </w:r>
                </w:p>
              </w:tc>
              <w:tc>
                <w:tcPr>
                  <w:tcW w:w="1463"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kern w:val="0"/>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匝道</w:t>
                  </w:r>
                  <w:r>
                    <w:rPr>
                      <w:rFonts w:hint="eastAsia" w:ascii="Times New Roman" w:hAnsi="Times New Roman" w:eastAsia="宋体" w:cs="Times New Roman"/>
                      <w:sz w:val="21"/>
                      <w:szCs w:val="21"/>
                    </w:rPr>
                    <w:t>）</w:t>
                  </w:r>
                </w:p>
              </w:tc>
              <w:tc>
                <w:tcPr>
                  <w:tcW w:w="1257"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kern w:val="0"/>
                      <w:sz w:val="21"/>
                      <w:szCs w:val="21"/>
                      <w:lang w:val="en-US" w:eastAsia="zh-CN"/>
                    </w:rPr>
                  </w:pPr>
                  <w:r>
                    <w:rPr>
                      <w:rFonts w:hint="eastAsia" w:cs="Times New Roman"/>
                      <w:kern w:val="0"/>
                      <w:sz w:val="21"/>
                      <w:szCs w:val="21"/>
                      <w:lang w:val="en-US" w:eastAsia="zh-CN"/>
                    </w:rPr>
                    <w:t>8</w:t>
                  </w:r>
                </w:p>
              </w:tc>
              <w:tc>
                <w:tcPr>
                  <w:tcW w:w="919"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6.5</w:t>
                  </w:r>
                </w:p>
              </w:tc>
              <w:tc>
                <w:tcPr>
                  <w:tcW w:w="135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ascii="Times New Roman" w:hAnsi="Times New Roman" w:eastAsia="宋体" w:cs="Times New Roman"/>
                      <w:kern w:val="0"/>
                      <w:sz w:val="21"/>
                      <w:szCs w:val="21"/>
                    </w:rPr>
                    <w:t>5</w:t>
                  </w:r>
                  <w:r>
                    <w:rPr>
                      <w:rFonts w:hint="eastAsia" w:cs="Times New Roman"/>
                      <w:kern w:val="0"/>
                      <w:sz w:val="21"/>
                      <w:szCs w:val="21"/>
                      <w:lang w:val="en-US" w:eastAsia="zh-CN"/>
                    </w:rPr>
                    <w:t>.5</w:t>
                  </w:r>
                </w:p>
              </w:tc>
              <w:tc>
                <w:tcPr>
                  <w:tcW w:w="1064"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100</w:t>
                  </w:r>
                </w:p>
              </w:tc>
              <w:tc>
                <w:tcPr>
                  <w:tcW w:w="861"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268" w:type="dxa"/>
                  <w:vAlign w:val="center"/>
                </w:tcPr>
                <w:p>
                  <w:pPr>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80</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7" w:type="dxa"/>
                  <w:gridSpan w:val="2"/>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kern w:val="0"/>
                      <w:sz w:val="21"/>
                      <w:szCs w:val="21"/>
                    </w:rPr>
                    <w:t>架空通信线和通信发射塔</w:t>
                  </w:r>
                </w:p>
              </w:tc>
              <w:tc>
                <w:tcPr>
                  <w:tcW w:w="3531" w:type="dxa"/>
                  <w:gridSpan w:val="3"/>
                  <w:vAlign w:val="center"/>
                </w:tcPr>
                <w:p>
                  <w:pPr>
                    <w:widowControl/>
                    <w:adjustRightInd w:val="0"/>
                    <w:snapToGrid w:val="0"/>
                    <w:spacing w:line="240" w:lineRule="auto"/>
                    <w:ind w:firstLine="0" w:firstLineChars="0"/>
                    <w:jc w:val="center"/>
                    <w:rPr>
                      <w:rFonts w:hint="default" w:ascii="Times New Roman" w:hAnsi="Times New Roman" w:eastAsia="宋体" w:cs="Times New Roman"/>
                      <w:kern w:val="0"/>
                      <w:sz w:val="21"/>
                      <w:szCs w:val="21"/>
                      <w:lang w:val="en-US" w:eastAsia="zh-CN"/>
                    </w:rPr>
                  </w:pPr>
                  <w:r>
                    <w:rPr>
                      <w:rFonts w:hint="eastAsia" w:cs="Times New Roman"/>
                      <w:kern w:val="0"/>
                      <w:sz w:val="21"/>
                      <w:szCs w:val="21"/>
                      <w:lang w:val="en-US" w:eastAsia="zh-CN"/>
                    </w:rPr>
                    <w:t>1倍杆高且不应小于5m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架空电力线路</w:t>
                  </w:r>
                </w:p>
              </w:tc>
              <w:tc>
                <w:tcPr>
                  <w:tcW w:w="308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sz w:val="21"/>
                      <w:szCs w:val="21"/>
                    </w:rPr>
                    <w:t>无绝缘层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1.5倍杆（塔）高且不应小于6.5m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30" w:type="dxa"/>
                  <w:vMerge w:val="continue"/>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p>
              </w:tc>
              <w:tc>
                <w:tcPr>
                  <w:tcW w:w="3087" w:type="dxa"/>
                  <w:shd w:val="clear" w:color="auto" w:fill="auto"/>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ascii="Times New Roman" w:hAnsi="宋体" w:eastAsia="宋体" w:cs="Times New Roman"/>
                      <w:sz w:val="21"/>
                      <w:szCs w:val="21"/>
                    </w:rPr>
                    <w:t>有绝缘层</w:t>
                  </w:r>
                </w:p>
              </w:tc>
              <w:tc>
                <w:tcPr>
                  <w:tcW w:w="3531" w:type="dxa"/>
                  <w:gridSpan w:val="3"/>
                  <w:vAlign w:val="center"/>
                </w:tcPr>
                <w:p>
                  <w:pPr>
                    <w:widowControl/>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cs="Times New Roman"/>
                      <w:kern w:val="0"/>
                      <w:sz w:val="21"/>
                      <w:szCs w:val="21"/>
                      <w:lang w:val="en-US" w:eastAsia="zh-CN"/>
                    </w:rPr>
                    <w:t>1倍杆（塔）高且不应小于5m</w:t>
                  </w:r>
                </w:p>
              </w:tc>
              <w:tc>
                <w:tcPr>
                  <w:tcW w:w="1064"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86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463" w:type="dxa"/>
                  <w:vAlign w:val="center"/>
                </w:tcPr>
                <w:p>
                  <w:pPr>
                    <w:adjustRightInd w:val="0"/>
                    <w:snapToGrid w:val="0"/>
                    <w:spacing w:line="240" w:lineRule="auto"/>
                    <w:ind w:firstLine="0" w:firstLineChars="0"/>
                    <w:jc w:val="center"/>
                    <w:rPr>
                      <w:rFonts w:ascii="Times New Roman" w:hAnsi="Times New Roman" w:eastAsia="宋体" w:cs="Times New Roman"/>
                      <w:kern w:val="0"/>
                      <w:sz w:val="21"/>
                      <w:szCs w:val="21"/>
                    </w:rPr>
                  </w:pPr>
                  <w:r>
                    <w:rPr>
                      <w:rFonts w:hint="eastAsia" w:ascii="Times New Roman" w:hAnsi="Times New Roman" w:eastAsia="宋体" w:cs="Times New Roman"/>
                      <w:kern w:val="0"/>
                      <w:sz w:val="21"/>
                      <w:szCs w:val="21"/>
                    </w:rPr>
                    <w:t>---</w:t>
                  </w:r>
                </w:p>
              </w:tc>
            </w:tr>
          </w:tbl>
          <w:p>
            <w:pPr>
              <w:widowControl/>
              <w:adjustRightInd w:val="0"/>
              <w:snapToGrid w:val="0"/>
              <w:spacing w:line="240" w:lineRule="auto"/>
              <w:ind w:firstLine="0" w:firstLineChars="0"/>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 xml:space="preserve">备注： </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tc>
      </w:tr>
    </w:tbl>
    <w:p>
      <w:pPr>
        <w:sectPr>
          <w:pgSz w:w="16838" w:h="11906" w:orient="landscape"/>
          <w:pgMar w:top="563" w:right="1701" w:bottom="1091" w:left="1701" w:header="543" w:footer="646"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0"/>
        <w:tblW w:w="1342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342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587" w:hRule="atLeast"/>
          <w:jc w:val="center"/>
        </w:trPr>
        <w:tc>
          <w:tcPr>
            <w:tcW w:w="13420" w:type="dxa"/>
          </w:tcPr>
          <w:p>
            <w:pPr>
              <w:widowControl/>
              <w:adjustRightInd w:val="0"/>
              <w:snapToGrid w:val="0"/>
              <w:spacing w:line="500" w:lineRule="exact"/>
              <w:ind w:firstLine="620" w:firstLineChars="294"/>
              <w:rPr>
                <w:rFonts w:ascii="Times New Roman" w:hAnsi="Times New Roman" w:eastAsia="宋体" w:cs="Times New Roman"/>
                <w:b/>
                <w:kern w:val="0"/>
                <w:sz w:val="21"/>
                <w:szCs w:val="21"/>
              </w:rPr>
            </w:pPr>
            <w:r>
              <w:rPr>
                <w:rFonts w:hint="eastAsia" w:ascii="Times New Roman" w:hAnsi="Times New Roman" w:eastAsia="宋体" w:cs="Times New Roman"/>
                <w:b/>
                <w:kern w:val="0"/>
                <w:sz w:val="21"/>
                <w:szCs w:val="21"/>
              </w:rPr>
              <w:t>表</w:t>
            </w:r>
            <w:r>
              <w:rPr>
                <w:rFonts w:hint="eastAsia" w:cs="Times New Roman"/>
                <w:b/>
                <w:kern w:val="0"/>
                <w:sz w:val="21"/>
                <w:szCs w:val="21"/>
                <w:lang w:val="en-US" w:eastAsia="zh-CN"/>
              </w:rPr>
              <w:t>6</w:t>
            </w:r>
            <w:r>
              <w:rPr>
                <w:rFonts w:ascii="Times New Roman" w:hAnsi="Times New Roman" w:eastAsia="宋体" w:cs="Times New Roman"/>
                <w:b/>
                <w:kern w:val="0"/>
                <w:sz w:val="21"/>
                <w:szCs w:val="21"/>
              </w:rPr>
              <w:t xml:space="preserve"> </w:t>
            </w:r>
            <w:r>
              <w:rPr>
                <w:rFonts w:hint="eastAsia" w:ascii="Times New Roman" w:hAnsi="Times New Roman" w:eastAsia="宋体" w:cs="Times New Roman"/>
                <w:b/>
                <w:kern w:val="0"/>
                <w:sz w:val="21"/>
                <w:szCs w:val="21"/>
              </w:rPr>
              <w:t xml:space="preserve">                             站内柴油设备与站外建（构）筑物的安全距离                                  单位：m</w:t>
            </w:r>
          </w:p>
          <w:tbl>
            <w:tblPr>
              <w:tblStyle w:val="20"/>
              <w:tblW w:w="132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85" w:type="dxa"/>
                <w:bottom w:w="0" w:type="dxa"/>
                <w:right w:w="85" w:type="dxa"/>
              </w:tblCellMar>
            </w:tblPr>
            <w:tblGrid>
              <w:gridCol w:w="1654"/>
              <w:gridCol w:w="3717"/>
              <w:gridCol w:w="1815"/>
              <w:gridCol w:w="1605"/>
              <w:gridCol w:w="1102"/>
              <w:gridCol w:w="915"/>
              <w:gridCol w:w="1220"/>
              <w:gridCol w:w="11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restart"/>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 xml:space="preserve">              </w:t>
                  </w:r>
                  <w:r>
                    <w:rPr>
                      <w:rFonts w:ascii="Times New Roman" w:hAnsi="Times New Roman" w:eastAsia="宋体" w:cs="Times New Roman"/>
                      <w:sz w:val="21"/>
                      <w:szCs w:val="21"/>
                    </w:rPr>
                    <w:t>站内设备</w:t>
                  </w: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jc w:val="center"/>
                    <w:rPr>
                      <w:rFonts w:ascii="Times New Roman" w:hAnsi="Times New Roman" w:eastAsia="宋体" w:cs="Times New Roman"/>
                      <w:sz w:val="21"/>
                      <w:szCs w:val="21"/>
                    </w:rPr>
                  </w:pPr>
                </w:p>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站外建（构）筑物</w:t>
                  </w:r>
                </w:p>
              </w:tc>
              <w:tc>
                <w:tcPr>
                  <w:tcW w:w="3420" w:type="dxa"/>
                  <w:gridSpan w:val="2"/>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站内</w:t>
                  </w:r>
                  <w:r>
                    <w:rPr>
                      <w:rFonts w:hint="eastAsia" w:ascii="Times New Roman" w:hAnsi="Times New Roman" w:eastAsia="宋体" w:cs="Times New Roman"/>
                      <w:sz w:val="21"/>
                      <w:szCs w:val="21"/>
                    </w:rPr>
                    <w:t>柴</w:t>
                  </w:r>
                  <w:r>
                    <w:rPr>
                      <w:rFonts w:ascii="Times New Roman" w:hAnsi="Times New Roman" w:eastAsia="宋体" w:cs="Times New Roman"/>
                      <w:sz w:val="21"/>
                      <w:szCs w:val="21"/>
                    </w:rPr>
                    <w:t>油设备</w:t>
                  </w:r>
                </w:p>
              </w:tc>
              <w:tc>
                <w:tcPr>
                  <w:tcW w:w="3237" w:type="dxa"/>
                  <w:gridSpan w:val="3"/>
                  <w:tcBorders>
                    <w:bottom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本项目</w:t>
                  </w:r>
                </w:p>
              </w:tc>
              <w:tc>
                <w:tcPr>
                  <w:tcW w:w="1176"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是否满足要求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00"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1605" w:type="dxa"/>
                  <w:vMerge w:val="restart"/>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r>
                    <w:rPr>
                      <w:rFonts w:hint="eastAsia" w:cs="Times New Roman"/>
                      <w:sz w:val="21"/>
                      <w:szCs w:val="21"/>
                      <w:lang w:eastAsia="zh-CN"/>
                    </w:rPr>
                    <w:t>、</w:t>
                  </w:r>
                  <w:r>
                    <w:rPr>
                      <w:rFonts w:ascii="Times New Roman" w:hAnsi="Times New Roman" w:eastAsia="宋体" w:cs="Times New Roman"/>
                      <w:sz w:val="21"/>
                      <w:szCs w:val="21"/>
                    </w:rPr>
                    <w:t>通气管管口</w:t>
                  </w:r>
                </w:p>
              </w:tc>
              <w:tc>
                <w:tcPr>
                  <w:tcW w:w="1102" w:type="dxa"/>
                  <w:tcBorders>
                    <w:top w:val="single" w:color="auto" w:sz="4" w:space="0"/>
                  </w:tcBorders>
                  <w:vAlign w:val="center"/>
                </w:tcPr>
                <w:p>
                  <w:pPr>
                    <w:adjustRightInd w:val="0"/>
                    <w:snapToGrid w:val="0"/>
                    <w:spacing w:line="240" w:lineRule="auto"/>
                    <w:ind w:firstLine="0" w:firstLineChars="0"/>
                    <w:rPr>
                      <w:rFonts w:ascii="Times New Roman" w:hAnsi="Times New Roman" w:eastAsia="宋体" w:cs="Times New Roman"/>
                      <w:sz w:val="21"/>
                      <w:szCs w:val="21"/>
                    </w:rPr>
                  </w:pPr>
                  <w:r>
                    <w:rPr>
                      <w:rFonts w:ascii="Times New Roman" w:hAnsi="Times New Roman" w:eastAsia="宋体" w:cs="Times New Roman"/>
                      <w:sz w:val="21"/>
                      <w:szCs w:val="21"/>
                    </w:rPr>
                    <w:t>地埋油罐</w:t>
                  </w:r>
                </w:p>
              </w:tc>
              <w:tc>
                <w:tcPr>
                  <w:tcW w:w="915"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加油机</w:t>
                  </w:r>
                </w:p>
              </w:tc>
              <w:tc>
                <w:tcPr>
                  <w:tcW w:w="1220" w:type="dxa"/>
                  <w:vMerge w:val="restart"/>
                  <w:tcBorders>
                    <w:top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通气管管口</w:t>
                  </w: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228" w:hRule="atLeast"/>
                <w:jc w:val="center"/>
              </w:trPr>
              <w:tc>
                <w:tcPr>
                  <w:tcW w:w="5371" w:type="dxa"/>
                  <w:gridSpan w:val="2"/>
                  <w:vMerge w:val="continue"/>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sz w:val="21"/>
                      <w:szCs w:val="21"/>
                      <w:lang w:eastAsia="zh-CN"/>
                    </w:rPr>
                    <w:t>一</w:t>
                  </w:r>
                  <w:r>
                    <w:rPr>
                      <w:rFonts w:ascii="Times New Roman" w:hAnsi="Times New Roman" w:eastAsia="宋体" w:cs="Times New Roman"/>
                      <w:sz w:val="21"/>
                      <w:szCs w:val="21"/>
                    </w:rPr>
                    <w:t>级站</w:t>
                  </w:r>
                </w:p>
              </w:tc>
              <w:tc>
                <w:tcPr>
                  <w:tcW w:w="160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02"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一级站</w:t>
                  </w:r>
                </w:p>
              </w:tc>
              <w:tc>
                <w:tcPr>
                  <w:tcW w:w="915"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220"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1176" w:type="dxa"/>
                  <w:vMerge w:val="continue"/>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重要公共建筑物</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25</w:t>
                  </w:r>
                </w:p>
              </w:tc>
              <w:tc>
                <w:tcPr>
                  <w:tcW w:w="110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73</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85</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明火地点或散发火花地点</w:t>
                  </w:r>
                </w:p>
              </w:tc>
              <w:tc>
                <w:tcPr>
                  <w:tcW w:w="18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rPr>
                    <w:t>1</w:t>
                  </w:r>
                  <w:r>
                    <w:rPr>
                      <w:rFonts w:hint="eastAsia" w:cs="Times New Roman"/>
                      <w:sz w:val="21"/>
                      <w:szCs w:val="21"/>
                      <w:lang w:val="en-US" w:eastAsia="zh-CN"/>
                    </w:rPr>
                    <w:t>2.5</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民用建筑保护物类别</w:t>
                  </w: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一类保护物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ascii="Times New Roman" w:hAnsi="宋体" w:eastAsia="宋体" w:cs="Times New Roman"/>
                      <w:kern w:val="0"/>
                      <w:sz w:val="21"/>
                      <w:szCs w:val="21"/>
                    </w:rPr>
                    <w:t>二类保护物</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widowControl/>
                    <w:adjustRightInd w:val="0"/>
                    <w:snapToGrid w:val="0"/>
                    <w:spacing w:line="240" w:lineRule="auto"/>
                    <w:ind w:firstLine="0" w:firstLineChars="0"/>
                    <w:jc w:val="center"/>
                    <w:rPr>
                      <w:rFonts w:ascii="Times New Roman" w:hAnsi="宋体" w:eastAsia="宋体" w:cs="Times New Roman"/>
                      <w:kern w:val="0"/>
                      <w:sz w:val="21"/>
                      <w:szCs w:val="21"/>
                    </w:rPr>
                  </w:pPr>
                  <w:r>
                    <w:rPr>
                      <w:rFonts w:hint="eastAsia" w:ascii="Times New Roman" w:hAnsi="宋体" w:eastAsia="宋体" w:cs="Times New Roman"/>
                      <w:kern w:val="0"/>
                      <w:sz w:val="21"/>
                      <w:szCs w:val="21"/>
                    </w:rPr>
                    <w:t>三</w:t>
                  </w:r>
                  <w:r>
                    <w:rPr>
                      <w:rFonts w:ascii="Times New Roman" w:hAnsi="宋体" w:eastAsia="宋体" w:cs="Times New Roman"/>
                      <w:kern w:val="0"/>
                      <w:sz w:val="21"/>
                      <w:szCs w:val="21"/>
                    </w:rPr>
                    <w:t>类保护物</w:t>
                  </w:r>
                  <w:r>
                    <w:rPr>
                      <w:rFonts w:hint="eastAsia" w:ascii="Times New Roman" w:hAnsi="宋体" w:eastAsia="宋体" w:cs="Times New Roman"/>
                      <w:kern w:val="0"/>
                      <w:sz w:val="21"/>
                      <w:szCs w:val="21"/>
                    </w:rPr>
                    <w:t>(</w:t>
                  </w:r>
                  <w:r>
                    <w:rPr>
                      <w:rFonts w:hint="eastAsia" w:hAnsi="宋体" w:cs="Times New Roman"/>
                      <w:kern w:val="0"/>
                      <w:sz w:val="21"/>
                      <w:szCs w:val="21"/>
                      <w:lang w:eastAsia="zh-CN"/>
                    </w:rPr>
                    <w:t>西</w:t>
                  </w:r>
                  <w:r>
                    <w:rPr>
                      <w:rFonts w:hint="eastAsia" w:ascii="Times New Roman" w:hAnsi="宋体" w:eastAsia="宋体" w:cs="Times New Roman"/>
                      <w:kern w:val="0"/>
                      <w:sz w:val="21"/>
                      <w:szCs w:val="21"/>
                      <w:lang w:eastAsia="zh-CN"/>
                    </w:rPr>
                    <w:t>侧</w:t>
                  </w:r>
                  <w:r>
                    <w:rPr>
                      <w:rFonts w:hint="eastAsia" w:hAnsi="宋体" w:cs="Times New Roman"/>
                      <w:kern w:val="0"/>
                      <w:sz w:val="21"/>
                      <w:szCs w:val="21"/>
                      <w:lang w:eastAsia="zh-CN"/>
                    </w:rPr>
                    <w:t>服务区</w:t>
                  </w:r>
                  <w:r>
                    <w:rPr>
                      <w:rFonts w:hint="eastAsia" w:ascii="Times New Roman" w:hAnsi="宋体" w:eastAsia="宋体" w:cs="Times New Roman"/>
                      <w:kern w:val="0"/>
                      <w:sz w:val="21"/>
                      <w:szCs w:val="21"/>
                    </w:rPr>
                    <w:t>)</w:t>
                  </w:r>
                </w:p>
              </w:tc>
              <w:tc>
                <w:tcPr>
                  <w:tcW w:w="1815" w:type="dxa"/>
                  <w:vAlign w:val="center"/>
                </w:tcPr>
                <w:p>
                  <w:pPr>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6</w:t>
                  </w:r>
                </w:p>
              </w:tc>
              <w:tc>
                <w:tcPr>
                  <w:tcW w:w="1605" w:type="dxa"/>
                  <w:vAlign w:val="center"/>
                </w:tcPr>
                <w:p>
                  <w:pPr>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35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甲、乙类物品生产厂房、库房和甲、乙类液体储罐</w:t>
                  </w:r>
                </w:p>
              </w:tc>
              <w:tc>
                <w:tcPr>
                  <w:tcW w:w="181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丙、丁、戊类物品生产厂房、库房和丙类液体储罐以及容积不大于50m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的埋地甲、乙类液体储罐</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9</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9</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室外变配电站</w:t>
                  </w:r>
                </w:p>
              </w:tc>
              <w:tc>
                <w:tcPr>
                  <w:tcW w:w="181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ascii="Times New Roman" w:hAnsi="Times New Roman" w:eastAsia="宋体" w:cs="Times New Roman"/>
                      <w:sz w:val="21"/>
                      <w:szCs w:val="21"/>
                    </w:rPr>
                    <w:t>1</w:t>
                  </w:r>
                  <w:r>
                    <w:rPr>
                      <w:rFonts w:hint="eastAsia" w:cs="Times New Roman"/>
                      <w:sz w:val="21"/>
                      <w:szCs w:val="21"/>
                      <w:lang w:val="en-US" w:eastAsia="zh-CN"/>
                    </w:rPr>
                    <w:t>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铁路</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15</w:t>
                  </w:r>
                </w:p>
              </w:tc>
              <w:tc>
                <w:tcPr>
                  <w:tcW w:w="1605"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道路</w:t>
                  </w:r>
                </w:p>
              </w:tc>
              <w:tc>
                <w:tcPr>
                  <w:tcW w:w="3717" w:type="dxa"/>
                  <w:shd w:val="clear" w:color="auto" w:fill="auto"/>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ascii="Times New Roman" w:hAnsi="Times New Roman" w:eastAsia="宋体" w:cs="Times New Roman"/>
                      <w:sz w:val="21"/>
                      <w:szCs w:val="21"/>
                    </w:rPr>
                    <w:t>快速路、主干路</w:t>
                  </w:r>
                  <w:r>
                    <w:rPr>
                      <w:rFonts w:hint="eastAsia" w:ascii="Times New Roman" w:hAnsi="Times New Roman" w:eastAsia="宋体" w:cs="Times New Roman"/>
                      <w:sz w:val="21"/>
                      <w:szCs w:val="21"/>
                      <w:lang w:eastAsia="zh-CN"/>
                    </w:rPr>
                    <w:t>（</w:t>
                  </w:r>
                  <w:r>
                    <w:rPr>
                      <w:rFonts w:hint="eastAsia" w:cs="Times New Roman"/>
                      <w:sz w:val="21"/>
                      <w:szCs w:val="21"/>
                      <w:lang w:eastAsia="zh-CN"/>
                    </w:rPr>
                    <w:t>东侧许平南高速</w:t>
                  </w:r>
                  <w:r>
                    <w:rPr>
                      <w:rFonts w:hint="eastAsia" w:ascii="Times New Roman" w:hAnsi="Times New Roman" w:eastAsia="宋体" w:cs="Times New Roman"/>
                      <w:sz w:val="21"/>
                      <w:szCs w:val="21"/>
                      <w:lang w:eastAsia="zh-CN"/>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kern w:val="0"/>
                      <w:sz w:val="21"/>
                      <w:szCs w:val="21"/>
                      <w:lang w:val="en-US" w:eastAsia="zh-CN"/>
                    </w:rPr>
                    <w:t>45</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FF0000"/>
                      <w:kern w:val="0"/>
                      <w:sz w:val="21"/>
                      <w:szCs w:val="21"/>
                      <w:lang w:val="en-US"/>
                    </w:rPr>
                  </w:pPr>
                  <w:r>
                    <w:rPr>
                      <w:rFonts w:hint="eastAsia" w:cs="Times New Roman"/>
                      <w:color w:val="auto"/>
                      <w:kern w:val="0"/>
                      <w:sz w:val="21"/>
                      <w:szCs w:val="21"/>
                      <w:lang w:val="en-US" w:eastAsia="zh-CN"/>
                    </w:rPr>
                    <w:t>30</w:t>
                  </w:r>
                </w:p>
              </w:tc>
              <w:tc>
                <w:tcPr>
                  <w:tcW w:w="1176" w:type="dxa"/>
                  <w:vAlign w:val="center"/>
                </w:tcPr>
                <w:p>
                  <w:pPr>
                    <w:adjustRightInd w:val="0"/>
                    <w:snapToGrid w:val="0"/>
                    <w:spacing w:line="240" w:lineRule="auto"/>
                    <w:ind w:firstLine="0" w:firstLineChars="0"/>
                    <w:jc w:val="center"/>
                    <w:rPr>
                      <w:rFonts w:hint="eastAsia" w:ascii="Times New Roman" w:hAnsi="Times New Roman" w:eastAsia="宋体" w:cs="Times New Roman"/>
                      <w:color w:val="FF0000"/>
                      <w:kern w:val="0"/>
                      <w:sz w:val="21"/>
                      <w:szCs w:val="21"/>
                      <w:lang w:eastAsia="zh-CN"/>
                    </w:rPr>
                  </w:pPr>
                  <w:r>
                    <w:rPr>
                      <w:rFonts w:hint="eastAsia" w:ascii="Times New Roman" w:hAnsi="Times New Roman" w:eastAsia="宋体" w:cs="Times New Roman"/>
                      <w:sz w:val="21"/>
                      <w:szCs w:val="21"/>
                      <w:lang w:eastAsia="zh-CN"/>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次干路、支路</w:t>
                  </w:r>
                  <w:r>
                    <w:rPr>
                      <w:rFonts w:hint="eastAsia" w:ascii="Times New Roman" w:hAnsi="Times New Roman" w:eastAsia="宋体" w:cs="Times New Roman"/>
                      <w:sz w:val="21"/>
                      <w:szCs w:val="21"/>
                    </w:rPr>
                    <w:t>（</w:t>
                  </w:r>
                  <w:r>
                    <w:rPr>
                      <w:rFonts w:hint="eastAsia" w:ascii="Times New Roman" w:hAnsi="Times New Roman" w:eastAsia="宋体" w:cs="Times New Roman"/>
                      <w:sz w:val="21"/>
                      <w:szCs w:val="21"/>
                      <w:lang w:eastAsia="zh-CN"/>
                    </w:rPr>
                    <w:t>东</w:t>
                  </w:r>
                  <w:r>
                    <w:rPr>
                      <w:rFonts w:hint="eastAsia" w:ascii="Times New Roman" w:hAnsi="Times New Roman" w:eastAsia="宋体" w:cs="Times New Roman"/>
                      <w:sz w:val="21"/>
                      <w:szCs w:val="21"/>
                    </w:rPr>
                    <w:t>侧</w:t>
                  </w:r>
                  <w:r>
                    <w:rPr>
                      <w:rFonts w:hint="eastAsia" w:cs="Times New Roman"/>
                      <w:sz w:val="21"/>
                      <w:szCs w:val="21"/>
                      <w:lang w:eastAsia="zh-CN"/>
                    </w:rPr>
                    <w:t>高速匝道</w:t>
                  </w:r>
                  <w:r>
                    <w:rPr>
                      <w:rFonts w:hint="eastAsia" w:ascii="Times New Roman" w:hAnsi="Times New Roman" w:eastAsia="宋体" w:cs="Times New Roman"/>
                      <w:sz w:val="21"/>
                      <w:szCs w:val="21"/>
                    </w:rPr>
                    <w:t>）</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3</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102" w:type="dxa"/>
                  <w:vAlign w:val="center"/>
                </w:tcPr>
                <w:p>
                  <w:pPr>
                    <w:widowControl/>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100</w:t>
                  </w:r>
                </w:p>
              </w:tc>
              <w:tc>
                <w:tcPr>
                  <w:tcW w:w="91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22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rPr>
                  </w:pPr>
                  <w:r>
                    <w:rPr>
                      <w:rFonts w:hint="eastAsia" w:cs="Times New Roman"/>
                      <w:kern w:val="0"/>
                      <w:sz w:val="21"/>
                      <w:szCs w:val="21"/>
                      <w:lang w:val="en-US" w:eastAsia="zh-CN"/>
                    </w:rPr>
                    <w:t>80</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宋体" w:eastAsia="宋体" w:cs="Times New Roman"/>
                      <w:kern w:val="0"/>
                      <w:sz w:val="21"/>
                      <w:szCs w:val="21"/>
                    </w:rPr>
                    <w:t>满足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5371" w:type="dxa"/>
                  <w:gridSpan w:val="2"/>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架空通信线和通信发射塔</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0.75倍杆高且不应小于5m</w:t>
                  </w:r>
                </w:p>
              </w:tc>
              <w:tc>
                <w:tcPr>
                  <w:tcW w:w="1605"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架空电力线路</w:t>
                  </w: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无绝缘层</w:t>
                  </w:r>
                </w:p>
              </w:tc>
              <w:tc>
                <w:tcPr>
                  <w:tcW w:w="1815" w:type="dxa"/>
                  <w:vAlign w:val="center"/>
                </w:tcPr>
                <w:p>
                  <w:pPr>
                    <w:widowControl/>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0.75倍杆（塔）高且不应小于6.5m</w:t>
                  </w:r>
                </w:p>
              </w:tc>
              <w:tc>
                <w:tcPr>
                  <w:tcW w:w="1605" w:type="dxa"/>
                  <w:vAlign w:val="center"/>
                </w:tcPr>
                <w:p>
                  <w:pPr>
                    <w:widowControl/>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6.5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397" w:hRule="atLeast"/>
                <w:jc w:val="center"/>
              </w:trPr>
              <w:tc>
                <w:tcPr>
                  <w:tcW w:w="1654"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c>
                <w:tcPr>
                  <w:tcW w:w="3717" w:type="dxa"/>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有绝缘层</w:t>
                  </w:r>
                </w:p>
              </w:tc>
              <w:tc>
                <w:tcPr>
                  <w:tcW w:w="18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cs="Times New Roman"/>
                      <w:kern w:val="0"/>
                      <w:sz w:val="21"/>
                      <w:szCs w:val="21"/>
                      <w:lang w:val="en-US" w:eastAsia="zh-CN"/>
                    </w:rPr>
                    <w:t>0.75倍杆（塔）高且不应小于5m</w:t>
                  </w:r>
                </w:p>
              </w:tc>
              <w:tc>
                <w:tcPr>
                  <w:tcW w:w="1605" w:type="dxa"/>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5</w:t>
                  </w:r>
                </w:p>
              </w:tc>
              <w:tc>
                <w:tcPr>
                  <w:tcW w:w="110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91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220"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c>
                <w:tcPr>
                  <w:tcW w:w="1176"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w:t>
                  </w:r>
                </w:p>
              </w:tc>
            </w:tr>
          </w:tbl>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r>
              <w:rPr>
                <w:rFonts w:hint="eastAsia" w:ascii="Times New Roman" w:hAnsi="Times New Roman" w:eastAsia="宋体" w:cs="Times New Roman"/>
                <w:b/>
                <w:kern w:val="0"/>
                <w:sz w:val="21"/>
                <w:szCs w:val="21"/>
              </w:rPr>
              <w:t>备注：</w:t>
            </w:r>
            <w:r>
              <w:rPr>
                <w:rFonts w:ascii="Times New Roman" w:hAnsi="Times New Roman" w:eastAsia="宋体" w:cs="Times New Roman"/>
                <w:b/>
                <w:kern w:val="0"/>
                <w:sz w:val="21"/>
                <w:szCs w:val="21"/>
              </w:rPr>
              <w:t>1</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明火地点是指室内外有外露火焰或赤热表面的固定地点（民用建筑内的灶具、电磁炉等除外）；散发火花地点是指有飞火的烟囱或室外的砂轮、电焊、气焊（割）等固定地点；因此本项目站区内不涉及“明火地点或散发火花地点”。</w:t>
            </w:r>
            <w:r>
              <w:rPr>
                <w:rFonts w:ascii="Times New Roman" w:hAnsi="Times New Roman" w:eastAsia="宋体" w:cs="Times New Roman"/>
                <w:b/>
                <w:kern w:val="0"/>
                <w:sz w:val="21"/>
                <w:szCs w:val="21"/>
              </w:rPr>
              <w:t>2</w:t>
            </w:r>
            <w:r>
              <w:rPr>
                <w:rFonts w:hint="eastAsia" w:ascii="Times New Roman" w:hAnsi="Times New Roman" w:eastAsia="宋体" w:cs="Times New Roman"/>
                <w:b/>
                <w:kern w:val="0"/>
                <w:sz w:val="21"/>
                <w:szCs w:val="21"/>
              </w:rPr>
              <w:t>、根据《汽车加油加气站设计与施工规范》（GB50156-2012，2014年</w:t>
            </w:r>
            <w:r>
              <w:rPr>
                <w:rFonts w:ascii="Times New Roman" w:hAnsi="Times New Roman" w:eastAsia="宋体" w:cs="Times New Roman"/>
                <w:b/>
                <w:kern w:val="0"/>
                <w:sz w:val="21"/>
                <w:szCs w:val="21"/>
              </w:rPr>
              <w:t>修订</w:t>
            </w:r>
            <w:r>
              <w:rPr>
                <w:rFonts w:hint="eastAsia" w:ascii="Times New Roman" w:hAnsi="Times New Roman" w:eastAsia="宋体" w:cs="Times New Roman"/>
                <w:b/>
                <w:kern w:val="0"/>
                <w:sz w:val="21"/>
                <w:szCs w:val="21"/>
              </w:rPr>
              <w:t>）规定：本项目加油装置为非撬装式加油装置，安装有油气回收装置；</w:t>
            </w:r>
            <w:r>
              <w:rPr>
                <w:rFonts w:ascii="Times New Roman" w:hAnsi="Times New Roman" w:eastAsia="宋体" w:cs="Times New Roman"/>
                <w:b/>
                <w:kern w:val="0"/>
                <w:sz w:val="21"/>
                <w:szCs w:val="21"/>
              </w:rPr>
              <w:t>3</w:t>
            </w:r>
            <w:r>
              <w:rPr>
                <w:rFonts w:hint="eastAsia" w:ascii="Times New Roman" w:hAnsi="Times New Roman" w:eastAsia="宋体" w:cs="Times New Roman"/>
                <w:b/>
                <w:kern w:val="0"/>
                <w:sz w:val="21"/>
                <w:szCs w:val="21"/>
              </w:rPr>
              <w:t>、“----”为本项目不涉</w:t>
            </w:r>
            <w:r>
              <w:rPr>
                <w:rFonts w:hint="eastAsia" w:ascii="Times New Roman" w:hAnsi="Times New Roman" w:eastAsia="宋体" w:cs="Times New Roman"/>
                <w:b/>
                <w:color w:val="000000" w:themeColor="text1"/>
                <w:kern w:val="0"/>
                <w:sz w:val="21"/>
                <w:szCs w:val="21"/>
                <w14:textFill>
                  <w14:solidFill>
                    <w14:schemeClr w14:val="tx1"/>
                  </w14:solidFill>
                </w14:textFill>
              </w:rPr>
              <w:t>及。构筑物保护类别的判断依据为《民用建筑物保护类别划分标准》。</w:t>
            </w:r>
          </w:p>
          <w:p>
            <w:pPr>
              <w:widowControl/>
              <w:adjustRightInd w:val="0"/>
              <w:snapToGrid w:val="0"/>
              <w:spacing w:line="240" w:lineRule="auto"/>
              <w:ind w:firstLine="0" w:firstLineChars="0"/>
              <w:rPr>
                <w:rFonts w:ascii="Times New Roman" w:hAnsi="Times New Roman" w:eastAsia="宋体" w:cs="Times New Roman"/>
                <w:b/>
                <w:color w:val="000000" w:themeColor="text1"/>
                <w:kern w:val="0"/>
                <w:sz w:val="21"/>
                <w:szCs w:val="21"/>
                <w14:textFill>
                  <w14:solidFill>
                    <w14:schemeClr w14:val="tx1"/>
                  </w14:solidFill>
                </w14:textFill>
              </w:rPr>
            </w:pPr>
          </w:p>
          <w:p>
            <w:pPr>
              <w:widowControl/>
              <w:adjustRightInd w:val="0"/>
              <w:snapToGrid w:val="0"/>
              <w:spacing w:line="240" w:lineRule="auto"/>
              <w:ind w:firstLine="0" w:firstLineChars="0"/>
              <w:rPr>
                <w:rFonts w:ascii="Times New Roman" w:hAnsi="Times New Roman" w:eastAsia="宋体" w:cs="Times New Roman"/>
                <w:b/>
                <w:kern w:val="0"/>
                <w:sz w:val="21"/>
                <w:szCs w:val="21"/>
              </w:rPr>
            </w:pPr>
          </w:p>
        </w:tc>
      </w:tr>
    </w:tbl>
    <w:p>
      <w:pPr>
        <w:sectPr>
          <w:pgSz w:w="16838" w:h="11906" w:orient="landscape"/>
          <w:pgMar w:top="709" w:right="1701" w:bottom="993" w:left="1701" w:header="709" w:footer="779" w:gutter="284"/>
          <w:pgBorders>
            <w:top w:val="none" w:sz="0" w:space="0"/>
            <w:left w:val="none" w:sz="0" w:space="0"/>
            <w:bottom w:val="none" w:sz="0" w:space="0"/>
            <w:right w:val="none" w:sz="0" w:space="0"/>
          </w:pgBorders>
          <w:pgNumType w:fmt="decimal"/>
          <w:cols w:space="720" w:num="1"/>
          <w:docGrid w:type="lines" w:linePitch="312" w:charSpace="0"/>
        </w:sectPr>
      </w:pPr>
    </w:p>
    <w:tbl>
      <w:tblPr>
        <w:tblStyle w:val="20"/>
        <w:tblW w:w="8430"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430"/>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528" w:hRule="atLeast"/>
          <w:jc w:val="center"/>
        </w:trPr>
        <w:tc>
          <w:tcPr>
            <w:tcW w:w="8430" w:type="dxa"/>
          </w:tcPr>
          <w:p>
            <w:pPr>
              <w:spacing w:line="360" w:lineRule="auto"/>
              <w:ind w:firstLine="480" w:firstLineChars="200"/>
              <w:rPr>
                <w:rFonts w:hint="eastAsia"/>
                <w:lang w:eastAsia="zh-CN"/>
              </w:rPr>
            </w:pPr>
            <w:r>
              <w:rPr>
                <w:rFonts w:hint="default"/>
              </w:rPr>
              <w:t>综上所述，本项目的选址合理。</w:t>
            </w:r>
            <w:r>
              <w:rPr>
                <w:rFonts w:hint="default"/>
              </w:rPr>
              <w:br w:type="textWrapping"/>
            </w:r>
            <w:r>
              <w:rPr>
                <w:rFonts w:hint="eastAsia"/>
                <w:b/>
                <w:bCs/>
                <w:lang w:val="en-US" w:eastAsia="zh-CN"/>
              </w:rPr>
              <w:t>10.平面布置合理性分析</w:t>
            </w:r>
            <w:r>
              <w:rPr>
                <w:rFonts w:hint="eastAsia"/>
                <w:lang w:val="en-US" w:eastAsia="zh-CN"/>
              </w:rPr>
              <w:br w:type="textWrapping"/>
            </w:r>
            <w:r>
              <w:rPr>
                <w:rFonts w:hint="eastAsia"/>
                <w:lang w:val="en-US" w:eastAsia="zh-CN"/>
              </w:rPr>
              <w:t xml:space="preserve">    </w:t>
            </w:r>
            <w:r>
              <w:rPr>
                <w:rFonts w:hint="eastAsia"/>
                <w:lang w:eastAsia="zh-CN"/>
              </w:rPr>
              <w:t>鲁山赵村镇境内郑石高速石人山南服务区</w:t>
            </w:r>
            <w:r>
              <w:rPr>
                <w:rFonts w:hint="default"/>
              </w:rPr>
              <w:t>，项目厂区地块总体近似为长方形，按功能划分为油品储罐区、站房区、加油区，加油区、储罐区位于项目中部区域</w:t>
            </w:r>
            <w:r>
              <w:rPr>
                <w:rFonts w:hint="eastAsia"/>
                <w:lang w:eastAsia="zh-CN"/>
              </w:rPr>
              <w:t>；</w:t>
            </w:r>
            <w:r>
              <w:rPr>
                <w:rFonts w:hint="default"/>
              </w:rPr>
              <w:t>站房位于加油区</w:t>
            </w:r>
            <w:r>
              <w:rPr>
                <w:rFonts w:hint="eastAsia"/>
                <w:lang w:eastAsia="zh-CN"/>
              </w:rPr>
              <w:t>南</w:t>
            </w:r>
            <w:r>
              <w:rPr>
                <w:rFonts w:hint="default"/>
              </w:rPr>
              <w:t>侧，项目出口和入口分开设置，总平面布置中各建筑物和构筑物按一定防火间距布置，考虑防火要求，设置消防设施。厂区平面布置严格按照《汽车加油加气站设计与施工规范》（GB50156-2012）（2014年局部修订版）中总平面布置标准要求，厂区平面布置见附图</w:t>
            </w:r>
            <w:r>
              <w:rPr>
                <w:rFonts w:hint="eastAsia"/>
                <w:lang w:eastAsia="zh-CN"/>
              </w:rPr>
              <w:t>三。</w:t>
            </w:r>
          </w:p>
          <w:p>
            <w:pPr>
              <w:keepNext w:val="0"/>
              <w:keepLines w:val="0"/>
              <w:pageBreakBefore w:val="0"/>
              <w:widowControl w:val="0"/>
              <w:kinsoku/>
              <w:wordWrap/>
              <w:overflowPunct/>
              <w:topLinePunct w:val="0"/>
              <w:autoSpaceDE/>
              <w:autoSpaceDN/>
              <w:bidi w:val="0"/>
              <w:adjustRightInd/>
              <w:snapToGrid/>
              <w:spacing w:before="157" w:beforeLines="50" w:line="360" w:lineRule="auto"/>
              <w:ind w:firstLine="0" w:firstLineChars="0"/>
              <w:textAlignment w:val="auto"/>
            </w:pPr>
            <w:r>
              <w:rPr>
                <w:b/>
                <w:bCs/>
              </w:rPr>
              <w:t>1</w:t>
            </w:r>
            <w:r>
              <w:rPr>
                <w:rFonts w:hint="eastAsia"/>
                <w:b/>
                <w:bCs/>
                <w:lang w:val="en-US" w:eastAsia="zh-CN"/>
              </w:rPr>
              <w:t>1</w:t>
            </w:r>
            <w:r>
              <w:rPr>
                <w:rFonts w:hint="eastAsia"/>
                <w:b/>
                <w:bCs/>
              </w:rPr>
              <w:t>、与“三线一单”相符性分析</w:t>
            </w:r>
          </w:p>
          <w:p>
            <w:pPr>
              <w:snapToGrid w:val="0"/>
              <w:spacing w:line="520" w:lineRule="atLeast"/>
              <w:ind w:firstLine="480" w:firstLineChars="200"/>
            </w:pPr>
            <w:r>
              <w:rPr>
                <w:rFonts w:hint="eastAsia"/>
              </w:rPr>
              <w:t>本项目与“三线一单”相符性分析见表</w:t>
            </w:r>
            <w:r>
              <w:rPr>
                <w:rFonts w:hint="eastAsia"/>
                <w:lang w:val="en-US" w:eastAsia="zh-CN"/>
              </w:rPr>
              <w:t>7</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rPr>
            </w:pPr>
            <w:r>
              <w:rPr>
                <w:rFonts w:hint="eastAsia"/>
              </w:rPr>
              <w:t>表</w:t>
            </w:r>
            <w:r>
              <w:rPr>
                <w:rFonts w:hint="eastAsia"/>
                <w:lang w:val="en-US" w:eastAsia="zh-CN"/>
              </w:rPr>
              <w:t>7</w:t>
            </w:r>
            <w:r>
              <w:rPr>
                <w:rFonts w:hint="eastAsia"/>
              </w:rPr>
              <w:t xml:space="preserve"> </w:t>
            </w:r>
            <w:r>
              <w:rPr>
                <w:rFonts w:hint="eastAsia"/>
                <w:lang w:val="en-US" w:eastAsia="zh-CN"/>
              </w:rPr>
              <w:t xml:space="preserve">   </w:t>
            </w:r>
            <w:r>
              <w:rPr>
                <w:rFonts w:hint="eastAsia"/>
              </w:rPr>
              <w:t>本项目与“三线一单”符合性分析</w:t>
            </w:r>
          </w:p>
          <w:tbl>
            <w:tblPr>
              <w:tblStyle w:val="20"/>
              <w:tblW w:w="82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1"/>
              <w:gridCol w:w="1201"/>
              <w:gridCol w:w="64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541" w:type="dxa"/>
                  <w:tcBorders>
                    <w:top w:val="single" w:color="auto" w:sz="8" w:space="0"/>
                    <w:left w:val="single" w:color="auto" w:sz="0" w:space="0"/>
                  </w:tcBorders>
                  <w:noWrap w:val="0"/>
                  <w:vAlign w:val="center"/>
                </w:tcPr>
                <w:p>
                  <w:pPr>
                    <w:spacing w:line="240" w:lineRule="auto"/>
                    <w:ind w:firstLine="0" w:firstLineChars="0"/>
                    <w:jc w:val="center"/>
                    <w:rPr>
                      <w:sz w:val="21"/>
                      <w:szCs w:val="21"/>
                    </w:rPr>
                  </w:pPr>
                  <w:r>
                    <w:rPr>
                      <w:rFonts w:hint="eastAsia"/>
                      <w:sz w:val="21"/>
                      <w:szCs w:val="21"/>
                    </w:rPr>
                    <w:t>序</w:t>
                  </w:r>
                  <w:r>
                    <w:rPr>
                      <w:sz w:val="21"/>
                      <w:szCs w:val="21"/>
                    </w:rPr>
                    <w:t>号</w:t>
                  </w:r>
                </w:p>
              </w:tc>
              <w:tc>
                <w:tcPr>
                  <w:tcW w:w="1201" w:type="dxa"/>
                  <w:tcBorders>
                    <w:top w:val="single" w:color="auto" w:sz="8" w:space="0"/>
                  </w:tcBorders>
                  <w:noWrap w:val="0"/>
                  <w:vAlign w:val="center"/>
                </w:tcPr>
                <w:p>
                  <w:pPr>
                    <w:spacing w:line="240" w:lineRule="auto"/>
                    <w:ind w:firstLine="0" w:firstLineChars="0"/>
                    <w:jc w:val="center"/>
                    <w:rPr>
                      <w:sz w:val="21"/>
                      <w:szCs w:val="21"/>
                    </w:rPr>
                  </w:pPr>
                  <w:r>
                    <w:rPr>
                      <w:sz w:val="21"/>
                      <w:szCs w:val="21"/>
                    </w:rPr>
                    <w:t>内容</w:t>
                  </w:r>
                </w:p>
              </w:tc>
              <w:tc>
                <w:tcPr>
                  <w:tcW w:w="6472" w:type="dxa"/>
                  <w:tcBorders>
                    <w:top w:val="single" w:color="auto" w:sz="8" w:space="0"/>
                    <w:right w:val="single" w:color="auto" w:sz="8" w:space="0"/>
                  </w:tcBorders>
                  <w:noWrap w:val="0"/>
                  <w:vAlign w:val="center"/>
                </w:tcPr>
                <w:p>
                  <w:pPr>
                    <w:spacing w:line="240" w:lineRule="auto"/>
                    <w:ind w:firstLine="0" w:firstLineChars="0"/>
                    <w:jc w:val="center"/>
                    <w:rPr>
                      <w:sz w:val="21"/>
                      <w:szCs w:val="21"/>
                    </w:rPr>
                  </w:pPr>
                  <w:r>
                    <w:rPr>
                      <w:sz w:val="21"/>
                      <w:szCs w:val="21"/>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1"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1</w:t>
                  </w:r>
                </w:p>
              </w:tc>
              <w:tc>
                <w:tcPr>
                  <w:tcW w:w="1201" w:type="dxa"/>
                  <w:noWrap w:val="0"/>
                  <w:vAlign w:val="center"/>
                </w:tcPr>
                <w:p>
                  <w:pPr>
                    <w:spacing w:line="240" w:lineRule="auto"/>
                    <w:ind w:firstLine="0" w:firstLineChars="0"/>
                    <w:jc w:val="center"/>
                    <w:rPr>
                      <w:sz w:val="21"/>
                      <w:szCs w:val="21"/>
                    </w:rPr>
                  </w:pPr>
                  <w:r>
                    <w:rPr>
                      <w:sz w:val="21"/>
                      <w:szCs w:val="21"/>
                    </w:rPr>
                    <w:t>生态保护红线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项目建设地点位于</w:t>
                  </w:r>
                  <w:r>
                    <w:rPr>
                      <w:rFonts w:hint="eastAsia"/>
                      <w:sz w:val="21"/>
                      <w:szCs w:val="21"/>
                      <w:lang w:val="en-US" w:eastAsia="zh-CN"/>
                    </w:rPr>
                    <w:t>鲁山赵村镇境内郑石高速石人山南服务区</w:t>
                  </w:r>
                  <w:r>
                    <w:rPr>
                      <w:sz w:val="21"/>
                      <w:szCs w:val="21"/>
                    </w:rPr>
                    <w:t>，根据《河南省生态保护红线划定方案》（征求意见稿），项目不在河南省生态保护红线区范围内，符合生态保护红线要求。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2</w:t>
                  </w:r>
                </w:p>
              </w:tc>
              <w:tc>
                <w:tcPr>
                  <w:tcW w:w="1201" w:type="dxa"/>
                  <w:noWrap w:val="0"/>
                  <w:vAlign w:val="center"/>
                </w:tcPr>
                <w:p>
                  <w:pPr>
                    <w:spacing w:line="240" w:lineRule="auto"/>
                    <w:ind w:firstLine="0" w:firstLineChars="0"/>
                    <w:jc w:val="center"/>
                    <w:rPr>
                      <w:sz w:val="21"/>
                      <w:szCs w:val="21"/>
                    </w:rPr>
                  </w:pPr>
                  <w:r>
                    <w:rPr>
                      <w:sz w:val="21"/>
                      <w:szCs w:val="21"/>
                    </w:rPr>
                    <w:t>环境质量底线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根据项目区域环境质量现状分析，该项目所在区域大气、地表水、噪声等均能满足相关环境质量标准。</w:t>
                  </w:r>
                </w:p>
                <w:p>
                  <w:pPr>
                    <w:spacing w:line="240" w:lineRule="auto"/>
                    <w:ind w:firstLine="0" w:firstLineChars="0"/>
                    <w:jc w:val="left"/>
                    <w:rPr>
                      <w:sz w:val="21"/>
                      <w:szCs w:val="21"/>
                    </w:rPr>
                  </w:pPr>
                  <w:r>
                    <w:rPr>
                      <w:sz w:val="21"/>
                      <w:szCs w:val="21"/>
                    </w:rPr>
                    <w:t>本项目产生的污染物包括废气、废水、噪声、固体废物。</w:t>
                  </w:r>
                </w:p>
                <w:p>
                  <w:pPr>
                    <w:spacing w:line="240" w:lineRule="auto"/>
                    <w:ind w:firstLine="0" w:firstLineChars="0"/>
                    <w:jc w:val="left"/>
                    <w:rPr>
                      <w:sz w:val="21"/>
                      <w:szCs w:val="21"/>
                    </w:rPr>
                  </w:pPr>
                  <w:r>
                    <w:rPr>
                      <w:sz w:val="21"/>
                      <w:szCs w:val="21"/>
                    </w:rPr>
                    <w:t>1）项目</w:t>
                  </w:r>
                  <w:r>
                    <w:rPr>
                      <w:rFonts w:hint="eastAsia"/>
                      <w:sz w:val="21"/>
                      <w:szCs w:val="21"/>
                    </w:rPr>
                    <w:t>废气</w:t>
                  </w:r>
                  <w:r>
                    <w:rPr>
                      <w:rFonts w:hint="eastAsia"/>
                      <w:sz w:val="21"/>
                      <w:szCs w:val="21"/>
                      <w:lang w:eastAsia="zh-CN"/>
                    </w:rPr>
                    <w:t>非甲烷总烃</w:t>
                  </w:r>
                  <w:r>
                    <w:rPr>
                      <w:rFonts w:hint="eastAsia"/>
                      <w:sz w:val="21"/>
                      <w:szCs w:val="21"/>
                    </w:rPr>
                    <w:t>经</w:t>
                  </w:r>
                  <w:r>
                    <w:rPr>
                      <w:rFonts w:hint="eastAsia"/>
                      <w:sz w:val="21"/>
                      <w:szCs w:val="21"/>
                      <w:lang w:eastAsia="zh-CN"/>
                    </w:rPr>
                    <w:t>一次、二次油气回收系统回收后无组织排放，</w:t>
                  </w:r>
                  <w:r>
                    <w:rPr>
                      <w:sz w:val="21"/>
                      <w:szCs w:val="21"/>
                    </w:rPr>
                    <w:t>本项目废气对周围环境的影响较小。</w:t>
                  </w:r>
                </w:p>
                <w:p>
                  <w:pPr>
                    <w:spacing w:line="240" w:lineRule="auto"/>
                    <w:ind w:firstLine="0" w:firstLineChars="0"/>
                    <w:jc w:val="left"/>
                    <w:rPr>
                      <w:sz w:val="21"/>
                      <w:szCs w:val="21"/>
                    </w:rPr>
                  </w:pPr>
                  <w:r>
                    <w:rPr>
                      <w:sz w:val="21"/>
                      <w:szCs w:val="21"/>
                    </w:rPr>
                    <w:t>2）项目噪声主要来要自于设备运转噪声，主要噪声源源强较低，经采取减振、消声、建筑吸声等措施，厂界噪声符合《工业企业厂界环境噪声排放标准》（GB12348-2008）</w:t>
                  </w:r>
                  <w:r>
                    <w:rPr>
                      <w:rFonts w:hint="eastAsia"/>
                      <w:sz w:val="21"/>
                      <w:szCs w:val="21"/>
                      <w:lang w:val="en-US" w:eastAsia="zh-CN"/>
                    </w:rPr>
                    <w:t>2</w:t>
                  </w:r>
                  <w:r>
                    <w:rPr>
                      <w:sz w:val="21"/>
                      <w:szCs w:val="21"/>
                    </w:rPr>
                    <w:t>类</w:t>
                  </w:r>
                  <w:r>
                    <w:rPr>
                      <w:rFonts w:hint="eastAsia"/>
                      <w:sz w:val="21"/>
                      <w:szCs w:val="21"/>
                      <w:lang w:eastAsia="zh-CN"/>
                    </w:rPr>
                    <w:t>和</w:t>
                  </w:r>
                  <w:r>
                    <w:rPr>
                      <w:rFonts w:hint="eastAsia"/>
                      <w:sz w:val="21"/>
                      <w:szCs w:val="21"/>
                      <w:lang w:val="en-US" w:eastAsia="zh-CN"/>
                    </w:rPr>
                    <w:t>4类</w:t>
                  </w:r>
                  <w:r>
                    <w:rPr>
                      <w:sz w:val="21"/>
                      <w:szCs w:val="21"/>
                    </w:rPr>
                    <w:t>标准；</w:t>
                  </w:r>
                </w:p>
                <w:p>
                  <w:pPr>
                    <w:spacing w:line="240" w:lineRule="auto"/>
                    <w:ind w:firstLine="0" w:firstLineChars="0"/>
                    <w:jc w:val="left"/>
                    <w:rPr>
                      <w:sz w:val="21"/>
                      <w:szCs w:val="21"/>
                    </w:rPr>
                  </w:pPr>
                  <w:r>
                    <w:rPr>
                      <w:sz w:val="21"/>
                      <w:szCs w:val="21"/>
                    </w:rPr>
                    <w:t>3）</w:t>
                  </w:r>
                  <w:r>
                    <w:rPr>
                      <w:rFonts w:hint="eastAsia"/>
                      <w:sz w:val="21"/>
                      <w:szCs w:val="21"/>
                    </w:rPr>
                    <w:t>生活废水经化粪池处理后</w:t>
                  </w:r>
                  <w:r>
                    <w:rPr>
                      <w:rFonts w:hint="eastAsia"/>
                      <w:sz w:val="21"/>
                      <w:szCs w:val="21"/>
                      <w:lang w:eastAsia="zh-CN"/>
                    </w:rPr>
                    <w:t>由服务区统一收集处理</w:t>
                  </w:r>
                  <w:r>
                    <w:rPr>
                      <w:sz w:val="21"/>
                      <w:szCs w:val="21"/>
                    </w:rPr>
                    <w:t>。</w:t>
                  </w:r>
                </w:p>
                <w:p>
                  <w:pPr>
                    <w:spacing w:line="240" w:lineRule="auto"/>
                    <w:ind w:firstLine="0" w:firstLineChars="0"/>
                    <w:jc w:val="left"/>
                    <w:rPr>
                      <w:rFonts w:hint="eastAsia"/>
                      <w:sz w:val="21"/>
                      <w:szCs w:val="21"/>
                      <w:lang w:eastAsia="zh-CN"/>
                    </w:rPr>
                  </w:pPr>
                  <w:r>
                    <w:rPr>
                      <w:sz w:val="21"/>
                      <w:szCs w:val="21"/>
                    </w:rPr>
                    <w:t>4）项目产生的生活垃圾由环卫部门清运处理</w:t>
                  </w:r>
                  <w:r>
                    <w:rPr>
                      <w:rFonts w:hint="eastAsia"/>
                      <w:sz w:val="21"/>
                      <w:szCs w:val="21"/>
                      <w:lang w:eastAsia="zh-CN"/>
                    </w:rPr>
                    <w:t>。</w:t>
                  </w:r>
                </w:p>
                <w:p>
                  <w:pPr>
                    <w:spacing w:line="240" w:lineRule="auto"/>
                    <w:ind w:firstLine="0" w:firstLineChars="0"/>
                    <w:jc w:val="left"/>
                    <w:rPr>
                      <w:sz w:val="21"/>
                      <w:szCs w:val="21"/>
                    </w:rPr>
                  </w:pPr>
                  <w:r>
                    <w:rPr>
                      <w:sz w:val="21"/>
                      <w:szCs w:val="21"/>
                    </w:rPr>
                    <w:t>综上分析，项目产生的各类污染物均通过相关措施处理、处置，对环境质量产生的不利影响较小，不会超岀环境质量底线。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541" w:type="dxa"/>
                  <w:tcBorders>
                    <w:left w:val="single" w:color="auto" w:sz="4" w:space="0"/>
                  </w:tcBorders>
                  <w:noWrap w:val="0"/>
                  <w:vAlign w:val="center"/>
                </w:tcPr>
                <w:p>
                  <w:pPr>
                    <w:spacing w:line="240" w:lineRule="auto"/>
                    <w:ind w:firstLine="0" w:firstLineChars="0"/>
                    <w:jc w:val="center"/>
                    <w:rPr>
                      <w:sz w:val="21"/>
                      <w:szCs w:val="21"/>
                    </w:rPr>
                  </w:pPr>
                  <w:r>
                    <w:rPr>
                      <w:sz w:val="21"/>
                      <w:szCs w:val="21"/>
                    </w:rPr>
                    <w:t>3</w:t>
                  </w:r>
                </w:p>
              </w:tc>
              <w:tc>
                <w:tcPr>
                  <w:tcW w:w="1201" w:type="dxa"/>
                  <w:noWrap w:val="0"/>
                  <w:vAlign w:val="center"/>
                </w:tcPr>
                <w:p>
                  <w:pPr>
                    <w:spacing w:line="240" w:lineRule="auto"/>
                    <w:ind w:firstLine="0" w:firstLineChars="0"/>
                    <w:jc w:val="center"/>
                    <w:rPr>
                      <w:sz w:val="21"/>
                      <w:szCs w:val="21"/>
                    </w:rPr>
                  </w:pPr>
                  <w:r>
                    <w:rPr>
                      <w:sz w:val="21"/>
                      <w:szCs w:val="21"/>
                    </w:rPr>
                    <w:t>资源利用上线</w:t>
                  </w:r>
                </w:p>
              </w:tc>
              <w:tc>
                <w:tcPr>
                  <w:tcW w:w="6472" w:type="dxa"/>
                  <w:tcBorders>
                    <w:right w:val="single" w:color="auto" w:sz="8" w:space="0"/>
                  </w:tcBorders>
                  <w:noWrap w:val="0"/>
                  <w:vAlign w:val="center"/>
                </w:tcPr>
                <w:p>
                  <w:pPr>
                    <w:spacing w:line="240" w:lineRule="auto"/>
                    <w:ind w:firstLine="0" w:firstLineChars="0"/>
                    <w:jc w:val="left"/>
                    <w:rPr>
                      <w:sz w:val="21"/>
                      <w:szCs w:val="21"/>
                    </w:rPr>
                  </w:pPr>
                  <w:r>
                    <w:rPr>
                      <w:sz w:val="21"/>
                      <w:szCs w:val="21"/>
                    </w:rPr>
                    <w:t>供电：该项目用电由</w:t>
                  </w:r>
                  <w:r>
                    <w:rPr>
                      <w:rFonts w:hint="eastAsia"/>
                      <w:sz w:val="21"/>
                      <w:szCs w:val="21"/>
                    </w:rPr>
                    <w:t>区域</w:t>
                  </w:r>
                  <w:r>
                    <w:rPr>
                      <w:sz w:val="21"/>
                      <w:szCs w:val="21"/>
                    </w:rPr>
                    <w:t>供电电网供给，项目用电量为</w:t>
                  </w:r>
                  <w:r>
                    <w:rPr>
                      <w:rFonts w:hint="eastAsia"/>
                      <w:sz w:val="21"/>
                      <w:szCs w:val="21"/>
                      <w:lang w:val="en-US" w:eastAsia="zh-CN"/>
                    </w:rPr>
                    <w:t>48000</w:t>
                  </w:r>
                  <w:r>
                    <w:rPr>
                      <w:sz w:val="21"/>
                      <w:szCs w:val="21"/>
                    </w:rPr>
                    <w:t>kw·h。</w:t>
                  </w:r>
                </w:p>
                <w:p>
                  <w:pPr>
                    <w:spacing w:line="240" w:lineRule="auto"/>
                    <w:ind w:firstLine="0" w:firstLineChars="0"/>
                    <w:jc w:val="left"/>
                    <w:rPr>
                      <w:sz w:val="21"/>
                      <w:szCs w:val="21"/>
                    </w:rPr>
                  </w:pPr>
                  <w:r>
                    <w:rPr>
                      <w:sz w:val="21"/>
                      <w:szCs w:val="21"/>
                    </w:rPr>
                    <w:t>给水：该项目用水水源来</w:t>
                  </w:r>
                  <w:r>
                    <w:rPr>
                      <w:rFonts w:hint="eastAsia"/>
                      <w:sz w:val="21"/>
                      <w:szCs w:val="21"/>
                      <w:lang w:eastAsia="zh-CN"/>
                    </w:rPr>
                    <w:t>自企业自备井水</w:t>
                  </w:r>
                  <w:r>
                    <w:rPr>
                      <w:sz w:val="21"/>
                      <w:szCs w:val="21"/>
                    </w:rPr>
                    <w:t>。项目用水量为</w:t>
                  </w:r>
                  <w:r>
                    <w:rPr>
                      <w:rFonts w:hint="eastAsia"/>
                      <w:sz w:val="21"/>
                      <w:szCs w:val="21"/>
                      <w:lang w:val="en-US" w:eastAsia="zh-CN"/>
                    </w:rPr>
                    <w:t>500</w:t>
                  </w:r>
                  <w:r>
                    <w:rPr>
                      <w:sz w:val="21"/>
                      <w:szCs w:val="21"/>
                    </w:rPr>
                    <w:t>t/a。</w:t>
                  </w:r>
                </w:p>
                <w:p>
                  <w:pPr>
                    <w:spacing w:line="240" w:lineRule="auto"/>
                    <w:ind w:firstLine="0" w:firstLineChars="0"/>
                    <w:jc w:val="left"/>
                    <w:rPr>
                      <w:sz w:val="21"/>
                      <w:szCs w:val="21"/>
                    </w:rPr>
                  </w:pPr>
                  <w:r>
                    <w:rPr>
                      <w:sz w:val="21"/>
                      <w:szCs w:val="21"/>
                    </w:rPr>
                    <w:t>本项目不属于高能耗、高水耗项目，用电量和用水量相对较少，符合资源利用上线要求。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541" w:type="dxa"/>
                  <w:tcBorders>
                    <w:left w:val="single" w:color="auto" w:sz="4" w:space="0"/>
                    <w:bottom w:val="single" w:color="auto" w:sz="8" w:space="0"/>
                  </w:tcBorders>
                  <w:noWrap w:val="0"/>
                  <w:vAlign w:val="center"/>
                </w:tcPr>
                <w:p>
                  <w:pPr>
                    <w:spacing w:line="240" w:lineRule="auto"/>
                    <w:ind w:firstLine="0" w:firstLineChars="0"/>
                    <w:jc w:val="center"/>
                    <w:rPr>
                      <w:sz w:val="21"/>
                      <w:szCs w:val="21"/>
                    </w:rPr>
                  </w:pPr>
                  <w:r>
                    <w:rPr>
                      <w:sz w:val="21"/>
                      <w:szCs w:val="21"/>
                    </w:rPr>
                    <w:t>4</w:t>
                  </w:r>
                </w:p>
              </w:tc>
              <w:tc>
                <w:tcPr>
                  <w:tcW w:w="1201" w:type="dxa"/>
                  <w:tcBorders>
                    <w:bottom w:val="single" w:color="auto" w:sz="8" w:space="0"/>
                  </w:tcBorders>
                  <w:noWrap w:val="0"/>
                  <w:vAlign w:val="center"/>
                </w:tcPr>
                <w:p>
                  <w:pPr>
                    <w:spacing w:line="240" w:lineRule="auto"/>
                    <w:ind w:firstLine="0" w:firstLineChars="0"/>
                    <w:jc w:val="center"/>
                    <w:rPr>
                      <w:sz w:val="21"/>
                      <w:szCs w:val="21"/>
                    </w:rPr>
                  </w:pPr>
                  <w:r>
                    <w:rPr>
                      <w:sz w:val="21"/>
                      <w:szCs w:val="21"/>
                    </w:rPr>
                    <w:t>环境准入负面清单</w:t>
                  </w:r>
                </w:p>
              </w:tc>
              <w:tc>
                <w:tcPr>
                  <w:tcW w:w="6472" w:type="dxa"/>
                  <w:tcBorders>
                    <w:bottom w:val="single" w:color="auto" w:sz="8" w:space="0"/>
                    <w:right w:val="single" w:color="auto" w:sz="8" w:space="0"/>
                  </w:tcBorders>
                  <w:noWrap w:val="0"/>
                  <w:vAlign w:val="center"/>
                </w:tcPr>
                <w:p>
                  <w:pPr>
                    <w:spacing w:line="240" w:lineRule="auto"/>
                    <w:ind w:firstLine="0" w:firstLineChars="0"/>
                    <w:jc w:val="left"/>
                    <w:rPr>
                      <w:sz w:val="21"/>
                      <w:szCs w:val="21"/>
                    </w:rPr>
                  </w:pPr>
                  <w:r>
                    <w:rPr>
                      <w:sz w:val="21"/>
                      <w:szCs w:val="21"/>
                    </w:rPr>
                    <w:t>本项目不属于高能耗、高水耗项目。项目生产工艺、设备均不属于淘汰类，而且项目所在地暂无环境淮入负面清单。</w:t>
                  </w:r>
                </w:p>
              </w:tc>
            </w:tr>
          </w:tbl>
          <w:p>
            <w:pPr>
              <w:adjustRightInd w:val="0"/>
              <w:snapToGrid w:val="0"/>
              <w:spacing w:line="440" w:lineRule="exact"/>
              <w:rPr>
                <w:rFonts w:ascii="Times New Roman" w:hAnsi="Times New Roman" w:eastAsia="宋体" w:cs="Times New Roman"/>
                <w:sz w:val="24"/>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5" w:hRule="atLeast"/>
          <w:jc w:val="center"/>
        </w:trPr>
        <w:tc>
          <w:tcPr>
            <w:tcW w:w="8430" w:type="dxa"/>
            <w:tcBorders>
              <w:bottom w:val="single" w:color="auto" w:sz="4" w:space="0"/>
            </w:tcBorders>
          </w:tcPr>
          <w:p>
            <w:pPr>
              <w:spacing w:line="440" w:lineRule="exact"/>
              <w:ind w:firstLine="0" w:firstLineChars="0"/>
              <w:rPr>
                <w:rFonts w:hint="eastAsia" w:ascii="Times New Roman" w:hAnsi="Times New Roman" w:eastAsia="宋体" w:cs="Times New Roman"/>
                <w:b/>
                <w:bCs/>
                <w:sz w:val="24"/>
                <w:szCs w:val="24"/>
              </w:rPr>
            </w:pPr>
            <w:r>
              <w:rPr>
                <w:rFonts w:hint="eastAsia" w:ascii="Times New Roman" w:hAnsi="Times New Roman" w:eastAsia="宋体" w:cs="Times New Roman"/>
                <w:b/>
                <w:bCs/>
                <w:sz w:val="24"/>
                <w:szCs w:val="24"/>
              </w:rPr>
              <w:t>与本项目有关的原有污染情况及主要环境问题</w:t>
            </w:r>
          </w:p>
          <w:p>
            <w:pPr>
              <w:spacing w:line="520" w:lineRule="exact"/>
              <w:rPr>
                <w:rFonts w:hint="eastAsia" w:ascii="Times New Roman" w:hAnsi="Times New Roman" w:cs="宋体"/>
                <w:b/>
                <w:bCs/>
                <w:sz w:val="24"/>
                <w:szCs w:val="22"/>
              </w:rPr>
            </w:pPr>
            <w:r>
              <w:rPr>
                <w:rFonts w:hint="eastAsia" w:ascii="Times New Roman" w:hAnsi="Times New Roman" w:cs="宋体"/>
                <w:b/>
                <w:bCs/>
                <w:sz w:val="24"/>
                <w:szCs w:val="22"/>
              </w:rPr>
              <w:t>一、原加油站基本情况</w:t>
            </w:r>
          </w:p>
          <w:p>
            <w:pPr>
              <w:spacing w:line="360" w:lineRule="auto"/>
              <w:ind w:firstLine="480" w:firstLineChars="200"/>
              <w:rPr>
                <w:rFonts w:hint="eastAsia" w:ascii="Times New Roman" w:hAnsi="Times New Roman"/>
                <w:color w:val="auto"/>
                <w:sz w:val="24"/>
                <w:szCs w:val="22"/>
              </w:rPr>
            </w:pPr>
            <w:r>
              <w:rPr>
                <w:rFonts w:ascii="Times New Roman" w:hAnsi="Times New Roman"/>
                <w:color w:val="auto"/>
                <w:sz w:val="24"/>
              </w:rPr>
              <w:t>本项目为</w:t>
            </w:r>
            <w:r>
              <w:rPr>
                <w:rFonts w:hint="eastAsia" w:ascii="Times New Roman" w:hAnsi="Times New Roman"/>
                <w:color w:val="auto"/>
                <w:sz w:val="24"/>
              </w:rPr>
              <w:t>加油站</w:t>
            </w:r>
            <w:r>
              <w:rPr>
                <w:rFonts w:ascii="Times New Roman" w:hAnsi="Times New Roman"/>
                <w:color w:val="auto"/>
                <w:sz w:val="24"/>
              </w:rPr>
              <w:t>原地整体改造</w:t>
            </w:r>
            <w:r>
              <w:rPr>
                <w:rFonts w:hint="eastAsia" w:ascii="Times New Roman" w:hAnsi="Times New Roman"/>
                <w:color w:val="auto"/>
                <w:sz w:val="24"/>
              </w:rPr>
              <w:t>，原</w:t>
            </w:r>
            <w:r>
              <w:rPr>
                <w:rFonts w:ascii="Times New Roman" w:hAnsi="Times New Roman"/>
                <w:color w:val="auto"/>
                <w:sz w:val="24"/>
              </w:rPr>
              <w:t>加油站</w:t>
            </w:r>
            <w:r>
              <w:rPr>
                <w:rFonts w:hint="eastAsia" w:ascii="Times New Roman" w:hAnsi="Times New Roman"/>
                <w:bCs/>
                <w:color w:val="auto"/>
                <w:sz w:val="24"/>
              </w:rPr>
              <w:t>本项目占地面积</w:t>
            </w:r>
            <w:r>
              <w:rPr>
                <w:rFonts w:hint="eastAsia" w:ascii="Times New Roman" w:hAnsi="Times New Roman" w:eastAsia="宋体"/>
                <w:color w:val="auto"/>
                <w:sz w:val="24"/>
                <w:szCs w:val="22"/>
                <w:lang w:val="en-US" w:eastAsia="zh-CN"/>
              </w:rPr>
              <w:t>4000</w:t>
            </w:r>
            <w:r>
              <w:rPr>
                <w:rFonts w:hint="eastAsia" w:ascii="Times New Roman" w:hAnsi="Times New Roman"/>
                <w:bCs/>
                <w:color w:val="auto"/>
                <w:sz w:val="24"/>
              </w:rPr>
              <w:t>m</w:t>
            </w:r>
            <w:r>
              <w:rPr>
                <w:rFonts w:hint="eastAsia" w:ascii="Times New Roman" w:hAnsi="Times New Roman"/>
                <w:bCs/>
                <w:color w:val="auto"/>
                <w:sz w:val="24"/>
                <w:vertAlign w:val="superscript"/>
              </w:rPr>
              <w:t>2</w:t>
            </w:r>
            <w:r>
              <w:rPr>
                <w:rFonts w:hint="eastAsia" w:ascii="Times New Roman" w:hAnsi="Times New Roman"/>
                <w:bCs/>
                <w:color w:val="auto"/>
                <w:sz w:val="24"/>
              </w:rPr>
              <w:t>，主要建设加油罩棚等</w:t>
            </w:r>
            <w:r>
              <w:rPr>
                <w:rFonts w:ascii="Times New Roman" w:hAnsi="Times New Roman"/>
                <w:color w:val="auto"/>
                <w:sz w:val="24"/>
              </w:rPr>
              <w:t>。设</w:t>
            </w:r>
            <w:r>
              <w:rPr>
                <w:rFonts w:hint="eastAsia" w:ascii="Times New Roman" w:hAnsi="Times New Roman" w:eastAsia="宋体"/>
                <w:color w:val="auto"/>
                <w:sz w:val="24"/>
                <w:lang w:val="en-US" w:eastAsia="zh-CN"/>
              </w:rPr>
              <w:t>3</w:t>
            </w:r>
            <w:r>
              <w:rPr>
                <w:rFonts w:hint="eastAsia" w:ascii="Times New Roman" w:hAnsi="Times New Roman"/>
                <w:color w:val="auto"/>
                <w:sz w:val="24"/>
              </w:rPr>
              <w:t>个</w:t>
            </w:r>
            <w:r>
              <w:rPr>
                <w:rFonts w:ascii="Times New Roman" w:hAnsi="Times New Roman"/>
                <w:color w:val="auto"/>
                <w:sz w:val="24"/>
              </w:rPr>
              <w:t>30</w:t>
            </w:r>
            <w:r>
              <w:rPr>
                <w:rFonts w:hint="eastAsia" w:ascii="Times New Roman" w:hAnsi="Times New Roman"/>
                <w:color w:val="auto"/>
                <w:sz w:val="24"/>
              </w:rPr>
              <w:t>m</w:t>
            </w:r>
            <w:r>
              <w:rPr>
                <w:rFonts w:hint="default" w:ascii="Times New Roman" w:hAnsi="Times New Roman" w:cs="Times New Roman"/>
                <w:color w:val="auto"/>
                <w:sz w:val="24"/>
              </w:rPr>
              <w:t>³</w:t>
            </w:r>
            <w:r>
              <w:rPr>
                <w:rFonts w:hint="eastAsia" w:ascii="Times New Roman" w:hAnsi="Times New Roman"/>
                <w:color w:val="auto"/>
                <w:sz w:val="24"/>
              </w:rPr>
              <w:t>单层钢质汽油罐，</w:t>
            </w:r>
            <w:r>
              <w:rPr>
                <w:rFonts w:hint="eastAsia" w:ascii="Times New Roman" w:hAnsi="Times New Roman" w:eastAsia="宋体"/>
                <w:color w:val="auto"/>
                <w:sz w:val="24"/>
                <w:lang w:val="en-US" w:eastAsia="zh-CN"/>
              </w:rPr>
              <w:t>3</w:t>
            </w:r>
            <w:r>
              <w:rPr>
                <w:rFonts w:hint="eastAsia" w:ascii="Times New Roman" w:hAnsi="Times New Roman"/>
                <w:color w:val="auto"/>
                <w:sz w:val="24"/>
              </w:rPr>
              <w:t>个</w:t>
            </w:r>
            <w:r>
              <w:rPr>
                <w:rFonts w:hint="eastAsia" w:ascii="Times New Roman" w:hAnsi="Times New Roman" w:eastAsia="宋体"/>
                <w:color w:val="auto"/>
                <w:sz w:val="24"/>
                <w:lang w:val="en-US" w:eastAsia="zh-CN"/>
              </w:rPr>
              <w:t>5</w:t>
            </w:r>
            <w:r>
              <w:rPr>
                <w:rFonts w:ascii="Times New Roman" w:hAnsi="Times New Roman"/>
                <w:color w:val="auto"/>
                <w:sz w:val="24"/>
              </w:rPr>
              <w:t>0</w:t>
            </w:r>
            <w:r>
              <w:rPr>
                <w:rFonts w:hint="eastAsia" w:ascii="Times New Roman" w:hAnsi="Times New Roman"/>
                <w:color w:val="auto"/>
                <w:sz w:val="24"/>
              </w:rPr>
              <w:t>m³单层钢质柴油罐；成</w:t>
            </w:r>
            <w:r>
              <w:rPr>
                <w:rFonts w:ascii="Times New Roman" w:hAnsi="Times New Roman"/>
                <w:color w:val="auto"/>
                <w:sz w:val="24"/>
              </w:rPr>
              <w:t>品油年销售</w:t>
            </w:r>
            <w:r>
              <w:rPr>
                <w:rFonts w:hint="eastAsia" w:ascii="Times New Roman" w:hAnsi="Times New Roman"/>
                <w:color w:val="auto"/>
                <w:sz w:val="24"/>
              </w:rPr>
              <w:t>量</w:t>
            </w:r>
            <w:r>
              <w:rPr>
                <w:rFonts w:ascii="Times New Roman" w:hAnsi="Times New Roman"/>
                <w:color w:val="auto"/>
                <w:sz w:val="24"/>
              </w:rPr>
              <w:t>为</w:t>
            </w:r>
            <w:r>
              <w:rPr>
                <w:rFonts w:hint="eastAsia" w:ascii="Times New Roman" w:hAnsi="Times New Roman" w:eastAsia="宋体"/>
                <w:color w:val="auto"/>
                <w:sz w:val="24"/>
                <w:lang w:val="en-US" w:eastAsia="zh-CN"/>
              </w:rPr>
              <w:t>2750</w:t>
            </w:r>
            <w:r>
              <w:rPr>
                <w:rFonts w:ascii="Times New Roman" w:hAnsi="Times New Roman"/>
                <w:color w:val="auto"/>
              </w:rPr>
              <w:t>t</w:t>
            </w:r>
            <w:r>
              <w:rPr>
                <w:rFonts w:hint="eastAsia" w:ascii="Times New Roman" w:hAnsi="Times New Roman"/>
                <w:color w:val="auto"/>
                <w:sz w:val="24"/>
              </w:rPr>
              <w:t>，其</w:t>
            </w:r>
            <w:r>
              <w:rPr>
                <w:rFonts w:hint="eastAsia" w:ascii="Times New Roman" w:hAnsi="Times New Roman"/>
                <w:color w:val="auto"/>
                <w:sz w:val="24"/>
                <w:szCs w:val="22"/>
              </w:rPr>
              <w:t>中汽油</w:t>
            </w:r>
            <w:r>
              <w:rPr>
                <w:rFonts w:hint="eastAsia" w:ascii="Times New Roman" w:hAnsi="Times New Roman" w:eastAsia="宋体"/>
                <w:color w:val="auto"/>
                <w:sz w:val="24"/>
                <w:szCs w:val="22"/>
                <w:lang w:val="en-US" w:eastAsia="zh-CN"/>
              </w:rPr>
              <w:t>25</w:t>
            </w:r>
            <w:r>
              <w:rPr>
                <w:rFonts w:hint="eastAsia" w:ascii="Times New Roman" w:hAnsi="Times New Roman"/>
                <w:color w:val="auto"/>
                <w:sz w:val="24"/>
                <w:szCs w:val="22"/>
              </w:rPr>
              <w:t>00t、柴油</w:t>
            </w:r>
            <w:r>
              <w:rPr>
                <w:rFonts w:hint="eastAsia" w:ascii="Times New Roman" w:hAnsi="Times New Roman" w:eastAsia="宋体"/>
                <w:color w:val="auto"/>
                <w:sz w:val="24"/>
                <w:szCs w:val="22"/>
                <w:lang w:val="en-US" w:eastAsia="zh-CN"/>
              </w:rPr>
              <w:t>25</w:t>
            </w:r>
            <w:r>
              <w:rPr>
                <w:rFonts w:hint="eastAsia" w:ascii="Times New Roman" w:hAnsi="Times New Roman"/>
                <w:color w:val="auto"/>
                <w:sz w:val="24"/>
                <w:szCs w:val="22"/>
              </w:rPr>
              <w:t>0t，</w:t>
            </w:r>
            <w:r>
              <w:rPr>
                <w:rFonts w:ascii="Times New Roman" w:hAnsi="Times New Roman"/>
                <w:color w:val="auto"/>
                <w:sz w:val="24"/>
              </w:rPr>
              <w:t>改建后，销</w:t>
            </w:r>
            <w:r>
              <w:rPr>
                <w:rFonts w:hint="eastAsia" w:ascii="Times New Roman" w:hAnsi="Times New Roman"/>
                <w:color w:val="auto"/>
                <w:sz w:val="24"/>
                <w:szCs w:val="22"/>
              </w:rPr>
              <w:t>售量</w:t>
            </w:r>
            <w:r>
              <w:rPr>
                <w:rFonts w:hint="eastAsia" w:ascii="Times New Roman" w:hAnsi="Times New Roman" w:eastAsia="宋体"/>
                <w:color w:val="auto"/>
                <w:sz w:val="24"/>
                <w:szCs w:val="22"/>
                <w:lang w:eastAsia="zh-CN"/>
              </w:rPr>
              <w:t>不增加</w:t>
            </w:r>
            <w:r>
              <w:rPr>
                <w:rFonts w:hint="eastAsia" w:ascii="Times New Roman" w:hAnsi="Times New Roman"/>
                <w:color w:val="auto"/>
                <w:sz w:val="24"/>
                <w:szCs w:val="22"/>
              </w:rPr>
              <w:t>。</w:t>
            </w:r>
          </w:p>
          <w:p>
            <w:pPr>
              <w:pStyle w:val="17"/>
              <w:spacing w:before="0" w:beforeAutospacing="0" w:after="0" w:afterAutospacing="0" w:line="360" w:lineRule="auto"/>
              <w:jc w:val="both"/>
              <w:rPr>
                <w:rFonts w:hint="eastAsia" w:ascii="Times New Roman" w:hAnsi="Times New Roman" w:cs="宋体"/>
                <w:b/>
                <w:bCs/>
                <w:color w:val="auto"/>
                <w:kern w:val="2"/>
                <w:szCs w:val="22"/>
              </w:rPr>
            </w:pPr>
            <w:r>
              <w:rPr>
                <w:rFonts w:hint="eastAsia" w:ascii="Times New Roman" w:hAnsi="Times New Roman" w:cs="宋体"/>
                <w:b/>
                <w:bCs/>
                <w:color w:val="auto"/>
                <w:kern w:val="2"/>
                <w:szCs w:val="22"/>
              </w:rPr>
              <w:t>二、原加油站污染物排放情况</w:t>
            </w:r>
          </w:p>
          <w:p>
            <w:pPr>
              <w:pStyle w:val="17"/>
              <w:spacing w:before="0" w:beforeAutospacing="0" w:after="0" w:afterAutospacing="0" w:line="360" w:lineRule="auto"/>
              <w:ind w:firstLine="480" w:firstLineChars="200"/>
              <w:jc w:val="both"/>
              <w:rPr>
                <w:rFonts w:ascii="Times New Roman" w:hAnsi="Times New Roman"/>
                <w:color w:val="auto"/>
                <w:kern w:val="2"/>
                <w:szCs w:val="22"/>
              </w:rPr>
            </w:pPr>
            <w:r>
              <w:rPr>
                <w:rFonts w:hint="eastAsia" w:ascii="Times New Roman" w:hAnsi="Times New Roman"/>
                <w:color w:val="auto"/>
                <w:kern w:val="2"/>
                <w:szCs w:val="22"/>
              </w:rPr>
              <w:t>1、</w:t>
            </w:r>
            <w:r>
              <w:rPr>
                <w:rFonts w:ascii="Times New Roman" w:hAnsi="Times New Roman"/>
                <w:color w:val="auto"/>
                <w:kern w:val="2"/>
                <w:szCs w:val="22"/>
              </w:rPr>
              <w:t>大气污染源</w:t>
            </w:r>
          </w:p>
          <w:p>
            <w:pPr>
              <w:pStyle w:val="17"/>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废气主要来源于卸油、储存、加油过程中挥发的非甲烷总烃、汽车尾气、备用发电机燃油废气。加油站不设置食堂，无油烟废气产生。加油站非甲烷总统产生量见表</w:t>
            </w:r>
            <w:r>
              <w:rPr>
                <w:rFonts w:hint="eastAsia" w:ascii="Times New Roman" w:hAnsi="Times New Roman"/>
                <w:color w:val="auto"/>
                <w:lang w:val="en-US" w:eastAsia="zh-CN"/>
              </w:rPr>
              <w:t>8</w:t>
            </w:r>
            <w:r>
              <w:rPr>
                <w:rFonts w:ascii="Times New Roman" w:hAnsi="Times New Roman"/>
                <w:color w:val="auto"/>
              </w:rPr>
              <w:t>所示。</w:t>
            </w:r>
          </w:p>
          <w:p>
            <w:pPr>
              <w:bidi w:val="0"/>
              <w:jc w:val="center"/>
              <w:rPr>
                <w:rFonts w:ascii="Times New Roman" w:hAnsi="Times New Roman"/>
                <w:b/>
                <w:bCs/>
                <w:color w:val="auto"/>
              </w:rPr>
            </w:pPr>
            <w:r>
              <w:t>表</w:t>
            </w:r>
            <w:r>
              <w:rPr>
                <w:rFonts w:hint="eastAsia"/>
                <w:lang w:val="en-US" w:eastAsia="zh-CN"/>
              </w:rPr>
              <w:t xml:space="preserve">8       </w:t>
            </w:r>
            <w:r>
              <w:rPr>
                <w:rFonts w:hint="eastAsia"/>
              </w:rPr>
              <w:t>项目</w:t>
            </w:r>
            <w:r>
              <w:t>非甲烷总烃排放</w:t>
            </w:r>
            <w:r>
              <w:rPr>
                <w:rFonts w:hint="eastAsia"/>
              </w:rPr>
              <w:t>情况</w:t>
            </w:r>
          </w:p>
          <w:tbl>
            <w:tblPr>
              <w:tblStyle w:val="20"/>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2076"/>
              <w:gridCol w:w="1000"/>
              <w:gridCol w:w="1050"/>
              <w:gridCol w:w="972"/>
              <w:gridCol w:w="1124"/>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8" w:hRule="atLeast"/>
              </w:trPr>
              <w:tc>
                <w:tcPr>
                  <w:tcW w:w="1877" w:type="pct"/>
                  <w:gridSpan w:val="2"/>
                  <w:noWrap w:val="0"/>
                  <w:vAlign w:val="center"/>
                </w:tcPr>
                <w:p>
                  <w:pPr>
                    <w:pStyle w:val="10"/>
                    <w:bidi w:val="0"/>
                  </w:pPr>
                  <w:r>
                    <w:t>项 目</w:t>
                  </w:r>
                </w:p>
              </w:tc>
              <w:tc>
                <w:tcPr>
                  <w:tcW w:w="609" w:type="pct"/>
                  <w:noWrap w:val="0"/>
                  <w:vAlign w:val="center"/>
                </w:tcPr>
                <w:p>
                  <w:pPr>
                    <w:pStyle w:val="10"/>
                    <w:bidi w:val="0"/>
                    <w:rPr>
                      <w:rFonts w:hint="eastAsia"/>
                    </w:rPr>
                  </w:pPr>
                  <w:r>
                    <w:rPr>
                      <w:rFonts w:hint="eastAsia"/>
                    </w:rPr>
                    <w:t>排放系</w:t>
                  </w:r>
                </w:p>
                <w:p>
                  <w:pPr>
                    <w:pStyle w:val="10"/>
                    <w:bidi w:val="0"/>
                  </w:pPr>
                  <w:r>
                    <w:rPr>
                      <w:rFonts w:hint="eastAsia"/>
                    </w:rPr>
                    <w:t>数</w:t>
                  </w:r>
                </w:p>
              </w:tc>
              <w:tc>
                <w:tcPr>
                  <w:tcW w:w="640" w:type="pct"/>
                  <w:noWrap w:val="0"/>
                  <w:vAlign w:val="center"/>
                </w:tcPr>
                <w:p>
                  <w:pPr>
                    <w:pStyle w:val="10"/>
                    <w:bidi w:val="0"/>
                    <w:rPr>
                      <w:rFonts w:hint="eastAsia"/>
                    </w:rPr>
                  </w:pPr>
                  <w:r>
                    <w:rPr>
                      <w:rFonts w:hint="eastAsia"/>
                    </w:rPr>
                    <w:t>年销</w:t>
                  </w:r>
                </w:p>
                <w:p>
                  <w:pPr>
                    <w:pStyle w:val="10"/>
                    <w:bidi w:val="0"/>
                  </w:pPr>
                  <w:r>
                    <w:rPr>
                      <w:rFonts w:hint="eastAsia"/>
                    </w:rPr>
                    <w:t>售量</w:t>
                  </w:r>
                  <w:r>
                    <w:t>（</w:t>
                  </w:r>
                  <w:r>
                    <w:rPr>
                      <w:rFonts w:hint="eastAsia"/>
                    </w:rPr>
                    <w:t>t</w:t>
                  </w:r>
                  <w:r>
                    <w:t>/a）</w:t>
                  </w:r>
                </w:p>
              </w:tc>
              <w:tc>
                <w:tcPr>
                  <w:tcW w:w="592" w:type="pct"/>
                  <w:noWrap w:val="0"/>
                  <w:vAlign w:val="center"/>
                </w:tcPr>
                <w:p>
                  <w:pPr>
                    <w:pStyle w:val="10"/>
                    <w:bidi w:val="0"/>
                    <w:rPr>
                      <w:rFonts w:hint="eastAsia"/>
                    </w:rPr>
                  </w:pPr>
                  <w:r>
                    <w:rPr>
                      <w:rFonts w:hint="eastAsia"/>
                    </w:rPr>
                    <w:t>产生量</w:t>
                  </w:r>
                </w:p>
                <w:p>
                  <w:pPr>
                    <w:pStyle w:val="10"/>
                    <w:bidi w:val="0"/>
                  </w:pPr>
                  <w:r>
                    <w:rPr>
                      <w:rFonts w:hint="eastAsia"/>
                    </w:rPr>
                    <w:t>（t/a）</w:t>
                  </w:r>
                </w:p>
              </w:tc>
              <w:tc>
                <w:tcPr>
                  <w:tcW w:w="685" w:type="pct"/>
                  <w:noWrap w:val="0"/>
                  <w:vAlign w:val="center"/>
                </w:tcPr>
                <w:p>
                  <w:pPr>
                    <w:pStyle w:val="10"/>
                    <w:bidi w:val="0"/>
                    <w:rPr>
                      <w:rFonts w:hint="eastAsia"/>
                    </w:rPr>
                  </w:pPr>
                  <w:r>
                    <w:rPr>
                      <w:rFonts w:hint="eastAsia"/>
                    </w:rPr>
                    <w:t>油气回收装</w:t>
                  </w:r>
                </w:p>
                <w:p>
                  <w:pPr>
                    <w:pStyle w:val="10"/>
                    <w:bidi w:val="0"/>
                  </w:pPr>
                  <w:r>
                    <w:rPr>
                      <w:rFonts w:hint="eastAsia"/>
                    </w:rPr>
                    <w:t>置回收率</w:t>
                  </w:r>
                </w:p>
              </w:tc>
              <w:tc>
                <w:tcPr>
                  <w:tcW w:w="594" w:type="pct"/>
                  <w:noWrap w:val="0"/>
                  <w:vAlign w:val="center"/>
                </w:tcPr>
                <w:p>
                  <w:pPr>
                    <w:pStyle w:val="10"/>
                    <w:bidi w:val="0"/>
                    <w:rPr>
                      <w:rFonts w:hint="eastAsia"/>
                    </w:rPr>
                  </w:pPr>
                  <w:r>
                    <w:rPr>
                      <w:rFonts w:hint="eastAsia"/>
                    </w:rPr>
                    <w:t>排放量</w:t>
                  </w:r>
                </w:p>
                <w:p>
                  <w:pPr>
                    <w:pStyle w:val="10"/>
                    <w:bidi w:val="0"/>
                  </w:pPr>
                  <w:r>
                    <w:rPr>
                      <w:rFonts w:hint="eastAsia"/>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612" w:type="pct"/>
                  <w:vMerge w:val="restart"/>
                  <w:noWrap w:val="0"/>
                  <w:vAlign w:val="center"/>
                </w:tcPr>
                <w:p>
                  <w:pPr>
                    <w:pStyle w:val="10"/>
                    <w:bidi w:val="0"/>
                  </w:pPr>
                  <w:r>
                    <w:t>储油罐</w:t>
                  </w:r>
                </w:p>
              </w:tc>
              <w:tc>
                <w:tcPr>
                  <w:tcW w:w="1264" w:type="pct"/>
                  <w:noWrap w:val="0"/>
                  <w:vAlign w:val="center"/>
                </w:tcPr>
                <w:p>
                  <w:pPr>
                    <w:pStyle w:val="10"/>
                    <w:bidi w:val="0"/>
                    <w:rPr>
                      <w:rFonts w:hint="eastAsia"/>
                    </w:rPr>
                  </w:pPr>
                  <w:r>
                    <w:rPr>
                      <w:rFonts w:hint="eastAsia"/>
                    </w:rPr>
                    <w:t>汽油储油罐呼吸损</w:t>
                  </w:r>
                </w:p>
                <w:p>
                  <w:pPr>
                    <w:pStyle w:val="10"/>
                    <w:bidi w:val="0"/>
                  </w:pPr>
                  <w:r>
                    <w:rPr>
                      <w:rFonts w:hint="eastAsia"/>
                    </w:rPr>
                    <w:t>失</w:t>
                  </w:r>
                </w:p>
              </w:tc>
              <w:tc>
                <w:tcPr>
                  <w:tcW w:w="609" w:type="pct"/>
                  <w:vMerge w:val="restart"/>
                  <w:noWrap w:val="0"/>
                  <w:vAlign w:val="center"/>
                </w:tcPr>
                <w:p>
                  <w:pPr>
                    <w:pStyle w:val="10"/>
                    <w:bidi w:val="0"/>
                  </w:pPr>
                  <w:r>
                    <w:rPr>
                      <w:rFonts w:hint="eastAsia"/>
                    </w:rPr>
                    <w:t>0.01%</w:t>
                  </w:r>
                </w:p>
              </w:tc>
              <w:tc>
                <w:tcPr>
                  <w:tcW w:w="640" w:type="pct"/>
                  <w:noWrap w:val="0"/>
                  <w:vAlign w:val="center"/>
                </w:tcPr>
                <w:p>
                  <w:pPr>
                    <w:pStyle w:val="10"/>
                    <w:bidi w:val="0"/>
                    <w:rPr>
                      <w:rFonts w:hint="default"/>
                      <w:lang w:val="en-US"/>
                    </w:rPr>
                  </w:pPr>
                  <w:r>
                    <w:rPr>
                      <w:rFonts w:hint="eastAsia"/>
                      <w:lang w:val="en-US" w:eastAsia="zh-CN"/>
                    </w:rPr>
                    <w:t>2500</w:t>
                  </w:r>
                </w:p>
              </w:tc>
              <w:tc>
                <w:tcPr>
                  <w:tcW w:w="592" w:type="pct"/>
                  <w:noWrap w:val="0"/>
                  <w:vAlign w:val="center"/>
                </w:tcPr>
                <w:p>
                  <w:pPr>
                    <w:pStyle w:val="10"/>
                    <w:bidi w:val="0"/>
                    <w:rPr>
                      <w:rFonts w:hint="default"/>
                      <w:lang w:val="en-US" w:eastAsia="zh-CN"/>
                    </w:rPr>
                  </w:pPr>
                  <w:r>
                    <w:rPr>
                      <w:rFonts w:hint="eastAsia"/>
                    </w:rPr>
                    <w:t>0.</w:t>
                  </w:r>
                  <w:r>
                    <w:rPr>
                      <w:rFonts w:hint="eastAsia"/>
                      <w:lang w:val="en-US" w:eastAsia="zh-CN"/>
                    </w:rPr>
                    <w:t>25</w:t>
                  </w:r>
                </w:p>
              </w:tc>
              <w:tc>
                <w:tcPr>
                  <w:tcW w:w="685" w:type="pct"/>
                  <w:noWrap w:val="0"/>
                  <w:vAlign w:val="center"/>
                </w:tcPr>
                <w:p>
                  <w:pPr>
                    <w:pStyle w:val="10"/>
                    <w:bidi w:val="0"/>
                    <w:rPr>
                      <w:rFonts w:hint="eastAsia"/>
                    </w:rPr>
                  </w:pPr>
                  <w:r>
                    <w:rPr>
                      <w:rFonts w:hint="eastAsia"/>
                    </w:rPr>
                    <w:t>/</w:t>
                  </w:r>
                </w:p>
              </w:tc>
              <w:tc>
                <w:tcPr>
                  <w:tcW w:w="594" w:type="pct"/>
                  <w:noWrap w:val="0"/>
                  <w:vAlign w:val="center"/>
                </w:tcPr>
                <w:p>
                  <w:pPr>
                    <w:pStyle w:val="10"/>
                    <w:bidi w:val="0"/>
                    <w:rPr>
                      <w:rFonts w:hint="default"/>
                      <w:lang w:val="en-US" w:eastAsia="zh-CN"/>
                    </w:rPr>
                  </w:pPr>
                  <w:r>
                    <w:rPr>
                      <w:rFonts w:hint="eastAsia"/>
                    </w:rPr>
                    <w:t>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trPr>
              <w:tc>
                <w:tcPr>
                  <w:tcW w:w="612" w:type="pct"/>
                  <w:vMerge w:val="continue"/>
                  <w:noWrap w:val="0"/>
                  <w:vAlign w:val="center"/>
                </w:tcPr>
                <w:p>
                  <w:pPr>
                    <w:pStyle w:val="10"/>
                    <w:bidi w:val="0"/>
                  </w:pPr>
                </w:p>
              </w:tc>
              <w:tc>
                <w:tcPr>
                  <w:tcW w:w="1264" w:type="pct"/>
                  <w:noWrap w:val="0"/>
                  <w:vAlign w:val="center"/>
                </w:tcPr>
                <w:p>
                  <w:pPr>
                    <w:pStyle w:val="10"/>
                    <w:bidi w:val="0"/>
                    <w:rPr>
                      <w:rFonts w:hint="eastAsia"/>
                    </w:rPr>
                  </w:pPr>
                  <w:r>
                    <w:rPr>
                      <w:rFonts w:hint="eastAsia"/>
                    </w:rPr>
                    <w:t>柴油储油罐呼吸损</w:t>
                  </w:r>
                </w:p>
                <w:p>
                  <w:pPr>
                    <w:pStyle w:val="10"/>
                    <w:bidi w:val="0"/>
                  </w:pPr>
                  <w:r>
                    <w:rPr>
                      <w:rFonts w:hint="eastAsia"/>
                    </w:rPr>
                    <w:t>失</w:t>
                  </w:r>
                </w:p>
              </w:tc>
              <w:tc>
                <w:tcPr>
                  <w:tcW w:w="609" w:type="pct"/>
                  <w:vMerge w:val="continue"/>
                  <w:noWrap w:val="0"/>
                  <w:vAlign w:val="center"/>
                </w:tcPr>
                <w:p>
                  <w:pPr>
                    <w:pStyle w:val="10"/>
                    <w:bidi w:val="0"/>
                  </w:pPr>
                </w:p>
              </w:tc>
              <w:tc>
                <w:tcPr>
                  <w:tcW w:w="640" w:type="pct"/>
                  <w:noWrap w:val="0"/>
                  <w:vAlign w:val="center"/>
                </w:tcPr>
                <w:p>
                  <w:pPr>
                    <w:pStyle w:val="10"/>
                    <w:bidi w:val="0"/>
                    <w:rPr>
                      <w:rFonts w:hint="default"/>
                      <w:lang w:val="en-US"/>
                    </w:rPr>
                  </w:pPr>
                  <w:r>
                    <w:rPr>
                      <w:rFonts w:hint="eastAsia"/>
                      <w:lang w:val="en-US" w:eastAsia="zh-CN"/>
                    </w:rPr>
                    <w:t>250</w:t>
                  </w:r>
                </w:p>
              </w:tc>
              <w:tc>
                <w:tcPr>
                  <w:tcW w:w="592" w:type="pct"/>
                  <w:noWrap w:val="0"/>
                  <w:vAlign w:val="center"/>
                </w:tcPr>
                <w:p>
                  <w:pPr>
                    <w:pStyle w:val="10"/>
                    <w:bidi w:val="0"/>
                    <w:rPr>
                      <w:rFonts w:hint="default"/>
                      <w:lang w:val="en-US" w:eastAsia="zh-CN"/>
                    </w:rPr>
                  </w:pPr>
                  <w:r>
                    <w:rPr>
                      <w:rFonts w:hint="eastAsia"/>
                    </w:rPr>
                    <w:t>0.0</w:t>
                  </w:r>
                  <w:r>
                    <w:rPr>
                      <w:rFonts w:hint="eastAsia"/>
                      <w:lang w:val="en-US" w:eastAsia="zh-CN"/>
                    </w:rPr>
                    <w:t>25</w:t>
                  </w:r>
                </w:p>
              </w:tc>
              <w:tc>
                <w:tcPr>
                  <w:tcW w:w="685" w:type="pct"/>
                  <w:noWrap w:val="0"/>
                  <w:vAlign w:val="center"/>
                </w:tcPr>
                <w:p>
                  <w:pPr>
                    <w:pStyle w:val="10"/>
                    <w:bidi w:val="0"/>
                    <w:rPr>
                      <w:rFonts w:hint="eastAsia"/>
                    </w:rPr>
                  </w:pPr>
                  <w:r>
                    <w:rPr>
                      <w:rFonts w:hint="eastAsia"/>
                    </w:rPr>
                    <w:t>/</w:t>
                  </w:r>
                </w:p>
              </w:tc>
              <w:tc>
                <w:tcPr>
                  <w:tcW w:w="594" w:type="pct"/>
                  <w:noWrap w:val="0"/>
                  <w:vAlign w:val="center"/>
                </w:tcPr>
                <w:p>
                  <w:pPr>
                    <w:pStyle w:val="10"/>
                    <w:bidi w:val="0"/>
                    <w:rPr>
                      <w:rFonts w:hint="eastAsia"/>
                      <w:lang w:val="en-US" w:eastAsia="zh-CN"/>
                    </w:rPr>
                  </w:pPr>
                  <w:r>
                    <w:rPr>
                      <w:rFonts w:hint="eastAsia"/>
                    </w:rPr>
                    <w:t>0.0</w:t>
                  </w:r>
                  <w:r>
                    <w:rPr>
                      <w:rFonts w:hint="eastAsia"/>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612" w:type="pct"/>
                  <w:vMerge w:val="restart"/>
                  <w:noWrap w:val="0"/>
                  <w:vAlign w:val="center"/>
                </w:tcPr>
                <w:p>
                  <w:pPr>
                    <w:pStyle w:val="10"/>
                    <w:bidi w:val="0"/>
                  </w:pPr>
                  <w:r>
                    <w:t>油罐车</w:t>
                  </w:r>
                </w:p>
              </w:tc>
              <w:tc>
                <w:tcPr>
                  <w:tcW w:w="1264" w:type="pct"/>
                  <w:noWrap w:val="0"/>
                  <w:vAlign w:val="center"/>
                </w:tcPr>
                <w:p>
                  <w:pPr>
                    <w:pStyle w:val="10"/>
                    <w:bidi w:val="0"/>
                  </w:pPr>
                  <w:r>
                    <w:rPr>
                      <w:rFonts w:hint="eastAsia"/>
                    </w:rPr>
                    <w:t>汽油卸油损失</w:t>
                  </w:r>
                </w:p>
              </w:tc>
              <w:tc>
                <w:tcPr>
                  <w:tcW w:w="609" w:type="pct"/>
                  <w:noWrap w:val="0"/>
                  <w:vAlign w:val="center"/>
                </w:tcPr>
                <w:p>
                  <w:pPr>
                    <w:pStyle w:val="10"/>
                    <w:bidi w:val="0"/>
                  </w:pPr>
                  <w:r>
                    <w:rPr>
                      <w:rFonts w:hint="eastAsia"/>
                    </w:rPr>
                    <w:t>0.23%</w:t>
                  </w:r>
                </w:p>
              </w:tc>
              <w:tc>
                <w:tcPr>
                  <w:tcW w:w="640" w:type="pct"/>
                  <w:noWrap w:val="0"/>
                  <w:vAlign w:val="center"/>
                </w:tcPr>
                <w:p>
                  <w:pPr>
                    <w:pStyle w:val="10"/>
                    <w:bidi w:val="0"/>
                    <w:rPr>
                      <w:rFonts w:hint="default"/>
                      <w:lang w:val="en-US"/>
                    </w:rPr>
                  </w:pPr>
                  <w:r>
                    <w:rPr>
                      <w:rFonts w:hint="eastAsia"/>
                      <w:lang w:val="en-US" w:eastAsia="zh-CN"/>
                    </w:rPr>
                    <w:t>2500</w:t>
                  </w:r>
                </w:p>
              </w:tc>
              <w:tc>
                <w:tcPr>
                  <w:tcW w:w="592" w:type="pct"/>
                  <w:noWrap w:val="0"/>
                  <w:vAlign w:val="center"/>
                </w:tcPr>
                <w:p>
                  <w:pPr>
                    <w:pStyle w:val="10"/>
                    <w:bidi w:val="0"/>
                    <w:rPr>
                      <w:rFonts w:hint="default"/>
                      <w:lang w:val="en-US" w:eastAsia="zh-CN"/>
                    </w:rPr>
                  </w:pPr>
                  <w:r>
                    <w:rPr>
                      <w:rFonts w:hint="eastAsia"/>
                      <w:lang w:val="en-US" w:eastAsia="zh-CN"/>
                    </w:rPr>
                    <w:t>5.75</w:t>
                  </w:r>
                </w:p>
              </w:tc>
              <w:tc>
                <w:tcPr>
                  <w:tcW w:w="685" w:type="pct"/>
                  <w:noWrap w:val="0"/>
                  <w:vAlign w:val="center"/>
                </w:tcPr>
                <w:p>
                  <w:pPr>
                    <w:pStyle w:val="10"/>
                    <w:bidi w:val="0"/>
                    <w:rPr>
                      <w:rFonts w:hint="eastAsia"/>
                    </w:rPr>
                  </w:pPr>
                  <w:r>
                    <w:rPr>
                      <w:rFonts w:hint="eastAsia"/>
                    </w:rPr>
                    <w:t>95%</w:t>
                  </w:r>
                </w:p>
              </w:tc>
              <w:tc>
                <w:tcPr>
                  <w:tcW w:w="594" w:type="pct"/>
                  <w:noWrap w:val="0"/>
                  <w:vAlign w:val="center"/>
                </w:tcPr>
                <w:p>
                  <w:pPr>
                    <w:pStyle w:val="10"/>
                    <w:bidi w:val="0"/>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trPr>
              <w:tc>
                <w:tcPr>
                  <w:tcW w:w="612" w:type="pct"/>
                  <w:vMerge w:val="continue"/>
                  <w:noWrap w:val="0"/>
                  <w:vAlign w:val="center"/>
                </w:tcPr>
                <w:p>
                  <w:pPr>
                    <w:pStyle w:val="10"/>
                    <w:bidi w:val="0"/>
                  </w:pPr>
                </w:p>
              </w:tc>
              <w:tc>
                <w:tcPr>
                  <w:tcW w:w="1264" w:type="pct"/>
                  <w:noWrap w:val="0"/>
                  <w:vAlign w:val="center"/>
                </w:tcPr>
                <w:p>
                  <w:pPr>
                    <w:pStyle w:val="10"/>
                    <w:bidi w:val="0"/>
                  </w:pPr>
                  <w:r>
                    <w:rPr>
                      <w:rFonts w:hint="eastAsia"/>
                    </w:rPr>
                    <w:t>柴油卸油损失</w:t>
                  </w:r>
                </w:p>
              </w:tc>
              <w:tc>
                <w:tcPr>
                  <w:tcW w:w="609" w:type="pct"/>
                  <w:noWrap w:val="0"/>
                  <w:vAlign w:val="center"/>
                </w:tcPr>
                <w:p>
                  <w:pPr>
                    <w:pStyle w:val="10"/>
                    <w:bidi w:val="0"/>
                  </w:pPr>
                  <w:r>
                    <w:rPr>
                      <w:rFonts w:hint="eastAsia"/>
                    </w:rPr>
                    <w:t>0.05%</w:t>
                  </w:r>
                </w:p>
              </w:tc>
              <w:tc>
                <w:tcPr>
                  <w:tcW w:w="640" w:type="pct"/>
                  <w:noWrap w:val="0"/>
                  <w:vAlign w:val="center"/>
                </w:tcPr>
                <w:p>
                  <w:pPr>
                    <w:pStyle w:val="10"/>
                    <w:bidi w:val="0"/>
                    <w:rPr>
                      <w:rFonts w:hint="default"/>
                      <w:lang w:val="en-US"/>
                    </w:rPr>
                  </w:pPr>
                  <w:r>
                    <w:rPr>
                      <w:rFonts w:hint="eastAsia"/>
                      <w:lang w:val="en-US" w:eastAsia="zh-CN"/>
                    </w:rPr>
                    <w:t>250</w:t>
                  </w:r>
                </w:p>
              </w:tc>
              <w:tc>
                <w:tcPr>
                  <w:tcW w:w="592" w:type="pct"/>
                  <w:noWrap w:val="0"/>
                  <w:vAlign w:val="center"/>
                </w:tcPr>
                <w:p>
                  <w:pPr>
                    <w:pStyle w:val="10"/>
                    <w:bidi w:val="0"/>
                    <w:rPr>
                      <w:rFonts w:hint="default"/>
                      <w:lang w:val="en-US" w:eastAsia="zh-CN"/>
                    </w:rPr>
                  </w:pPr>
                  <w:r>
                    <w:rPr>
                      <w:rFonts w:hint="eastAsia"/>
                      <w:lang w:val="en-US" w:eastAsia="zh-CN"/>
                    </w:rPr>
                    <w:t>0.125</w:t>
                  </w:r>
                </w:p>
              </w:tc>
              <w:tc>
                <w:tcPr>
                  <w:tcW w:w="685" w:type="pct"/>
                  <w:noWrap w:val="0"/>
                  <w:vAlign w:val="center"/>
                </w:tcPr>
                <w:p>
                  <w:pPr>
                    <w:pStyle w:val="10"/>
                    <w:bidi w:val="0"/>
                    <w:rPr>
                      <w:rFonts w:hint="eastAsia"/>
                    </w:rPr>
                  </w:pPr>
                  <w:r>
                    <w:rPr>
                      <w:rFonts w:hint="eastAsia"/>
                    </w:rPr>
                    <w:t>/</w:t>
                  </w:r>
                </w:p>
              </w:tc>
              <w:tc>
                <w:tcPr>
                  <w:tcW w:w="594" w:type="pct"/>
                  <w:noWrap w:val="0"/>
                  <w:vAlign w:val="center"/>
                </w:tcPr>
                <w:p>
                  <w:pPr>
                    <w:pStyle w:val="10"/>
                    <w:bidi w:val="0"/>
                    <w:rPr>
                      <w:rFonts w:hint="default"/>
                      <w:lang w:val="en-US" w:eastAsia="zh-CN"/>
                    </w:rPr>
                  </w:pPr>
                  <w:r>
                    <w:rPr>
                      <w:rFonts w:hint="eastAsia"/>
                    </w:rPr>
                    <w:t>0.</w:t>
                  </w:r>
                  <w:r>
                    <w:rPr>
                      <w:rFonts w:hint="eastAsia"/>
                      <w:lang w:val="en-US" w:eastAsia="zh-CN"/>
                    </w:rPr>
                    <w:t>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12" w:type="pct"/>
                  <w:vMerge w:val="restart"/>
                  <w:noWrap w:val="0"/>
                  <w:vAlign w:val="center"/>
                </w:tcPr>
                <w:p>
                  <w:pPr>
                    <w:pStyle w:val="10"/>
                    <w:bidi w:val="0"/>
                  </w:pPr>
                  <w:r>
                    <w:t>加油站</w:t>
                  </w:r>
                </w:p>
              </w:tc>
              <w:tc>
                <w:tcPr>
                  <w:tcW w:w="1264" w:type="pct"/>
                  <w:noWrap w:val="0"/>
                  <w:vAlign w:val="center"/>
                </w:tcPr>
                <w:p>
                  <w:pPr>
                    <w:pStyle w:val="10"/>
                    <w:bidi w:val="0"/>
                  </w:pPr>
                  <w:r>
                    <w:rPr>
                      <w:rFonts w:hint="eastAsia"/>
                    </w:rPr>
                    <w:t>汽油加油损失</w:t>
                  </w:r>
                </w:p>
              </w:tc>
              <w:tc>
                <w:tcPr>
                  <w:tcW w:w="609" w:type="pct"/>
                  <w:noWrap w:val="0"/>
                  <w:vAlign w:val="center"/>
                </w:tcPr>
                <w:p>
                  <w:pPr>
                    <w:pStyle w:val="10"/>
                    <w:bidi w:val="0"/>
                  </w:pPr>
                  <w:r>
                    <w:rPr>
                      <w:rFonts w:hint="eastAsia"/>
                    </w:rPr>
                    <w:t>0.29%</w:t>
                  </w:r>
                </w:p>
              </w:tc>
              <w:tc>
                <w:tcPr>
                  <w:tcW w:w="640" w:type="pct"/>
                  <w:noWrap w:val="0"/>
                  <w:vAlign w:val="center"/>
                </w:tcPr>
                <w:p>
                  <w:pPr>
                    <w:pStyle w:val="10"/>
                    <w:bidi w:val="0"/>
                    <w:rPr>
                      <w:rFonts w:hint="default"/>
                      <w:lang w:val="en-US"/>
                    </w:rPr>
                  </w:pPr>
                  <w:r>
                    <w:rPr>
                      <w:rFonts w:hint="eastAsia"/>
                      <w:lang w:val="en-US" w:eastAsia="zh-CN"/>
                    </w:rPr>
                    <w:t>2500</w:t>
                  </w:r>
                </w:p>
              </w:tc>
              <w:tc>
                <w:tcPr>
                  <w:tcW w:w="592" w:type="pct"/>
                  <w:noWrap w:val="0"/>
                  <w:vAlign w:val="center"/>
                </w:tcPr>
                <w:p>
                  <w:pPr>
                    <w:pStyle w:val="10"/>
                    <w:bidi w:val="0"/>
                    <w:rPr>
                      <w:rFonts w:hint="default"/>
                      <w:lang w:val="en-US" w:eastAsia="zh-CN"/>
                    </w:rPr>
                  </w:pPr>
                  <w:r>
                    <w:rPr>
                      <w:rFonts w:hint="eastAsia"/>
                      <w:lang w:val="en-US" w:eastAsia="zh-CN"/>
                    </w:rPr>
                    <w:t>7.25</w:t>
                  </w:r>
                </w:p>
              </w:tc>
              <w:tc>
                <w:tcPr>
                  <w:tcW w:w="685" w:type="pct"/>
                  <w:noWrap w:val="0"/>
                  <w:vAlign w:val="center"/>
                </w:tcPr>
                <w:p>
                  <w:pPr>
                    <w:pStyle w:val="10"/>
                    <w:bidi w:val="0"/>
                    <w:rPr>
                      <w:rFonts w:hint="eastAsia"/>
                    </w:rPr>
                  </w:pPr>
                  <w:r>
                    <w:rPr>
                      <w:rFonts w:hint="eastAsia"/>
                    </w:rPr>
                    <w:t>95%</w:t>
                  </w:r>
                </w:p>
              </w:tc>
              <w:tc>
                <w:tcPr>
                  <w:tcW w:w="594" w:type="pct"/>
                  <w:noWrap w:val="0"/>
                  <w:vAlign w:val="center"/>
                </w:tcPr>
                <w:p>
                  <w:pPr>
                    <w:pStyle w:val="10"/>
                    <w:bidi w:val="0"/>
                    <w:rPr>
                      <w:rFonts w:hint="default"/>
                      <w:lang w:val="en-US" w:eastAsia="zh-CN"/>
                    </w:rPr>
                  </w:pPr>
                  <w:r>
                    <w:rPr>
                      <w:rFonts w:hint="eastAsia"/>
                      <w:lang w:val="en-US" w:eastAsia="zh-CN"/>
                    </w:rPr>
                    <w:t>0.3625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612" w:type="pct"/>
                  <w:vMerge w:val="continue"/>
                  <w:noWrap w:val="0"/>
                  <w:vAlign w:val="center"/>
                </w:tcPr>
                <w:p>
                  <w:pPr>
                    <w:pStyle w:val="10"/>
                    <w:bidi w:val="0"/>
                  </w:pPr>
                </w:p>
              </w:tc>
              <w:tc>
                <w:tcPr>
                  <w:tcW w:w="1264" w:type="pct"/>
                  <w:noWrap w:val="0"/>
                  <w:vAlign w:val="center"/>
                </w:tcPr>
                <w:p>
                  <w:pPr>
                    <w:pStyle w:val="10"/>
                    <w:bidi w:val="0"/>
                  </w:pPr>
                  <w:r>
                    <w:rPr>
                      <w:rFonts w:hint="eastAsia"/>
                    </w:rPr>
                    <w:t>柴油加油损失</w:t>
                  </w:r>
                </w:p>
              </w:tc>
              <w:tc>
                <w:tcPr>
                  <w:tcW w:w="609" w:type="pct"/>
                  <w:noWrap w:val="0"/>
                  <w:vAlign w:val="center"/>
                </w:tcPr>
                <w:p>
                  <w:pPr>
                    <w:pStyle w:val="10"/>
                    <w:bidi w:val="0"/>
                  </w:pPr>
                  <w:r>
                    <w:rPr>
                      <w:rFonts w:hint="eastAsia"/>
                    </w:rPr>
                    <w:t>0.08%</w:t>
                  </w:r>
                </w:p>
              </w:tc>
              <w:tc>
                <w:tcPr>
                  <w:tcW w:w="640" w:type="pct"/>
                  <w:noWrap w:val="0"/>
                  <w:vAlign w:val="center"/>
                </w:tcPr>
                <w:p>
                  <w:pPr>
                    <w:pStyle w:val="10"/>
                    <w:bidi w:val="0"/>
                    <w:rPr>
                      <w:rFonts w:hint="default"/>
                      <w:lang w:val="en-US"/>
                    </w:rPr>
                  </w:pPr>
                  <w:r>
                    <w:rPr>
                      <w:rFonts w:hint="eastAsia"/>
                      <w:lang w:val="en-US" w:eastAsia="zh-CN"/>
                    </w:rPr>
                    <w:t>250</w:t>
                  </w:r>
                </w:p>
              </w:tc>
              <w:tc>
                <w:tcPr>
                  <w:tcW w:w="592" w:type="pct"/>
                  <w:noWrap w:val="0"/>
                  <w:vAlign w:val="center"/>
                </w:tcPr>
                <w:p>
                  <w:pPr>
                    <w:pStyle w:val="10"/>
                    <w:bidi w:val="0"/>
                    <w:rPr>
                      <w:rFonts w:hint="default"/>
                      <w:lang w:val="en-US" w:eastAsia="zh-CN"/>
                    </w:rPr>
                  </w:pPr>
                  <w:r>
                    <w:rPr>
                      <w:rFonts w:hint="eastAsia"/>
                      <w:lang w:val="en-US" w:eastAsia="zh-CN"/>
                    </w:rPr>
                    <w:t>0.2</w:t>
                  </w:r>
                </w:p>
              </w:tc>
              <w:tc>
                <w:tcPr>
                  <w:tcW w:w="685" w:type="pct"/>
                  <w:noWrap w:val="0"/>
                  <w:vAlign w:val="center"/>
                </w:tcPr>
                <w:p>
                  <w:pPr>
                    <w:pStyle w:val="10"/>
                    <w:bidi w:val="0"/>
                    <w:rPr>
                      <w:rFonts w:hint="eastAsia"/>
                    </w:rPr>
                  </w:pPr>
                  <w:r>
                    <w:rPr>
                      <w:rFonts w:hint="eastAsia"/>
                    </w:rPr>
                    <w:t>/</w:t>
                  </w:r>
                </w:p>
              </w:tc>
              <w:tc>
                <w:tcPr>
                  <w:tcW w:w="594" w:type="pct"/>
                  <w:noWrap w:val="0"/>
                  <w:vAlign w:val="center"/>
                </w:tcPr>
                <w:p>
                  <w:pPr>
                    <w:pStyle w:val="10"/>
                    <w:bidi w:val="0"/>
                    <w:rPr>
                      <w:rFonts w:hint="default"/>
                      <w:lang w:val="en-US" w:eastAsia="zh-CN"/>
                    </w:rPr>
                  </w:pPr>
                  <w:r>
                    <w:rPr>
                      <w:rFonts w:hint="eastAsia"/>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612" w:type="pct"/>
                  <w:noWrap w:val="0"/>
                  <w:vAlign w:val="center"/>
                </w:tcPr>
                <w:p>
                  <w:pPr>
                    <w:pStyle w:val="10"/>
                    <w:bidi w:val="0"/>
                  </w:pPr>
                  <w:r>
                    <w:t>合计</w:t>
                  </w:r>
                </w:p>
              </w:tc>
              <w:tc>
                <w:tcPr>
                  <w:tcW w:w="1264" w:type="pct"/>
                  <w:noWrap w:val="0"/>
                  <w:vAlign w:val="center"/>
                </w:tcPr>
                <w:p>
                  <w:pPr>
                    <w:pStyle w:val="10"/>
                    <w:bidi w:val="0"/>
                  </w:pPr>
                  <w:r>
                    <w:t>/</w:t>
                  </w:r>
                </w:p>
              </w:tc>
              <w:tc>
                <w:tcPr>
                  <w:tcW w:w="609" w:type="pct"/>
                  <w:noWrap w:val="0"/>
                  <w:vAlign w:val="center"/>
                </w:tcPr>
                <w:p>
                  <w:pPr>
                    <w:pStyle w:val="10"/>
                    <w:bidi w:val="0"/>
                  </w:pPr>
                  <w:r>
                    <w:t>/</w:t>
                  </w:r>
                </w:p>
              </w:tc>
              <w:tc>
                <w:tcPr>
                  <w:tcW w:w="640" w:type="pct"/>
                  <w:noWrap w:val="0"/>
                  <w:vAlign w:val="center"/>
                </w:tcPr>
                <w:p>
                  <w:pPr>
                    <w:pStyle w:val="10"/>
                    <w:bidi w:val="0"/>
                    <w:rPr>
                      <w:rFonts w:hint="default"/>
                      <w:lang w:val="en-US" w:eastAsia="zh-CN"/>
                    </w:rPr>
                  </w:pPr>
                  <w:r>
                    <w:rPr>
                      <w:rFonts w:hint="eastAsia"/>
                      <w:lang w:val="en-US" w:eastAsia="zh-CN"/>
                    </w:rPr>
                    <w:t>2750</w:t>
                  </w:r>
                </w:p>
              </w:tc>
              <w:tc>
                <w:tcPr>
                  <w:tcW w:w="592" w:type="pct"/>
                  <w:noWrap w:val="0"/>
                  <w:vAlign w:val="center"/>
                </w:tcPr>
                <w:p>
                  <w:pPr>
                    <w:pStyle w:val="10"/>
                    <w:bidi w:val="0"/>
                    <w:rPr>
                      <w:rFonts w:hint="default"/>
                      <w:lang w:val="en-US" w:eastAsia="zh-CN"/>
                    </w:rPr>
                  </w:pPr>
                  <w:r>
                    <w:rPr>
                      <w:rFonts w:hint="eastAsia"/>
                      <w:lang w:val="en-US" w:eastAsia="zh-CN"/>
                    </w:rPr>
                    <w:t>13.6</w:t>
                  </w:r>
                </w:p>
              </w:tc>
              <w:tc>
                <w:tcPr>
                  <w:tcW w:w="685" w:type="pct"/>
                  <w:noWrap w:val="0"/>
                  <w:vAlign w:val="center"/>
                </w:tcPr>
                <w:p>
                  <w:pPr>
                    <w:pStyle w:val="10"/>
                    <w:bidi w:val="0"/>
                    <w:rPr>
                      <w:rFonts w:hint="eastAsia"/>
                    </w:rPr>
                  </w:pPr>
                  <w:r>
                    <w:rPr>
                      <w:rFonts w:hint="eastAsia"/>
                    </w:rPr>
                    <w:t>/</w:t>
                  </w:r>
                </w:p>
              </w:tc>
              <w:tc>
                <w:tcPr>
                  <w:tcW w:w="594" w:type="pct"/>
                  <w:noWrap w:val="0"/>
                  <w:vAlign w:val="center"/>
                </w:tcPr>
                <w:p>
                  <w:pPr>
                    <w:pStyle w:val="10"/>
                    <w:bidi w:val="0"/>
                    <w:rPr>
                      <w:rFonts w:hint="default"/>
                      <w:lang w:val="en-US" w:eastAsia="zh-CN"/>
                    </w:rPr>
                  </w:pPr>
                  <w:r>
                    <w:rPr>
                      <w:rFonts w:hint="eastAsia"/>
                      <w:lang w:val="en-US" w:eastAsia="zh-CN"/>
                    </w:rPr>
                    <w:t>0.758</w:t>
                  </w:r>
                </w:p>
              </w:tc>
            </w:tr>
          </w:tbl>
          <w:p>
            <w:pPr>
              <w:spacing w:before="156" w:beforeLines="50" w:line="360" w:lineRule="auto"/>
              <w:ind w:firstLine="480" w:firstLineChars="200"/>
              <w:rPr>
                <w:rFonts w:ascii="Times New Roman" w:hAnsi="Times New Roman" w:cs="Arial"/>
                <w:bCs/>
                <w:color w:val="000000"/>
                <w:sz w:val="24"/>
              </w:rPr>
            </w:pPr>
            <w:r>
              <w:rPr>
                <w:rFonts w:ascii="Times New Roman" w:hAnsi="Times New Roman" w:cs="Arial"/>
                <w:color w:val="000000"/>
                <w:sz w:val="24"/>
              </w:rPr>
              <w:t>车辆进出加油站时会排放一定量的汽车尾气，主要污染物为CO、NOx、SO</w:t>
            </w:r>
            <w:r>
              <w:rPr>
                <w:rFonts w:ascii="Times New Roman" w:hAnsi="Times New Roman" w:cs="Arial"/>
                <w:color w:val="000000"/>
                <w:sz w:val="24"/>
                <w:vertAlign w:val="subscript"/>
              </w:rPr>
              <w:t>2</w:t>
            </w:r>
            <w:r>
              <w:rPr>
                <w:rFonts w:ascii="Times New Roman" w:hAnsi="Times New Roman" w:cs="Arial"/>
                <w:color w:val="000000"/>
                <w:sz w:val="24"/>
              </w:rPr>
              <w:t>、THC等，</w:t>
            </w:r>
            <w:r>
              <w:rPr>
                <w:rFonts w:hint="eastAsia" w:ascii="Times New Roman" w:hAnsi="Times New Roman" w:cs="Arial"/>
                <w:color w:val="000000"/>
                <w:sz w:val="24"/>
              </w:rPr>
              <w:t>加油时车辆均熄火，汽车尾气</w:t>
            </w:r>
            <w:r>
              <w:rPr>
                <w:rFonts w:ascii="Times New Roman" w:hAnsi="Times New Roman" w:cs="Arial"/>
                <w:color w:val="000000"/>
                <w:sz w:val="24"/>
              </w:rPr>
              <w:t>产生量较小</w:t>
            </w:r>
            <w:r>
              <w:rPr>
                <w:rFonts w:hint="eastAsia" w:ascii="Times New Roman" w:hAnsi="Times New Roman" w:cs="Arial"/>
                <w:color w:val="000000"/>
                <w:sz w:val="24"/>
              </w:rPr>
              <w:t>，不会改变区域环境空气质量，对周围环境影响很小</w:t>
            </w:r>
            <w:r>
              <w:rPr>
                <w:rFonts w:ascii="Times New Roman" w:hAnsi="Times New Roman" w:cs="Arial"/>
                <w:bCs/>
                <w:color w:val="000000"/>
                <w:sz w:val="24"/>
              </w:rPr>
              <w:t>。</w:t>
            </w:r>
          </w:p>
          <w:p>
            <w:pPr>
              <w:spacing w:before="156" w:beforeLines="50" w:line="360" w:lineRule="auto"/>
              <w:ind w:firstLine="480" w:firstLineChars="200"/>
              <w:rPr>
                <w:rFonts w:hint="eastAsia" w:ascii="Times New Roman" w:hAnsi="Times New Roman" w:cs="Arial"/>
                <w:color w:val="auto"/>
                <w:sz w:val="24"/>
                <w:szCs w:val="22"/>
              </w:rPr>
            </w:pPr>
            <w:r>
              <w:rPr>
                <w:rFonts w:hint="eastAsia" w:ascii="Times New Roman" w:hAnsi="Times New Roman" w:cs="Arial"/>
                <w:color w:val="auto"/>
                <w:sz w:val="24"/>
                <w:szCs w:val="22"/>
              </w:rPr>
              <w:t>2</w:t>
            </w:r>
            <w:r>
              <w:rPr>
                <w:rFonts w:ascii="Times New Roman" w:hAnsi="Times New Roman" w:cs="Arial"/>
                <w:color w:val="auto"/>
                <w:sz w:val="24"/>
              </w:rPr>
              <w:t>、</w:t>
            </w:r>
            <w:r>
              <w:rPr>
                <w:rFonts w:hint="eastAsia" w:ascii="Times New Roman" w:hAnsi="Times New Roman" w:cs="Arial"/>
                <w:color w:val="auto"/>
                <w:sz w:val="24"/>
                <w:szCs w:val="22"/>
              </w:rPr>
              <w:t>废水污染源</w:t>
            </w:r>
          </w:p>
          <w:p>
            <w:pPr>
              <w:spacing w:line="360" w:lineRule="auto"/>
              <w:ind w:firstLine="480" w:firstLineChars="200"/>
              <w:rPr>
                <w:rFonts w:hint="eastAsia" w:ascii="Times New Roman" w:hAnsi="Times New Roman" w:eastAsia="宋体" w:cs="Arial"/>
                <w:bCs/>
                <w:color w:val="auto"/>
                <w:sz w:val="24"/>
                <w:lang w:eastAsia="zh-CN"/>
              </w:rPr>
            </w:pPr>
            <w:r>
              <w:rPr>
                <w:rFonts w:hint="eastAsia" w:ascii="Times New Roman" w:hAnsi="Times New Roman" w:cs="Arial"/>
                <w:bCs/>
                <w:color w:val="auto"/>
                <w:sz w:val="24"/>
              </w:rPr>
              <w:t>本项目劳动定</w:t>
            </w:r>
            <w:r>
              <w:rPr>
                <w:rFonts w:hint="eastAsia" w:ascii="Times New Roman" w:hAnsi="Times New Roman" w:cs="Arial"/>
                <w:bCs/>
                <w:color w:val="auto"/>
                <w:sz w:val="24"/>
                <w:szCs w:val="22"/>
              </w:rPr>
              <w:t>员</w:t>
            </w:r>
            <w:r>
              <w:rPr>
                <w:rFonts w:hint="eastAsia" w:ascii="Times New Roman" w:hAnsi="Times New Roman" w:eastAsia="宋体" w:cs="Arial"/>
                <w:bCs/>
                <w:color w:val="auto"/>
                <w:sz w:val="24"/>
                <w:szCs w:val="22"/>
                <w:lang w:val="en-US" w:eastAsia="zh-CN"/>
              </w:rPr>
              <w:t>6</w:t>
            </w:r>
            <w:r>
              <w:rPr>
                <w:rFonts w:hint="eastAsia" w:ascii="Times New Roman" w:hAnsi="Times New Roman" w:cs="Arial"/>
                <w:bCs/>
                <w:color w:val="auto"/>
                <w:sz w:val="24"/>
                <w:szCs w:val="22"/>
              </w:rPr>
              <w:t>人，根</w:t>
            </w:r>
            <w:r>
              <w:rPr>
                <w:rFonts w:hint="eastAsia" w:ascii="Times New Roman" w:hAnsi="Times New Roman" w:cs="Arial"/>
                <w:bCs/>
                <w:color w:val="auto"/>
                <w:sz w:val="24"/>
              </w:rPr>
              <w:t>据建设单位提供的资料，</w:t>
            </w:r>
            <w:r>
              <w:rPr>
                <w:rFonts w:hint="eastAsia" w:ascii="Times New Roman" w:hAnsi="Times New Roman" w:cs="Arial"/>
                <w:bCs/>
                <w:color w:val="auto"/>
                <w:sz w:val="24"/>
                <w:lang w:eastAsia="zh-CN"/>
              </w:rPr>
              <w:t>职工</w:t>
            </w:r>
            <w:r>
              <w:rPr>
                <w:rFonts w:hint="eastAsia" w:ascii="Times New Roman" w:hAnsi="Times New Roman" w:cs="Arial"/>
                <w:bCs/>
                <w:color w:val="auto"/>
                <w:sz w:val="24"/>
              </w:rPr>
              <w:t>职工人员用水量按20L/（人·d）， 年工作日为 365d，则用水量为0.1</w:t>
            </w:r>
            <w:r>
              <w:rPr>
                <w:rFonts w:hint="eastAsia" w:ascii="Times New Roman" w:hAnsi="Times New Roman" w:eastAsia="宋体" w:cs="Arial"/>
                <w:bCs/>
                <w:color w:val="auto"/>
                <w:sz w:val="24"/>
                <w:lang w:val="en-US" w:eastAsia="zh-CN"/>
              </w:rPr>
              <w:t>2</w:t>
            </w:r>
            <w:r>
              <w:rPr>
                <w:rFonts w:hint="eastAsia" w:ascii="Times New Roman" w:hAnsi="Times New Roman" w:cs="Arial"/>
                <w:bCs/>
                <w:color w:val="auto"/>
                <w:sz w:val="24"/>
              </w:rPr>
              <w:t>m</w:t>
            </w:r>
            <w:r>
              <w:rPr>
                <w:rFonts w:hint="eastAsia" w:ascii="Times New Roman" w:hAnsi="Times New Roman" w:cs="Arial"/>
                <w:bCs/>
                <w:color w:val="auto"/>
                <w:sz w:val="24"/>
                <w:vertAlign w:val="superscript"/>
              </w:rPr>
              <w:t>3</w:t>
            </w:r>
            <w:r>
              <w:rPr>
                <w:rFonts w:hint="eastAsia" w:ascii="Times New Roman" w:hAnsi="Times New Roman" w:cs="Arial"/>
                <w:bCs/>
                <w:color w:val="auto"/>
                <w:sz w:val="24"/>
              </w:rPr>
              <w:t>/d（</w:t>
            </w:r>
            <w:r>
              <w:rPr>
                <w:rFonts w:hint="eastAsia" w:ascii="Times New Roman" w:hAnsi="Times New Roman" w:eastAsia="宋体" w:cs="Arial"/>
                <w:bCs/>
                <w:color w:val="auto"/>
                <w:sz w:val="24"/>
                <w:lang w:val="en-US" w:eastAsia="zh-CN"/>
              </w:rPr>
              <w:t>43.8</w:t>
            </w:r>
            <w:r>
              <w:rPr>
                <w:rFonts w:hint="eastAsia" w:ascii="Times New Roman" w:hAnsi="Times New Roman" w:cs="Arial"/>
                <w:bCs/>
                <w:color w:val="auto"/>
                <w:sz w:val="24"/>
              </w:rPr>
              <w:t>m</w:t>
            </w:r>
            <w:r>
              <w:rPr>
                <w:rFonts w:hint="eastAsia" w:ascii="Times New Roman" w:hAnsi="Times New Roman" w:cs="Arial"/>
                <w:bCs/>
                <w:color w:val="auto"/>
                <w:sz w:val="24"/>
                <w:vertAlign w:val="superscript"/>
              </w:rPr>
              <w:t>3</w:t>
            </w:r>
            <w:r>
              <w:rPr>
                <w:rFonts w:hint="eastAsia" w:ascii="Times New Roman" w:hAnsi="Times New Roman" w:cs="Arial"/>
                <w:bCs/>
                <w:color w:val="auto"/>
                <w:sz w:val="24"/>
              </w:rPr>
              <w:t>/a），污水排放量按用水量的80%计， 则员工生活污水年排放量为</w:t>
            </w:r>
            <w:r>
              <w:rPr>
                <w:rFonts w:hint="eastAsia" w:ascii="Times New Roman" w:hAnsi="Times New Roman" w:eastAsia="宋体" w:cs="Arial"/>
                <w:bCs/>
                <w:color w:val="auto"/>
                <w:sz w:val="24"/>
                <w:lang w:val="en-US" w:eastAsia="zh-CN"/>
              </w:rPr>
              <w:t>35.04</w:t>
            </w:r>
            <w:r>
              <w:rPr>
                <w:rFonts w:hint="eastAsia" w:ascii="Times New Roman" w:hAnsi="Times New Roman" w:cs="Arial"/>
                <w:bCs/>
                <w:color w:val="auto"/>
                <w:sz w:val="24"/>
              </w:rPr>
              <w:t>m</w:t>
            </w:r>
            <w:r>
              <w:rPr>
                <w:rFonts w:hint="eastAsia" w:ascii="Times New Roman" w:hAnsi="Times New Roman" w:cs="Arial"/>
                <w:bCs/>
                <w:color w:val="auto"/>
                <w:sz w:val="24"/>
                <w:vertAlign w:val="superscript"/>
              </w:rPr>
              <w:t>3</w:t>
            </w:r>
            <w:r>
              <w:rPr>
                <w:rFonts w:hint="eastAsia" w:ascii="Times New Roman" w:hAnsi="Times New Roman" w:cs="Arial"/>
                <w:bCs/>
                <w:color w:val="auto"/>
                <w:sz w:val="24"/>
              </w:rPr>
              <w:t>/a。</w:t>
            </w:r>
            <w:r>
              <w:rPr>
                <w:rFonts w:hint="eastAsia" w:ascii="Times New Roman" w:hAnsi="Times New Roman" w:cs="Arial"/>
                <w:bCs/>
                <w:color w:val="auto"/>
                <w:sz w:val="24"/>
                <w:lang w:eastAsia="zh-CN"/>
              </w:rPr>
              <w:t>生活污水经厂区生活污水处理站处理后用于服务区洒水降尘，加油站不设置卫生间，服务区卫生间废水经化粪池处理后定期由附近村民拉走肥田。</w:t>
            </w:r>
          </w:p>
          <w:p>
            <w:pPr>
              <w:spacing w:before="156" w:beforeLines="50" w:line="360" w:lineRule="auto"/>
              <w:ind w:firstLine="480" w:firstLineChars="200"/>
              <w:rPr>
                <w:rFonts w:hint="eastAsia" w:ascii="Times New Roman" w:hAnsi="Times New Roman" w:cs="Arial"/>
                <w:color w:val="auto"/>
                <w:sz w:val="24"/>
                <w:szCs w:val="22"/>
              </w:rPr>
            </w:pPr>
            <w:r>
              <w:rPr>
                <w:rFonts w:hint="eastAsia" w:ascii="Times New Roman" w:hAnsi="Times New Roman" w:cs="Arial"/>
                <w:color w:val="auto"/>
                <w:sz w:val="24"/>
                <w:szCs w:val="22"/>
              </w:rPr>
              <w:t>3</w:t>
            </w:r>
            <w:r>
              <w:rPr>
                <w:rFonts w:ascii="Times New Roman" w:hAnsi="Times New Roman" w:cs="Arial"/>
                <w:color w:val="auto"/>
                <w:sz w:val="24"/>
              </w:rPr>
              <w:t>、</w:t>
            </w:r>
            <w:r>
              <w:rPr>
                <w:rFonts w:hint="eastAsia" w:ascii="Times New Roman" w:hAnsi="Times New Roman" w:cs="Arial"/>
                <w:color w:val="auto"/>
                <w:sz w:val="24"/>
                <w:szCs w:val="22"/>
              </w:rPr>
              <w:t>噪声污染源</w:t>
            </w:r>
          </w:p>
          <w:p>
            <w:pPr>
              <w:pStyle w:val="17"/>
              <w:spacing w:before="0" w:beforeAutospacing="0" w:after="0" w:afterAutospacing="0" w:line="360" w:lineRule="auto"/>
              <w:ind w:firstLine="480" w:firstLineChars="200"/>
              <w:jc w:val="both"/>
              <w:rPr>
                <w:rFonts w:ascii="Times New Roman" w:hAnsi="Times New Roman"/>
                <w:color w:val="auto"/>
              </w:rPr>
            </w:pPr>
            <w:r>
              <w:rPr>
                <w:rFonts w:ascii="Times New Roman" w:hAnsi="Times New Roman"/>
                <w:color w:val="auto"/>
              </w:rPr>
              <w:t>本项目的噪声源主要为加油泵、备用发电机等设备运行时产生的设备噪声以及加油车辆在进出加油站时产生的交通噪声。汽车在加油站内发动机处于关闭状态，所以噪声不大，根据同类规模加油站类比，加油泵噪声值为60～65dB（A）；备用发电机运行噪声80～85dB（A）；车辆噪声约为65～80dB（A）。</w:t>
            </w:r>
          </w:p>
          <w:p>
            <w:pPr>
              <w:pStyle w:val="17"/>
              <w:spacing w:before="0" w:beforeAutospacing="0" w:after="0" w:afterAutospacing="0" w:line="360" w:lineRule="auto"/>
              <w:ind w:firstLine="480" w:firstLineChars="200"/>
              <w:jc w:val="both"/>
              <w:rPr>
                <w:rFonts w:ascii="Times New Roman" w:hAnsi="Times New Roman"/>
                <w:color w:val="auto"/>
                <w:szCs w:val="22"/>
              </w:rPr>
            </w:pPr>
            <w:r>
              <w:rPr>
                <w:rFonts w:hint="eastAsia" w:ascii="Times New Roman" w:hAnsi="Times New Roman"/>
                <w:color w:val="auto"/>
                <w:szCs w:val="22"/>
              </w:rPr>
              <w:t>4</w:t>
            </w:r>
            <w:r>
              <w:rPr>
                <w:rFonts w:ascii="Times New Roman" w:hAnsi="Times New Roman" w:cs="Arial"/>
                <w:color w:val="auto"/>
              </w:rPr>
              <w:t>、</w:t>
            </w:r>
            <w:r>
              <w:rPr>
                <w:rFonts w:ascii="Times New Roman" w:hAnsi="Times New Roman"/>
                <w:color w:val="auto"/>
                <w:szCs w:val="22"/>
              </w:rPr>
              <w:t>固体废物</w:t>
            </w:r>
          </w:p>
          <w:p>
            <w:pPr>
              <w:pStyle w:val="17"/>
              <w:spacing w:before="0" w:beforeAutospacing="0" w:after="0" w:afterAutospacing="0" w:line="360" w:lineRule="auto"/>
              <w:ind w:firstLine="480" w:firstLineChars="200"/>
              <w:jc w:val="both"/>
              <w:rPr>
                <w:rFonts w:hint="eastAsia" w:ascii="Times New Roman" w:hAnsi="Times New Roman"/>
                <w:b/>
                <w:color w:val="auto"/>
              </w:rPr>
            </w:pPr>
            <w:r>
              <w:rPr>
                <w:rFonts w:hint="eastAsia" w:ascii="Times New Roman" w:hAnsi="Times New Roman" w:cs="Arial"/>
                <w:color w:val="auto"/>
              </w:rPr>
              <w:t>（1）一般</w:t>
            </w:r>
            <w:r>
              <w:rPr>
                <w:rFonts w:ascii="Times New Roman" w:hAnsi="Times New Roman" w:cs="Arial"/>
                <w:color w:val="auto"/>
              </w:rPr>
              <w:t>固体废物</w:t>
            </w:r>
          </w:p>
          <w:p>
            <w:pPr>
              <w:spacing w:line="360" w:lineRule="auto"/>
              <w:ind w:firstLine="480" w:firstLineChars="200"/>
              <w:rPr>
                <w:rFonts w:ascii="Times New Roman" w:hAnsi="Times New Roman" w:cs="Arial"/>
                <w:color w:val="auto"/>
                <w:sz w:val="24"/>
              </w:rPr>
            </w:pPr>
            <w:r>
              <w:rPr>
                <w:rFonts w:hint="eastAsia" w:ascii="Times New Roman" w:hAnsi="Times New Roman" w:cs="Arial"/>
                <w:color w:val="auto"/>
                <w:sz w:val="24"/>
              </w:rPr>
              <w:t>本项目固废主要是生活垃圾，本项目劳动定</w:t>
            </w:r>
            <w:r>
              <w:rPr>
                <w:rFonts w:hint="eastAsia" w:ascii="Times New Roman" w:hAnsi="Times New Roman" w:cs="Arial"/>
                <w:color w:val="auto"/>
                <w:sz w:val="24"/>
                <w:szCs w:val="22"/>
              </w:rPr>
              <w:t>员</w:t>
            </w:r>
            <w:r>
              <w:rPr>
                <w:rFonts w:hint="eastAsia" w:ascii="Times New Roman" w:hAnsi="Times New Roman" w:eastAsia="宋体" w:cs="Arial"/>
                <w:color w:val="auto"/>
                <w:sz w:val="24"/>
                <w:szCs w:val="22"/>
                <w:lang w:val="en-US" w:eastAsia="zh-CN"/>
              </w:rPr>
              <w:t>6</w:t>
            </w:r>
            <w:r>
              <w:rPr>
                <w:rFonts w:hint="eastAsia" w:ascii="Times New Roman" w:hAnsi="Times New Roman" w:cs="Arial"/>
                <w:color w:val="auto"/>
                <w:sz w:val="24"/>
                <w:szCs w:val="22"/>
              </w:rPr>
              <w:t>人，生</w:t>
            </w:r>
            <w:r>
              <w:rPr>
                <w:rFonts w:hint="eastAsia" w:ascii="Times New Roman" w:hAnsi="Times New Roman" w:cs="Arial"/>
                <w:color w:val="auto"/>
                <w:sz w:val="24"/>
              </w:rPr>
              <w:t>活垃圾按0.5kg/人·d，每 年生活垃圾产生量为</w:t>
            </w:r>
            <w:r>
              <w:rPr>
                <w:rFonts w:hint="eastAsia" w:ascii="Times New Roman" w:hAnsi="Times New Roman" w:eastAsia="宋体" w:cs="Arial"/>
                <w:color w:val="auto"/>
                <w:sz w:val="24"/>
                <w:lang w:val="en-US" w:eastAsia="zh-CN"/>
              </w:rPr>
              <w:t>1.095</w:t>
            </w:r>
            <w:r>
              <w:rPr>
                <w:rFonts w:hint="eastAsia" w:ascii="Times New Roman" w:hAnsi="Times New Roman" w:cs="Arial"/>
                <w:color w:val="auto"/>
                <w:sz w:val="24"/>
              </w:rPr>
              <w:t>t/a。加油站内设置垃圾桶，收集后交由环卫部门处置。</w:t>
            </w:r>
          </w:p>
          <w:p>
            <w:pPr>
              <w:spacing w:line="360" w:lineRule="auto"/>
              <w:ind w:firstLine="480" w:firstLineChars="200"/>
              <w:rPr>
                <w:rFonts w:hint="eastAsia" w:ascii="Times New Roman" w:hAnsi="Times New Roman" w:cs="Arial"/>
                <w:color w:val="auto"/>
                <w:sz w:val="24"/>
              </w:rPr>
            </w:pPr>
            <w:r>
              <w:rPr>
                <w:rFonts w:hint="eastAsia" w:ascii="Times New Roman" w:hAnsi="Times New Roman" w:cs="Arial"/>
                <w:color w:val="auto"/>
                <w:sz w:val="24"/>
              </w:rPr>
              <w:t>（2）</w:t>
            </w:r>
            <w:r>
              <w:rPr>
                <w:rFonts w:ascii="Times New Roman" w:hAnsi="Times New Roman" w:cs="Arial"/>
                <w:color w:val="auto"/>
                <w:sz w:val="24"/>
              </w:rPr>
              <w:t>危险废物</w:t>
            </w:r>
            <w:r>
              <w:rPr>
                <w:rFonts w:hint="eastAsia" w:ascii="Times New Roman" w:hAnsi="Times New Roman" w:cs="Arial"/>
                <w:color w:val="auto"/>
                <w:sz w:val="24"/>
              </w:rPr>
              <w:t>：</w:t>
            </w:r>
          </w:p>
          <w:p>
            <w:pPr>
              <w:spacing w:line="360" w:lineRule="auto"/>
              <w:ind w:firstLine="480" w:firstLineChars="200"/>
              <w:rPr>
                <w:rFonts w:ascii="Times New Roman" w:hAnsi="Times New Roman" w:cs="Arial"/>
                <w:color w:val="auto"/>
                <w:sz w:val="24"/>
              </w:rPr>
            </w:pPr>
            <w:r>
              <w:rPr>
                <w:rFonts w:ascii="Times New Roman" w:hAnsi="Times New Roman" w:cs="Arial"/>
                <w:color w:val="auto"/>
                <w:sz w:val="24"/>
              </w:rPr>
              <w:t>危险废物主要为油罐定期清洗产生的清洗废水和油泥。根据建设单位介绍，油罐</w:t>
            </w:r>
            <w:r>
              <w:rPr>
                <w:rFonts w:hint="eastAsia" w:ascii="Times New Roman" w:hAnsi="Times New Roman" w:cs="Arial"/>
                <w:color w:val="auto"/>
                <w:sz w:val="24"/>
              </w:rPr>
              <w:t>每5年</w:t>
            </w:r>
            <w:r>
              <w:rPr>
                <w:rFonts w:ascii="Times New Roman" w:hAnsi="Times New Roman" w:cs="Arial"/>
                <w:color w:val="auto"/>
                <w:sz w:val="24"/>
              </w:rPr>
              <w:t>清洗一次，</w:t>
            </w:r>
            <w:r>
              <w:rPr>
                <w:rFonts w:hint="eastAsia" w:ascii="Times New Roman" w:hAnsi="Times New Roman" w:cs="Arial"/>
                <w:color w:val="auto"/>
                <w:sz w:val="24"/>
              </w:rPr>
              <w:t>清洗</w:t>
            </w:r>
            <w:r>
              <w:rPr>
                <w:rFonts w:ascii="Times New Roman" w:hAnsi="Times New Roman" w:cs="Arial"/>
                <w:color w:val="auto"/>
                <w:sz w:val="24"/>
              </w:rPr>
              <w:t>工作由</w:t>
            </w:r>
            <w:r>
              <w:rPr>
                <w:rFonts w:hint="eastAsia" w:ascii="Times New Roman" w:hAnsi="Times New Roman" w:cs="Arial"/>
                <w:color w:val="auto"/>
                <w:sz w:val="24"/>
              </w:rPr>
              <w:t>具</w:t>
            </w:r>
            <w:r>
              <w:rPr>
                <w:rFonts w:ascii="Times New Roman" w:hAnsi="Times New Roman" w:cs="Arial"/>
                <w:color w:val="auto"/>
                <w:sz w:val="24"/>
              </w:rPr>
              <w:t>有废</w:t>
            </w:r>
            <w:r>
              <w:rPr>
                <w:rFonts w:hint="eastAsia" w:ascii="Times New Roman" w:hAnsi="Times New Roman" w:cs="Arial"/>
                <w:color w:val="auto"/>
                <w:sz w:val="24"/>
              </w:rPr>
              <w:t>矿物</w:t>
            </w:r>
            <w:r>
              <w:rPr>
                <w:rFonts w:ascii="Times New Roman" w:hAnsi="Times New Roman" w:cs="Arial"/>
                <w:color w:val="auto"/>
                <w:sz w:val="24"/>
              </w:rPr>
              <w:t>油处置资质</w:t>
            </w:r>
            <w:r>
              <w:rPr>
                <w:rFonts w:hint="eastAsia" w:ascii="Times New Roman" w:hAnsi="Times New Roman" w:cs="Arial"/>
                <w:color w:val="auto"/>
                <w:sz w:val="24"/>
              </w:rPr>
              <w:t>的</w:t>
            </w:r>
            <w:r>
              <w:rPr>
                <w:rFonts w:ascii="Times New Roman" w:hAnsi="Times New Roman" w:cs="Arial"/>
                <w:color w:val="auto"/>
                <w:sz w:val="24"/>
              </w:rPr>
              <w:t>单位进行，清洗废水</w:t>
            </w:r>
            <w:r>
              <w:rPr>
                <w:rFonts w:hint="eastAsia" w:ascii="Times New Roman" w:hAnsi="Times New Roman" w:cs="Arial"/>
                <w:color w:val="auto"/>
                <w:sz w:val="24"/>
              </w:rPr>
              <w:t>产</w:t>
            </w:r>
            <w:r>
              <w:rPr>
                <w:rFonts w:ascii="Times New Roman" w:hAnsi="Times New Roman" w:cs="Arial"/>
                <w:color w:val="auto"/>
                <w:sz w:val="24"/>
              </w:rPr>
              <w:t>生量</w:t>
            </w:r>
            <w:r>
              <w:rPr>
                <w:rFonts w:hint="eastAsia" w:ascii="Times New Roman" w:hAnsi="Times New Roman" w:cs="Arial"/>
                <w:color w:val="auto"/>
                <w:sz w:val="24"/>
              </w:rPr>
              <w:t>约</w:t>
            </w:r>
            <w:r>
              <w:rPr>
                <w:rFonts w:ascii="Times New Roman" w:hAnsi="Times New Roman" w:cs="Arial"/>
                <w:color w:val="auto"/>
                <w:sz w:val="24"/>
                <w:szCs w:val="22"/>
              </w:rPr>
              <w:t>2</w:t>
            </w:r>
            <w:r>
              <w:rPr>
                <w:rFonts w:hint="eastAsia" w:ascii="Times New Roman" w:hAnsi="Times New Roman" w:cs="Arial"/>
                <w:color w:val="auto"/>
                <w:sz w:val="24"/>
                <w:szCs w:val="22"/>
              </w:rPr>
              <w:t>t/次</w:t>
            </w:r>
            <w:r>
              <w:rPr>
                <w:rFonts w:ascii="Times New Roman" w:hAnsi="Times New Roman" w:cs="Arial"/>
                <w:color w:val="auto"/>
                <w:sz w:val="24"/>
                <w:szCs w:val="22"/>
              </w:rPr>
              <w:t>，油泥产生量约为</w:t>
            </w:r>
            <w:r>
              <w:rPr>
                <w:rFonts w:hint="eastAsia" w:cs="Arial"/>
                <w:color w:val="auto"/>
                <w:sz w:val="24"/>
                <w:szCs w:val="22"/>
                <w:lang w:eastAsia="zh-CN"/>
              </w:rPr>
              <w:t>0.22t/次</w:t>
            </w:r>
            <w:r>
              <w:rPr>
                <w:rFonts w:hint="eastAsia" w:ascii="Times New Roman" w:hAnsi="Times New Roman" w:cs="Arial"/>
                <w:color w:val="auto"/>
                <w:sz w:val="24"/>
                <w:szCs w:val="22"/>
              </w:rPr>
              <w:t>。根据《</w:t>
            </w:r>
            <w:r>
              <w:rPr>
                <w:rFonts w:hint="eastAsia" w:ascii="Times New Roman" w:hAnsi="Times New Roman" w:cs="Arial"/>
                <w:color w:val="auto"/>
                <w:sz w:val="24"/>
              </w:rPr>
              <w:t>国家危险废物名录》（环境</w:t>
            </w:r>
            <w:r>
              <w:rPr>
                <w:rFonts w:ascii="Times New Roman" w:hAnsi="Times New Roman" w:cs="Arial"/>
                <w:color w:val="auto"/>
                <w:sz w:val="24"/>
              </w:rPr>
              <w:t>保护部第</w:t>
            </w:r>
            <w:r>
              <w:rPr>
                <w:rFonts w:hint="eastAsia" w:ascii="Times New Roman" w:hAnsi="Times New Roman" w:cs="Arial"/>
                <w:color w:val="auto"/>
                <w:sz w:val="24"/>
              </w:rPr>
              <w:t>39号</w:t>
            </w:r>
            <w:r>
              <w:rPr>
                <w:rFonts w:ascii="Times New Roman" w:hAnsi="Times New Roman" w:cs="Arial"/>
                <w:color w:val="auto"/>
                <w:sz w:val="24"/>
              </w:rPr>
              <w:t>令，</w:t>
            </w:r>
            <w:r>
              <w:rPr>
                <w:rFonts w:hint="eastAsia" w:ascii="Times New Roman" w:hAnsi="Times New Roman" w:cs="Arial"/>
                <w:color w:val="auto"/>
                <w:sz w:val="24"/>
              </w:rPr>
              <w:t>2016年8月1日起施行），油</w:t>
            </w:r>
            <w:r>
              <w:rPr>
                <w:rFonts w:ascii="Times New Roman" w:hAnsi="Times New Roman" w:cs="Arial"/>
                <w:color w:val="auto"/>
                <w:sz w:val="24"/>
              </w:rPr>
              <w:t>罐清洗废水的危</w:t>
            </w:r>
            <w:r>
              <w:rPr>
                <w:rFonts w:hint="eastAsia" w:ascii="Times New Roman" w:hAnsi="Times New Roman" w:cs="Arial"/>
                <w:color w:val="auto"/>
                <w:sz w:val="24"/>
              </w:rPr>
              <w:t>废编号</w:t>
            </w:r>
            <w:r>
              <w:rPr>
                <w:rFonts w:ascii="Times New Roman" w:hAnsi="Times New Roman" w:cs="Arial"/>
                <w:color w:val="auto"/>
                <w:sz w:val="24"/>
              </w:rPr>
              <w:t>为</w:t>
            </w:r>
            <w:r>
              <w:rPr>
                <w:rFonts w:hint="eastAsia" w:ascii="Times New Roman" w:hAnsi="Times New Roman" w:cs="Arial"/>
                <w:color w:val="auto"/>
                <w:sz w:val="24"/>
              </w:rPr>
              <w:t>HW09，</w:t>
            </w:r>
            <w:r>
              <w:rPr>
                <w:rFonts w:ascii="Times New Roman" w:hAnsi="Times New Roman" w:cs="Arial"/>
                <w:color w:val="auto"/>
                <w:sz w:val="24"/>
              </w:rPr>
              <w:t>油泥的危</w:t>
            </w:r>
            <w:r>
              <w:rPr>
                <w:rFonts w:hint="eastAsia" w:ascii="Times New Roman" w:hAnsi="Times New Roman" w:cs="Arial"/>
                <w:color w:val="auto"/>
                <w:sz w:val="24"/>
              </w:rPr>
              <w:t>废编号</w:t>
            </w:r>
            <w:r>
              <w:rPr>
                <w:rFonts w:ascii="Times New Roman" w:hAnsi="Times New Roman" w:cs="Arial"/>
                <w:color w:val="auto"/>
                <w:sz w:val="24"/>
              </w:rPr>
              <w:t>为</w:t>
            </w:r>
            <w:r>
              <w:rPr>
                <w:rFonts w:hint="eastAsia" w:ascii="Times New Roman" w:hAnsi="Times New Roman" w:cs="Arial"/>
                <w:color w:val="auto"/>
                <w:sz w:val="24"/>
              </w:rPr>
              <w:t>HW08，</w:t>
            </w:r>
            <w:r>
              <w:rPr>
                <w:rFonts w:ascii="Times New Roman" w:hAnsi="Times New Roman" w:cs="Arial"/>
                <w:color w:val="auto"/>
                <w:sz w:val="24"/>
              </w:rPr>
              <w:t>均</w:t>
            </w:r>
            <w:r>
              <w:rPr>
                <w:rFonts w:hint="eastAsia" w:ascii="Times New Roman" w:hAnsi="Times New Roman" w:cs="Arial"/>
                <w:color w:val="auto"/>
                <w:sz w:val="24"/>
              </w:rPr>
              <w:t>在</w:t>
            </w:r>
            <w:r>
              <w:rPr>
                <w:rFonts w:ascii="Times New Roman" w:hAnsi="Times New Roman" w:cs="Arial"/>
                <w:color w:val="auto"/>
                <w:sz w:val="24"/>
              </w:rPr>
              <w:t>清洗</w:t>
            </w:r>
            <w:r>
              <w:rPr>
                <w:rFonts w:hint="eastAsia" w:ascii="Times New Roman" w:hAnsi="Times New Roman" w:cs="Arial"/>
                <w:color w:val="auto"/>
                <w:sz w:val="24"/>
              </w:rPr>
              <w:t>时</w:t>
            </w:r>
            <w:r>
              <w:rPr>
                <w:rFonts w:ascii="Times New Roman" w:hAnsi="Times New Roman" w:cs="Arial"/>
                <w:color w:val="auto"/>
                <w:sz w:val="24"/>
              </w:rPr>
              <w:t>一并交由</w:t>
            </w:r>
            <w:r>
              <w:rPr>
                <w:rFonts w:hint="eastAsia" w:ascii="Times New Roman" w:hAnsi="Times New Roman" w:cs="Arial"/>
                <w:color w:val="auto"/>
                <w:sz w:val="24"/>
              </w:rPr>
              <w:t>资质</w:t>
            </w:r>
            <w:r>
              <w:rPr>
                <w:rFonts w:ascii="Times New Roman" w:hAnsi="Times New Roman" w:cs="Arial"/>
                <w:color w:val="auto"/>
                <w:sz w:val="24"/>
              </w:rPr>
              <w:t>单位处理，不在站内暂存。</w:t>
            </w:r>
          </w:p>
          <w:p>
            <w:pPr>
              <w:spacing w:line="360" w:lineRule="auto"/>
              <w:ind w:firstLine="480" w:firstLineChars="200"/>
              <w:rPr>
                <w:rFonts w:hint="eastAsia" w:ascii="Times New Roman" w:hAnsi="Times New Roman" w:cs="Arial"/>
                <w:color w:val="auto"/>
                <w:sz w:val="24"/>
                <w:lang w:eastAsia="zh-CN"/>
              </w:rPr>
            </w:pPr>
            <w:r>
              <w:rPr>
                <w:rFonts w:hint="eastAsia" w:ascii="Times New Roman" w:hAnsi="Times New Roman" w:cs="Arial"/>
                <w:color w:val="auto"/>
                <w:sz w:val="24"/>
              </w:rPr>
              <w:t>综上所述，本项目固体废物均得到妥善处置，处理措施有效可行，对周围环境影响较小</w:t>
            </w:r>
            <w:r>
              <w:rPr>
                <w:rFonts w:hint="eastAsia" w:ascii="Times New Roman" w:hAnsi="Times New Roman" w:cs="Arial"/>
                <w:color w:val="auto"/>
                <w:sz w:val="24"/>
                <w:lang w:eastAsia="zh-CN"/>
              </w:rPr>
              <w:t>。</w:t>
            </w:r>
          </w:p>
          <w:p>
            <w:pPr>
              <w:pStyle w:val="29"/>
            </w:pPr>
          </w:p>
          <w:p>
            <w:pPr>
              <w:pStyle w:val="29"/>
            </w:pPr>
          </w:p>
          <w:p>
            <w:pPr>
              <w:pStyle w:val="29"/>
            </w:pPr>
          </w:p>
          <w:p>
            <w:pPr>
              <w:pStyle w:val="29"/>
            </w:pPr>
          </w:p>
          <w:p>
            <w:pPr>
              <w:pStyle w:val="29"/>
            </w:pPr>
          </w:p>
          <w:p>
            <w:pPr>
              <w:pStyle w:val="29"/>
            </w:pPr>
          </w:p>
          <w:p>
            <w:pPr>
              <w:pStyle w:val="29"/>
            </w:pPr>
          </w:p>
          <w:p>
            <w:pPr>
              <w:pStyle w:val="29"/>
            </w:pPr>
          </w:p>
          <w:p>
            <w:pPr>
              <w:pStyle w:val="29"/>
            </w:pPr>
          </w:p>
          <w:p>
            <w:pPr>
              <w:pStyle w:val="29"/>
            </w:pPr>
          </w:p>
          <w:p>
            <w:pPr>
              <w:pStyle w:val="29"/>
            </w:pPr>
          </w:p>
          <w:p>
            <w:pPr>
              <w:pStyle w:val="29"/>
            </w:pPr>
          </w:p>
          <w:p>
            <w:pPr>
              <w:pStyle w:val="29"/>
            </w:pPr>
          </w:p>
        </w:tc>
      </w:tr>
    </w:tbl>
    <w:p>
      <w:r>
        <w:br w:type="page"/>
      </w:r>
    </w:p>
    <w:p>
      <w:pPr>
        <w:spacing w:line="240" w:lineRule="auto"/>
        <w:ind w:firstLine="0" w:firstLineChars="0"/>
        <w:rPr>
          <w:rFonts w:ascii="Times New Roman" w:hAnsi="Times New Roman" w:eastAsia="宋体" w:cs="Times New Roman"/>
          <w:sz w:val="28"/>
          <w:szCs w:val="30"/>
        </w:rPr>
      </w:pPr>
      <w:bookmarkStart w:id="3" w:name="_Toc257241224"/>
      <w:bookmarkStart w:id="4" w:name="_Toc256177429"/>
      <w:bookmarkStart w:id="5" w:name="_Toc168387857"/>
      <w:r>
        <w:rPr>
          <w:rFonts w:ascii="Times New Roman" w:hAnsi="Times New Roman" w:eastAsia="宋体" w:cs="Times New Roman"/>
          <w:b/>
          <w:bCs/>
          <w:kern w:val="44"/>
          <w:sz w:val="30"/>
          <w:szCs w:val="30"/>
        </w:rPr>
        <w:t>建设项目所在地自然环境社会环境简况</w:t>
      </w:r>
      <w:bookmarkEnd w:id="3"/>
      <w:bookmarkEnd w:id="4"/>
      <w:bookmarkEnd w:id="5"/>
    </w:p>
    <w:tbl>
      <w:tblPr>
        <w:tblStyle w:val="20"/>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77" w:hRule="atLeast"/>
          <w:jc w:val="center"/>
        </w:trPr>
        <w:tc>
          <w:tcPr>
            <w:tcW w:w="8436" w:type="dxa"/>
          </w:tcPr>
          <w:p>
            <w:pPr>
              <w:adjustRightInd w:val="0"/>
              <w:snapToGrid w:val="0"/>
              <w:spacing w:line="500" w:lineRule="exact"/>
              <w:ind w:firstLine="0" w:firstLineChars="0"/>
              <w:rPr>
                <w:rFonts w:hint="default"/>
                <w:b/>
                <w:bCs/>
              </w:rPr>
            </w:pPr>
            <w:r>
              <w:rPr>
                <w:rFonts w:hint="default"/>
                <w:b/>
                <w:bCs/>
              </w:rPr>
              <w:t>自然环境简况（地形、地貌、地质、气候、气象、水文、植被、生物多样性等）</w:t>
            </w:r>
          </w:p>
          <w:p>
            <w:pPr>
              <w:adjustRightInd w:val="0"/>
              <w:snapToGrid w:val="0"/>
              <w:spacing w:line="500" w:lineRule="exact"/>
              <w:ind w:firstLine="0" w:firstLineChars="0"/>
              <w:rPr>
                <w:rFonts w:hint="default"/>
              </w:rPr>
            </w:pPr>
            <w:r>
              <w:rPr>
                <w:rFonts w:hint="default"/>
                <w:b/>
                <w:bCs/>
              </w:rPr>
              <w:t>1、地理位置</w:t>
            </w:r>
          </w:p>
          <w:p>
            <w:pPr>
              <w:widowControl/>
              <w:autoSpaceDE w:val="0"/>
              <w:spacing w:line="520" w:lineRule="exact"/>
              <w:ind w:firstLine="480"/>
              <w:jc w:val="left"/>
              <w:rPr>
                <w:rFonts w:hint="default"/>
                <w:lang w:val="en-US" w:eastAsia="zh-CN"/>
              </w:rPr>
            </w:pPr>
            <w:r>
              <w:rPr>
                <w:rFonts w:hint="default"/>
                <w:lang w:val="en-US" w:eastAsia="zh-CN"/>
              </w:rPr>
              <w:t>鲁山县位于河南省中部，伏牛山东麓，北依洛阳市、南临南阳市、东接平顶山，总面积2432平方公里，辖6镇15乡，558个行政村，人口87万，素有“七山一水二分田”之称。鲁山，古称鲁阳，汉置县，唐始名鲁山，现属河南省平顶山市。位于东经112度14-113度14，北纬33度34-34度00之间，在河南省中部偏西，淮河水系的沙河上游，地势西高东低，西、南、北三面环山，东与黄淮平原相连，最高海拔2153.1米，最低海拔90.1米。</w:t>
            </w:r>
          </w:p>
          <w:p>
            <w:pPr>
              <w:spacing w:line="520" w:lineRule="exact"/>
              <w:ind w:firstLine="480" w:firstLineChars="0"/>
              <w:rPr>
                <w:rFonts w:hint="default"/>
              </w:rPr>
            </w:pPr>
            <w:r>
              <w:rPr>
                <w:rFonts w:hint="default"/>
              </w:rPr>
              <w:t>本项目位于</w:t>
            </w:r>
            <w:r>
              <w:rPr>
                <w:rFonts w:hint="eastAsia"/>
                <w:lang w:eastAsia="zh-CN"/>
              </w:rPr>
              <w:t>鲁山赵村镇境内郑石高速石人山南服务区</w:t>
            </w:r>
            <w:r>
              <w:rPr>
                <w:rFonts w:hint="default"/>
              </w:rPr>
              <w:t>。</w:t>
            </w:r>
          </w:p>
          <w:p>
            <w:pPr>
              <w:spacing w:line="520" w:lineRule="exact"/>
              <w:ind w:firstLine="0" w:firstLineChars="0"/>
              <w:rPr>
                <w:rFonts w:hint="default"/>
              </w:rPr>
            </w:pPr>
            <w:r>
              <w:rPr>
                <w:rFonts w:hint="default"/>
                <w:b/>
                <w:bCs/>
              </w:rPr>
              <w:t>2、地形地貌及地质特征</w:t>
            </w:r>
          </w:p>
          <w:p>
            <w:pPr>
              <w:adjustRightInd w:val="0"/>
              <w:snapToGrid w:val="0"/>
              <w:spacing w:line="520" w:lineRule="exact"/>
              <w:ind w:firstLine="480" w:firstLineChars="200"/>
              <w:rPr>
                <w:rFonts w:hint="default"/>
              </w:rPr>
            </w:pPr>
            <w:r>
              <w:rPr>
                <w:rFonts w:hint="default"/>
                <w:lang w:val="en-US" w:eastAsia="zh-CN"/>
              </w:rPr>
              <w:t>鲁山县县境东西长90km，南北宽44km，县域面积2432.32km2。地势西高东低，北、西、南三面环山，东部为沙河冲积平原，地势西高东低，为一簸箕形盆地。山地面积占28.9%，丘陵岗地占53%，平原(包括水面)占18.1%，耕地面积为178.23km2西部中山区一般海拔400～800m，其中石人山主峰2153.1m，该区山势陡峭，岩石裸露，群峰林立，面积约1070.33km2，约占总面积44%；中部低山区，海拔一般在250~400m，沟壑纵横，山川相间，土薄石厚，耕地多分布在山谷河川两岸，面积约53365km2，约占总面积21.9%东部南北两侧丘陵区，海拔一般在90～150m之间，地势平坦，土层深厚，土质肥沃，面积约828.34km2，占总面积34.1%。</w:t>
            </w:r>
            <w:r>
              <w:rPr>
                <w:rFonts w:hint="default"/>
              </w:rPr>
              <w:t>。</w:t>
            </w:r>
          </w:p>
          <w:p>
            <w:pPr>
              <w:spacing w:line="520" w:lineRule="exact"/>
              <w:ind w:firstLine="0" w:firstLineChars="0"/>
              <w:rPr>
                <w:rFonts w:hint="default"/>
              </w:rPr>
            </w:pPr>
            <w:r>
              <w:rPr>
                <w:rFonts w:hint="default"/>
                <w:b/>
                <w:bCs/>
              </w:rPr>
              <w:t>3、 气候气象</w:t>
            </w:r>
          </w:p>
          <w:p>
            <w:pPr>
              <w:bidi w:val="0"/>
              <w:rPr>
                <w:rFonts w:hint="default"/>
                <w:lang w:val="en-US" w:eastAsia="zh-CN"/>
              </w:rPr>
            </w:pPr>
            <w:r>
              <w:rPr>
                <w:rFonts w:hint="default"/>
                <w:lang w:val="en-US" w:eastAsia="zh-CN"/>
              </w:rPr>
              <w:t>鲁山县属暖温带半湿润大陆性季风性气候，四季分明，气候温和，雨热同期，降水年季变率大，多集中在每年6、7、8、9四个月，占全年降水量的61%；年均降水量为692.6mm，日最大降雨量210mm。历年最高气温44℃，最低气温为-</w:t>
            </w:r>
            <w:r>
              <w:rPr>
                <w:rFonts w:hint="eastAsia"/>
                <w:lang w:val="en-US" w:eastAsia="zh-CN"/>
              </w:rPr>
              <w:t>70.8</w:t>
            </w:r>
            <w:r>
              <w:rPr>
                <w:rFonts w:hint="default"/>
                <w:lang w:val="en-US" w:eastAsia="zh-CN"/>
              </w:rPr>
              <w:t>℃，平均气温为14.4℃;年平均蒸发量1600mm，无霜期213～218天。本区夏季多东南风，冬季多西北风，主导风向东北风，最大风速为20m/s，平均风速2.0m/s;冻土期从当年11月至来年2月，最大冻土深度8cm，最大积雪厚度27cm;五年一遇最大24h暴雨为204.0mm，十年一遇最大24h暴雨为274.5mm。</w:t>
            </w:r>
          </w:p>
          <w:p>
            <w:pPr>
              <w:bidi w:val="0"/>
              <w:rPr>
                <w:rFonts w:hint="eastAsia"/>
                <w:lang w:val="en-US" w:eastAsia="zh-CN"/>
              </w:rPr>
            </w:pPr>
            <w:r>
              <w:rPr>
                <w:rFonts w:hint="eastAsia"/>
                <w:b/>
                <w:bCs/>
                <w:lang w:val="en-US" w:eastAsia="zh-CN"/>
              </w:rPr>
              <w:t>4、水文地质</w:t>
            </w:r>
          </w:p>
          <w:p>
            <w:pPr>
              <w:bidi w:val="0"/>
              <w:rPr>
                <w:rFonts w:hint="eastAsia"/>
                <w:lang w:val="en-US" w:eastAsia="zh-CN"/>
              </w:rPr>
            </w:pPr>
            <w:r>
              <w:rPr>
                <w:rFonts w:hint="eastAsia"/>
                <w:lang w:val="en-US" w:eastAsia="zh-CN"/>
              </w:rPr>
              <w:t>鲁山县属淮河流域颍河水系，沙河干流发源于石人山主峰东麓，自西向东贯穿全境，厂108公里，流域总面积2432平方公里。境内流域面积在30平方公里以上的支流有23条，其中沙河、荡泽河、清水河、七里河、澎河、大浪河，境外流域面积为276.48平方公里，昭平台水库位于鲁山县城西12km处，该水库建于1958年5月，积水面积1430平方公里，拦河坝顶标高180.3m，设计洪水位181.0m，设计库容4.26亿m3，平均蓄水量4.393亿立方米，多年平均可供水量2.688亿立方米，设计灌溉面积100万亩。</w:t>
            </w:r>
          </w:p>
          <w:p>
            <w:pPr>
              <w:bidi w:val="0"/>
              <w:rPr>
                <w:rFonts w:hint="eastAsia"/>
                <w:lang w:val="en-US" w:eastAsia="zh-CN"/>
              </w:rPr>
            </w:pPr>
            <w:r>
              <w:rPr>
                <w:rFonts w:hint="eastAsia"/>
                <w:b/>
                <w:bCs/>
                <w:lang w:val="en-US" w:eastAsia="zh-CN"/>
              </w:rPr>
              <w:t>5、土壤</w:t>
            </w:r>
          </w:p>
          <w:p>
            <w:pPr>
              <w:bidi w:val="0"/>
              <w:rPr>
                <w:rFonts w:hint="eastAsia"/>
                <w:lang w:val="en-US" w:eastAsia="zh-CN"/>
              </w:rPr>
            </w:pPr>
            <w:r>
              <w:rPr>
                <w:rFonts w:hint="eastAsia"/>
                <w:lang w:val="en-US" w:eastAsia="zh-CN"/>
              </w:rPr>
              <w:t>按照全国第二次土壤普查分类标准，鲁山县土壤分9类，即黄棕壤、棕壤、褐土、潮土、沙姜黑土、紫色土、水稻土、粗骨土和石质土。主要分布情况为：海拔在800米以上的山区为棕壤，占8%；海拔在800米以下的山丘地带为褐土，占22%；平原区主要为黄棕壤、潮土、沙姜黑土，占70%。</w:t>
            </w:r>
          </w:p>
          <w:p>
            <w:pPr>
              <w:bidi w:val="0"/>
              <w:rPr>
                <w:rFonts w:hint="eastAsia"/>
                <w:lang w:val="en-US" w:eastAsia="zh-CN"/>
              </w:rPr>
            </w:pPr>
            <w:r>
              <w:rPr>
                <w:rFonts w:hint="eastAsia"/>
                <w:b/>
                <w:bCs/>
                <w:lang w:val="en-US" w:eastAsia="zh-CN"/>
              </w:rPr>
              <w:t>6、生物概况</w:t>
            </w:r>
          </w:p>
          <w:p>
            <w:pPr>
              <w:bidi w:val="0"/>
              <w:rPr>
                <w:rFonts w:hint="eastAsia"/>
                <w:lang w:val="en-US" w:eastAsia="zh-CN"/>
              </w:rPr>
            </w:pPr>
            <w:r>
              <w:rPr>
                <w:rFonts w:hint="eastAsia"/>
                <w:lang w:val="en-US" w:eastAsia="zh-CN"/>
              </w:rPr>
              <w:t>鲁山县是河南省二十五个以林为主的山区县之一，全县总面积365万亩，有林地面积195万亩，活立木蓄积150万立方米，森林覆盖率62.3%，林业产值2.5亿元。有国家级保护植物水杉、银杏、连香、华榛、杜仲、秦岭冷杉、垂直冷杉、青檀、领春木、金钱槭等13种；省级保护植物铁杉、青线柳、楸皮杨、大叶三七等19种；中药材和菌类种类繁多，有人参、天麻、石斛、辛夷、杜仲等近500种；有陆栖脊椎动物125种以上，国家级保护的珍贵动物有金钱豹、艾叶豹、大鲵、金雕、羚羊、红腹锦鸡、豪猪、大灵猫等17种；鲁山有古树名木千余株，有全国罕见的千年古银杏群，有彰显悠久人文历史的古柏，有昭示岁月沧桑的柿树王，有蕴含美丽传说的老栎树。</w:t>
            </w:r>
          </w:p>
          <w:p>
            <w:pPr>
              <w:bidi w:val="0"/>
              <w:rPr>
                <w:rFonts w:hint="eastAsia" w:ascii="Times New Roman" w:hAnsi="Times New Roman" w:cs="宋体"/>
                <w:b/>
                <w:bCs/>
                <w:sz w:val="24"/>
                <w:szCs w:val="22"/>
                <w:highlight w:val="none"/>
              </w:rPr>
            </w:pPr>
            <w:r>
              <w:rPr>
                <w:rFonts w:hint="eastAsia"/>
                <w:lang w:val="en-US" w:eastAsia="zh-CN"/>
              </w:rPr>
              <w:t>根据现场勘查及建设方提供资料，项目厂址及厂界外500米范围内生物资源较小，生物量也不大，无列入《国家重点保护野生植物名录》和《国家重点保护野生动物名录》的动植物。</w:t>
            </w:r>
          </w:p>
          <w:p>
            <w:pPr>
              <w:snapToGrid w:val="0"/>
              <w:spacing w:line="360" w:lineRule="auto"/>
              <w:rPr>
                <w:rFonts w:ascii="Times New Roman" w:hAnsi="Times New Roman"/>
                <w:b/>
                <w:bCs/>
                <w:sz w:val="24"/>
                <w:szCs w:val="24"/>
              </w:rPr>
            </w:pPr>
            <w:r>
              <w:rPr>
                <w:rFonts w:hint="eastAsia"/>
                <w:b/>
                <w:bCs/>
                <w:sz w:val="24"/>
                <w:szCs w:val="24"/>
                <w:lang w:val="en-US" w:eastAsia="zh-CN"/>
              </w:rPr>
              <w:t>7</w:t>
            </w:r>
            <w:r>
              <w:rPr>
                <w:rFonts w:ascii="Times New Roman" w:hAnsi="Times New Roman"/>
                <w:b/>
                <w:bCs/>
                <w:sz w:val="24"/>
                <w:szCs w:val="24"/>
              </w:rPr>
              <w:t>、集中式饮用水源保护区划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（1）河南省城市集中式饮用水源保护区划</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关于平顶山市城市饮用水源保护区划的相关内容：</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2009年3月，平顶山市政府对平顶山市饮用水源保护区范围重新进行了界定，并报请河南省政府批示。2009年4月13日，河南省环境保护厅签发了文号为豫环函【2009】57号的《关于进一步明确平顶山地表饮用水源保护区范围的函》，同意平顶山市提出的地表水饮用水源保护区范围。</w:t>
            </w:r>
          </w:p>
          <w:p>
            <w:pPr>
              <w:adjustRightInd w:val="0"/>
              <w:snapToGrid w:val="0"/>
              <w:spacing w:line="360" w:lineRule="auto"/>
              <w:ind w:firstLine="480" w:firstLineChars="200"/>
              <w:rPr>
                <w:rFonts w:ascii="Times New Roman" w:hAnsi="Times New Roman"/>
                <w:sz w:val="24"/>
                <w:szCs w:val="24"/>
              </w:rPr>
            </w:pPr>
            <w:r>
              <w:rPr>
                <w:rFonts w:hint="eastAsia"/>
                <w:sz w:val="24"/>
                <w:szCs w:val="24"/>
                <w:lang w:eastAsia="zh-CN"/>
              </w:rPr>
              <w:t>昭平台</w:t>
            </w:r>
            <w:r>
              <w:rPr>
                <w:rFonts w:ascii="Times New Roman" w:hAnsi="Times New Roman"/>
                <w:sz w:val="24"/>
                <w:szCs w:val="24"/>
              </w:rPr>
              <w:t>水库地表水饮用水源保护区划分情况如下：</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一级保护区：昭平台水库环库路内的区域；应河、大浪河、澎河、荡泽河、沙河、团城河、清水河等主要支流入库口上游2000米的水域及其沿岸50米的陆域；沙河干流昭平台至白龟山水库间的水域；将相河、三里河、七里河、瀼河、肥河入沙河口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二级保护区：白龟山水库，环湖路东起东刘村、西至西太平村以南除一级保护区外的区域，环湖其它区域为水库高程104.0米以下除一级保护区外的区域；昭平台水库高程177.1米内的区域；将相河、大浪河一级保护区外所有的水域；其它主要支流一级水体保护区上游2000米的水域及其沿岸50米的陆域。</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准保护区：汇入昭平台水库、沙河所有二级保护区上游水域及其沿岸500米的陆域。</w:t>
            </w:r>
          </w:p>
          <w:p>
            <w:pPr>
              <w:adjustRightInd w:val="0"/>
              <w:snapToGrid w:val="0"/>
              <w:spacing w:line="360" w:lineRule="auto"/>
              <w:ind w:firstLine="480" w:firstLineChars="200"/>
              <w:rPr>
                <w:rFonts w:hint="eastAsia" w:ascii="Times New Roman" w:hAnsi="Times New Roman" w:cs="宋体"/>
                <w:szCs w:val="24"/>
                <w:shd w:val="clear" w:color="auto" w:fill="FFFFFF"/>
              </w:rPr>
            </w:pPr>
            <w:r>
              <w:rPr>
                <w:rFonts w:hint="eastAsia" w:ascii="Times New Roman" w:hAnsi="Times New Roman" w:cs="宋体"/>
                <w:szCs w:val="24"/>
              </w:rPr>
              <w:t>本项目位于平顶山市</w:t>
            </w:r>
            <w:r>
              <w:rPr>
                <w:rFonts w:hint="eastAsia" w:cs="宋体"/>
                <w:szCs w:val="24"/>
                <w:lang w:eastAsia="zh-CN"/>
              </w:rPr>
              <w:t>鲁山县郑石高速石人山服务区</w:t>
            </w:r>
            <w:r>
              <w:rPr>
                <w:rFonts w:hint="eastAsia" w:ascii="Times New Roman" w:hAnsi="Times New Roman" w:eastAsia="宋体" w:cs="宋体"/>
                <w:szCs w:val="24"/>
                <w:lang w:eastAsia="zh-CN"/>
              </w:rPr>
              <w:t>北侧</w:t>
            </w:r>
            <w:r>
              <w:rPr>
                <w:rFonts w:hint="eastAsia" w:ascii="Times New Roman" w:hAnsi="Times New Roman" w:cs="宋体"/>
                <w:szCs w:val="24"/>
              </w:rPr>
              <w:t>，</w:t>
            </w:r>
            <w:r>
              <w:rPr>
                <w:rFonts w:hint="eastAsia" w:cs="宋体"/>
                <w:szCs w:val="24"/>
                <w:lang w:eastAsia="zh-CN"/>
              </w:rPr>
              <w:t>距离沙河</w:t>
            </w:r>
            <w:r>
              <w:rPr>
                <w:rFonts w:hint="eastAsia" w:cs="宋体"/>
                <w:szCs w:val="24"/>
                <w:lang w:val="en-US" w:eastAsia="zh-CN"/>
              </w:rPr>
              <w:t>230米，</w:t>
            </w:r>
            <w:r>
              <w:rPr>
                <w:rFonts w:hint="eastAsia" w:cs="宋体"/>
                <w:szCs w:val="24"/>
                <w:lang w:eastAsia="zh-CN"/>
              </w:rPr>
              <w:t>位于昭平台水库准保护区，由于本项目无废水外排</w:t>
            </w:r>
            <w:r>
              <w:rPr>
                <w:rFonts w:hint="eastAsia" w:ascii="Times New Roman" w:hAnsi="Times New Roman" w:cs="宋体"/>
                <w:szCs w:val="24"/>
              </w:rPr>
              <w:t>，</w:t>
            </w:r>
            <w:r>
              <w:rPr>
                <w:rFonts w:hint="eastAsia" w:cs="宋体"/>
                <w:szCs w:val="24"/>
                <w:lang w:eastAsia="zh-CN"/>
              </w:rPr>
              <w:t>因此</w:t>
            </w:r>
            <w:r>
              <w:rPr>
                <w:rFonts w:hint="eastAsia" w:ascii="Times New Roman" w:hAnsi="Times New Roman" w:cs="宋体"/>
                <w:szCs w:val="24"/>
              </w:rPr>
              <w:t>项目选址符合</w:t>
            </w:r>
            <w:r>
              <w:rPr>
                <w:rFonts w:hint="eastAsia" w:ascii="Times New Roman" w:hAnsi="Times New Roman" w:cs="宋体"/>
                <w:szCs w:val="24"/>
                <w:shd w:val="clear" w:color="auto" w:fill="FFFFFF"/>
              </w:rPr>
              <w:t>《河南省县级集中式饮用水水源保护区划》。</w:t>
            </w:r>
          </w:p>
          <w:p>
            <w:pPr>
              <w:pStyle w:val="2"/>
            </w:pPr>
            <w:r>
              <w:rPr>
                <w:rFonts w:hint="eastAsia" w:cs="宋体"/>
                <w:b/>
                <w:bCs/>
                <w:sz w:val="24"/>
                <w:szCs w:val="24"/>
                <w:lang w:val="en-US" w:eastAsia="zh-CN"/>
              </w:rPr>
              <w:t>8</w:t>
            </w:r>
            <w:r>
              <w:rPr>
                <w:rFonts w:hint="eastAsia" w:ascii="Times New Roman" w:hAnsi="Times New Roman" w:cs="宋体"/>
                <w:b/>
                <w:bCs/>
                <w:sz w:val="24"/>
                <w:szCs w:val="24"/>
                <w:lang w:val="en-US" w:eastAsia="zh-CN"/>
              </w:rPr>
              <w:t>、</w:t>
            </w:r>
            <w:r>
              <w:rPr>
                <w:rFonts w:hint="eastAsia" w:ascii="Times New Roman" w:hAnsi="Times New Roman" w:cs="宋体"/>
                <w:b/>
                <w:bCs/>
                <w:sz w:val="24"/>
                <w:szCs w:val="24"/>
              </w:rPr>
              <w:t>项目与《河南省县级集中式饮用水水源保护区划》相符性分析</w:t>
            </w:r>
          </w:p>
          <w:p>
            <w:pPr>
              <w:pStyle w:val="30"/>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rPr>
            </w:pPr>
            <w:r>
              <w:rPr>
                <w:rFonts w:hint="eastAsia" w:ascii="Times New Roman" w:hAnsi="Times New Roman" w:cs="宋体"/>
                <w:szCs w:val="24"/>
              </w:rPr>
              <w:t>根据《河南省县级集中式饮用水水源保护区划》（豫政办[2013]107号），鲁山县有一处县级集中式饮用水水源地，为鲁山县鲁阳镇地下水井群（共6眼井）。其一级保护区范围为：1号、2号、5号、7号取水井外围50m的区域；3号、8号井群外包线内及外围50m的区域。其二级保护区范围为：一级保护区外，取水井外围550m外公切线所包含的区域。准保护区范围：二级保护区外，东至墨公路、南至鲁平大道、北至311国道、西至鲁平大道—311国道连线。</w:t>
            </w:r>
          </w:p>
          <w:p>
            <w:pPr>
              <w:pStyle w:val="30"/>
              <w:keepNext w:val="0"/>
              <w:keepLines w:val="0"/>
              <w:pageBreakBefore w:val="0"/>
              <w:widowControl w:val="0"/>
              <w:kinsoku/>
              <w:wordWrap/>
              <w:overflowPunct/>
              <w:topLinePunct w:val="0"/>
              <w:autoSpaceDE/>
              <w:autoSpaceDN/>
              <w:bidi w:val="0"/>
              <w:adjustRightInd w:val="0"/>
              <w:snapToGrid w:val="0"/>
              <w:spacing w:line="520" w:lineRule="exact"/>
              <w:textAlignment w:val="auto"/>
              <w:rPr>
                <w:rFonts w:hint="eastAsia" w:ascii="Times New Roman" w:hAnsi="Times New Roman" w:cs="宋体"/>
                <w:szCs w:val="24"/>
                <w:shd w:val="clear" w:color="auto" w:fill="FFFFFF"/>
              </w:rPr>
            </w:pPr>
            <w:r>
              <w:rPr>
                <w:rFonts w:hint="eastAsia" w:ascii="Times New Roman" w:hAnsi="Times New Roman" w:cs="宋体"/>
                <w:szCs w:val="24"/>
              </w:rPr>
              <w:t>本项目位于平顶山市鲁山县</w:t>
            </w:r>
            <w:r>
              <w:rPr>
                <w:rFonts w:hint="eastAsia" w:cs="宋体"/>
                <w:szCs w:val="24"/>
                <w:lang w:eastAsia="zh-CN"/>
              </w:rPr>
              <w:t>郑石高速石人山服务区</w:t>
            </w:r>
            <w:r>
              <w:rPr>
                <w:rFonts w:hint="eastAsia" w:ascii="Times New Roman" w:hAnsi="Times New Roman" w:eastAsia="宋体" w:cs="宋体"/>
                <w:szCs w:val="24"/>
                <w:lang w:eastAsia="zh-CN"/>
              </w:rPr>
              <w:t>北侧</w:t>
            </w:r>
            <w:r>
              <w:rPr>
                <w:rFonts w:hint="eastAsia" w:ascii="Times New Roman" w:hAnsi="Times New Roman" w:cs="宋体"/>
                <w:szCs w:val="24"/>
              </w:rPr>
              <w:t>，</w:t>
            </w:r>
            <w:r>
              <w:rPr>
                <w:rFonts w:hint="eastAsia" w:cs="宋体"/>
                <w:szCs w:val="24"/>
                <w:lang w:eastAsia="zh-CN"/>
              </w:rPr>
              <w:t>距离</w:t>
            </w:r>
            <w:r>
              <w:rPr>
                <w:rFonts w:hint="eastAsia" w:ascii="Times New Roman" w:hAnsi="Times New Roman" w:cs="宋体"/>
                <w:szCs w:val="24"/>
              </w:rPr>
              <w:t>鲁山县鲁阳镇地下水井群</w:t>
            </w:r>
            <w:r>
              <w:rPr>
                <w:rFonts w:hint="eastAsia" w:cs="宋体"/>
                <w:szCs w:val="24"/>
                <w:lang w:val="en-US" w:eastAsia="zh-CN"/>
              </w:rPr>
              <w:t>39km，</w:t>
            </w:r>
            <w:r>
              <w:rPr>
                <w:rFonts w:hint="eastAsia" w:cs="宋体"/>
                <w:szCs w:val="24"/>
                <w:lang w:eastAsia="zh-CN"/>
              </w:rPr>
              <w:t>不在保护区范围之内。</w:t>
            </w:r>
          </w:p>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hint="eastAsia" w:ascii="Times New Roman" w:hAnsi="Times New Roman" w:cs="宋体"/>
                <w:b/>
                <w:bCs/>
                <w:sz w:val="24"/>
                <w:szCs w:val="24"/>
              </w:rPr>
            </w:pPr>
            <w:r>
              <w:rPr>
                <w:rFonts w:hint="eastAsia" w:cs="宋体"/>
                <w:b/>
                <w:bCs/>
                <w:sz w:val="24"/>
                <w:szCs w:val="24"/>
                <w:lang w:val="en-US" w:eastAsia="zh-CN"/>
              </w:rPr>
              <w:t>9</w:t>
            </w:r>
            <w:r>
              <w:rPr>
                <w:rFonts w:hint="eastAsia" w:ascii="Times New Roman" w:hAnsi="Times New Roman" w:cs="宋体"/>
                <w:b/>
                <w:bCs/>
                <w:sz w:val="24"/>
                <w:szCs w:val="24"/>
              </w:rPr>
              <w:t>、项目与南水北调工程水源保护区的相符性分析</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根据河南省南水北调中线工程建设领导小组办公室、河南省环境保护厅、河南省水利厅、河南省国土资源厅《关于印发南水北调中线一期工程总干渠（河南段）两侧饮用水水源保护区划的通知》（豫调办[2018]56 号），文件规定南水北调中线一期工程总干渠在河南省境内的工程类型分为建筑物段和总干渠明渠段。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（一）建筑物段（渡槽、倒虹吸、暗涵、隧洞）。一级保护区范围自总干渠管理范围边线 （防护栏网）外延50米，不设二级保护区。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（二）总干渠明渠段。根据地下水位与总干渠渠底高程的关系，分为以下几种类型：</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1、地下水水位低于总干渠渠底的渠段。一级保护区范围自总干渠管理范围边线（防护栏网）外延 50 米；二级保护区范围自一级保护区边线外延 150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2、地下水水位高于总干渠渠底的渠段。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（1）微～弱透水性地层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一级保护区范围自总干渠管理范围边线（防护栏网）外延50 米；二级保护区范围自一级 保护区边线外延 500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弱～中透水性地层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一级保护区范围自总干渠管理范围边线（防护栏网）外延 100 米；二级保护区范围自一 级保护区边线外延 1000 米。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强透水性地层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一级保护区范围自总干渠管理范围边线（防护栏网）外延 200 米；二级保护区范围自一 级保护区边线外延 2000 米、1500 米。</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 根据《南水北调中线一期工程总干渠（河南段）两侧饮用水水源保护区划》的规定：</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（1）在饮用水水源保护区内，禁止设置排污口；禁止使用剧毒和高残留农药，不得滥用化肥；禁止利用渗坑、渗井、裂隙等排放污水和其他有害废弃物；禁止利用储水层空隙、裂 隙及废弃矿坑储存石油、放射性物质、有毒化学品、农药等；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 xml:space="preserve">（2）在一级保护区内，禁止新建、改建、扩建与供水设施和保护水源无关的建设项目； </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（3）在二级保护区内，禁止新建、改建、扩建排放污染物的建设项目。</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ascii="Times New Roman" w:hAnsi="Times New Roman" w:cs="宋体"/>
                <w:sz w:val="24"/>
                <w:szCs w:val="24"/>
              </w:rPr>
            </w:pPr>
            <w:r>
              <w:rPr>
                <w:rFonts w:hint="eastAsia" w:ascii="Times New Roman" w:hAnsi="Times New Roman" w:cs="宋体"/>
                <w:sz w:val="24"/>
                <w:szCs w:val="24"/>
              </w:rPr>
              <w:t>根据现场踏勘，该加油站距南水北调干渠围栏距离约为</w:t>
            </w:r>
            <w:r>
              <w:rPr>
                <w:rFonts w:hint="eastAsia" w:cs="宋体"/>
                <w:sz w:val="24"/>
                <w:szCs w:val="24"/>
                <w:lang w:val="en-US" w:eastAsia="zh-CN"/>
              </w:rPr>
              <w:t>46</w:t>
            </w:r>
            <w:r>
              <w:rPr>
                <w:rFonts w:hint="eastAsia" w:ascii="Times New Roman" w:hAnsi="Times New Roman" w:cs="宋体"/>
                <w:sz w:val="24"/>
                <w:szCs w:val="24"/>
              </w:rPr>
              <w:t>km。因此，本项目不在南水北调工程水源保护区之内，符合《南水北调中线一期工程总干渠（河南段）两侧水源保护区划分方案》的要求。</w:t>
            </w:r>
          </w:p>
          <w:p>
            <w:pPr>
              <w:keepNext w:val="0"/>
              <w:keepLines w:val="0"/>
              <w:pageBreakBefore w:val="0"/>
              <w:widowControl w:val="0"/>
              <w:kinsoku/>
              <w:wordWrap/>
              <w:overflowPunct/>
              <w:topLinePunct w:val="0"/>
              <w:autoSpaceDE/>
              <w:autoSpaceDN/>
              <w:bidi w:val="0"/>
              <w:adjustRightInd/>
              <w:snapToGrid w:val="0"/>
              <w:spacing w:before="157" w:beforeLines="50" w:line="360" w:lineRule="auto"/>
              <w:textAlignment w:val="auto"/>
              <w:rPr>
                <w:rFonts w:ascii="Times New Roman" w:hAnsi="Times New Roman"/>
                <w:b/>
                <w:bCs/>
                <w:sz w:val="24"/>
                <w:szCs w:val="24"/>
              </w:rPr>
            </w:pPr>
            <w:r>
              <w:rPr>
                <w:rFonts w:hint="eastAsia"/>
                <w:b/>
                <w:bCs/>
                <w:sz w:val="24"/>
                <w:szCs w:val="24"/>
                <w:lang w:val="en-US" w:eastAsia="zh-CN"/>
              </w:rPr>
              <w:t>10</w:t>
            </w:r>
            <w:r>
              <w:rPr>
                <w:rFonts w:ascii="Times New Roman" w:hAnsi="Times New Roman"/>
                <w:b/>
                <w:bCs/>
                <w:sz w:val="24"/>
                <w:szCs w:val="24"/>
              </w:rPr>
              <w:t>、《“十三五”挥发性有机污染防治工作方案》（环大气【2017】121号）</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全面加强油品储运销油气回收治理。全面加强汽油储运销油气排放控制，重点地区逐步推进港口储存和装卸、油品装船油气回收治理任务。加强汽油储运销油气排放控制。减少油品周转次数。严格按照排放标准要求，加快完成</w:t>
            </w:r>
            <w:bookmarkStart w:id="6" w:name="baidusnap9"/>
            <w:bookmarkEnd w:id="6"/>
            <w:r>
              <w:rPr>
                <w:rFonts w:ascii="Times New Roman" w:hAnsi="Times New Roman"/>
                <w:bCs/>
                <w:sz w:val="24"/>
                <w:szCs w:val="24"/>
              </w:rPr>
              <w:t>加油站、储油库、油罐车油气回收治理工作，重点地区全面推进行政区域内所有加油站油气回收治理。建设油气回收自动监测系统平台，储油库和年销售汽油量大于5000吨的及其他具备条件的加油站加快安装油气回收自动监测设备。制定加油站、储油库油气回收自动监测系统技术规范，企业要加强对油气回收系统外观检测和仪器检测，确保油气回收系统正常运转。推进港口储存装卸、船舶运输油气回收治理。修订储油库大气污染物排放标准，增加港口储存装卸过程油气回收要求；修订汽油运输大气污染物排放标准，修订船舶法定检验规则，提出船舶油气回收要求。</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本项目加油站配备有一级油气回收装置和二级油气回收装置，符合《“十三五”挥发性有机污染防治工作方案》相关要求。</w:t>
            </w:r>
          </w:p>
          <w:p>
            <w:pPr>
              <w:snapToGrid w:val="0"/>
              <w:spacing w:line="360" w:lineRule="auto"/>
              <w:rPr>
                <w:rFonts w:ascii="Times New Roman" w:hAnsi="Times New Roman"/>
                <w:b/>
                <w:bCs/>
                <w:sz w:val="24"/>
                <w:szCs w:val="24"/>
              </w:rPr>
            </w:pPr>
            <w:r>
              <w:rPr>
                <w:rFonts w:hint="eastAsia"/>
                <w:b/>
                <w:bCs/>
                <w:sz w:val="24"/>
                <w:szCs w:val="24"/>
                <w:lang w:val="en-US" w:eastAsia="zh-CN"/>
              </w:rPr>
              <w:t>11</w:t>
            </w:r>
            <w:r>
              <w:rPr>
                <w:rFonts w:ascii="Times New Roman" w:hAnsi="Times New Roman"/>
                <w:b/>
                <w:bCs/>
                <w:sz w:val="24"/>
                <w:szCs w:val="24"/>
              </w:rPr>
              <w:t>、《河南省2019年挥发性有机物治理工作方案》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为贯彻落实《河南省人民政府关于印发河南省污染防治攻坚战三年行动计划（</w:t>
            </w:r>
            <w:r>
              <w:rPr>
                <w:rFonts w:ascii="Times New Roman" w:hAnsi="Times New Roman"/>
                <w:bCs/>
                <w:sz w:val="24"/>
                <w:szCs w:val="24"/>
              </w:rPr>
              <w:t>2018-2020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号）和《河南省污染防治攻坚战领导小组办公室关于印发河南省</w:t>
            </w:r>
            <w:r>
              <w:rPr>
                <w:rFonts w:ascii="Times New Roman" w:hAnsi="Times New Roman"/>
                <w:bCs/>
                <w:sz w:val="24"/>
                <w:szCs w:val="24"/>
              </w:rPr>
              <w:t>2019</w:t>
            </w:r>
            <w:r>
              <w:rPr>
                <w:rFonts w:hint="eastAsia" w:ascii="Times New Roman" w:hAnsi="Times New Roman"/>
                <w:bCs/>
                <w:sz w:val="24"/>
                <w:szCs w:val="24"/>
              </w:rPr>
              <w:t>年大气污染防治攻坚战实施方案的通知》（豫环攻坚办〔</w:t>
            </w:r>
            <w:r>
              <w:rPr>
                <w:rFonts w:ascii="Times New Roman" w:hAnsi="Times New Roman"/>
                <w:bCs/>
                <w:sz w:val="24"/>
                <w:szCs w:val="24"/>
              </w:rPr>
              <w:t>2019</w:t>
            </w:r>
            <w:r>
              <w:rPr>
                <w:rFonts w:hint="eastAsia" w:ascii="Times New Roman" w:hAnsi="Times New Roman"/>
                <w:bCs/>
                <w:sz w:val="24"/>
                <w:szCs w:val="24"/>
              </w:rPr>
              <w:t>〕</w:t>
            </w:r>
            <w:r>
              <w:rPr>
                <w:rFonts w:ascii="Times New Roman" w:hAnsi="Times New Roman"/>
                <w:bCs/>
                <w:sz w:val="24"/>
                <w:szCs w:val="24"/>
              </w:rPr>
              <w:t>25</w:t>
            </w:r>
            <w:r>
              <w:rPr>
                <w:rFonts w:hint="eastAsia" w:ascii="Times New Roman" w:hAnsi="Times New Roman"/>
                <w:bCs/>
                <w:sz w:val="24"/>
                <w:szCs w:val="24"/>
              </w:rPr>
              <w:t>号），深入开展挥发性有机物（</w:t>
            </w:r>
            <w:r>
              <w:rPr>
                <w:rFonts w:ascii="Times New Roman" w:hAnsi="Times New Roman"/>
                <w:bCs/>
                <w:sz w:val="24"/>
                <w:szCs w:val="24"/>
              </w:rPr>
              <w:t>VOCs</w:t>
            </w:r>
            <w:r>
              <w:rPr>
                <w:rFonts w:hint="eastAsia" w:ascii="Times New Roman" w:hAnsi="Times New Roman"/>
                <w:bCs/>
                <w:sz w:val="24"/>
                <w:szCs w:val="24"/>
              </w:rPr>
              <w:t>）污染专项治理，持续改善全省环境空气质量，依据国家《</w:t>
            </w:r>
            <w:r>
              <w:rPr>
                <w:rFonts w:ascii="Times New Roman" w:hAnsi="Times New Roman"/>
                <w:bCs/>
                <w:sz w:val="24"/>
                <w:szCs w:val="24"/>
              </w:rPr>
              <w:t>“</w:t>
            </w:r>
            <w:r>
              <w:rPr>
                <w:rFonts w:hint="eastAsia" w:ascii="Times New Roman" w:hAnsi="Times New Roman"/>
                <w:bCs/>
                <w:sz w:val="24"/>
                <w:szCs w:val="24"/>
              </w:rPr>
              <w:t>十三五</w:t>
            </w:r>
            <w:r>
              <w:rPr>
                <w:rFonts w:ascii="Times New Roman" w:hAnsi="Times New Roman"/>
                <w:bCs/>
                <w:sz w:val="24"/>
                <w:szCs w:val="24"/>
              </w:rPr>
              <w:t>”</w:t>
            </w:r>
            <w:r>
              <w:rPr>
                <w:rFonts w:hint="eastAsia" w:ascii="Times New Roman" w:hAnsi="Times New Roman"/>
                <w:bCs/>
                <w:sz w:val="24"/>
                <w:szCs w:val="24"/>
              </w:rPr>
              <w:t>挥发性有机物污染防治工作方案》和</w:t>
            </w:r>
            <w:r>
              <w:rPr>
                <w:rFonts w:ascii="Times New Roman" w:hAnsi="Times New Roman"/>
                <w:bCs/>
                <w:sz w:val="24"/>
                <w:szCs w:val="24"/>
              </w:rPr>
              <w:t>VOCs</w:t>
            </w:r>
            <w:r>
              <w:rPr>
                <w:rFonts w:hint="eastAsia" w:ascii="Times New Roman" w:hAnsi="Times New Roman"/>
                <w:bCs/>
                <w:sz w:val="24"/>
                <w:szCs w:val="24"/>
              </w:rPr>
              <w:t>排放控制有关要求，制定本方案。</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一、总体要求及工作目标</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（一）总体要求。以改善环境空气质量为核心，坚持源头控制、过程管理、末端治理和强化减排相结合的全方位综合治理原则，大力推进原辅材料源头替代，深入开展涉</w:t>
            </w:r>
            <w:r>
              <w:rPr>
                <w:rFonts w:ascii="Times New Roman" w:hAnsi="Times New Roman"/>
                <w:bCs/>
                <w:sz w:val="24"/>
                <w:szCs w:val="24"/>
              </w:rPr>
              <w:t>VOCs</w:t>
            </w:r>
            <w:r>
              <w:rPr>
                <w:rFonts w:hint="eastAsia" w:ascii="Times New Roman" w:hAnsi="Times New Roman"/>
                <w:bCs/>
                <w:sz w:val="24"/>
                <w:szCs w:val="24"/>
              </w:rPr>
              <w:t>重点行业提标改造工作，持续进行</w:t>
            </w:r>
            <w:r>
              <w:rPr>
                <w:rFonts w:ascii="Times New Roman" w:hAnsi="Times New Roman"/>
                <w:bCs/>
                <w:sz w:val="24"/>
                <w:szCs w:val="24"/>
              </w:rPr>
              <w:t>VOCs</w:t>
            </w:r>
            <w:r>
              <w:rPr>
                <w:rFonts w:hint="eastAsia" w:ascii="Times New Roman" w:hAnsi="Times New Roman"/>
                <w:bCs/>
                <w:sz w:val="24"/>
                <w:szCs w:val="24"/>
              </w:rPr>
              <w:t>整治专项执法检查，逐步推广</w:t>
            </w:r>
            <w:r>
              <w:rPr>
                <w:rFonts w:ascii="Times New Roman" w:hAnsi="Times New Roman"/>
                <w:bCs/>
                <w:sz w:val="24"/>
                <w:szCs w:val="24"/>
              </w:rPr>
              <w:t>VOCs</w:t>
            </w:r>
            <w:r>
              <w:rPr>
                <w:rFonts w:hint="eastAsia" w:ascii="Times New Roman" w:hAnsi="Times New Roman"/>
                <w:bCs/>
                <w:sz w:val="24"/>
                <w:szCs w:val="24"/>
              </w:rPr>
              <w:t>在线监测设施建设，全面建成</w:t>
            </w:r>
            <w:r>
              <w:rPr>
                <w:rFonts w:ascii="Times New Roman" w:hAnsi="Times New Roman"/>
                <w:bCs/>
                <w:sz w:val="24"/>
                <w:szCs w:val="24"/>
              </w:rPr>
              <w:t>VOCs</w:t>
            </w:r>
            <w:r>
              <w:rPr>
                <w:rFonts w:hint="eastAsia" w:ascii="Times New Roman" w:hAnsi="Times New Roman"/>
                <w:bCs/>
                <w:sz w:val="24"/>
                <w:szCs w:val="24"/>
              </w:rPr>
              <w:t>综合防控体系，大幅减少</w:t>
            </w:r>
            <w:r>
              <w:rPr>
                <w:rFonts w:ascii="Times New Roman" w:hAnsi="Times New Roman"/>
                <w:bCs/>
                <w:sz w:val="24"/>
                <w:szCs w:val="24"/>
              </w:rPr>
              <w:t>VOCs</w:t>
            </w:r>
            <w:r>
              <w:rPr>
                <w:rFonts w:hint="eastAsia" w:ascii="Times New Roman" w:hAnsi="Times New Roman"/>
                <w:bCs/>
                <w:sz w:val="24"/>
                <w:szCs w:val="24"/>
              </w:rPr>
              <w:t>排放总量。</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（二）工作目标。</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6</w:t>
            </w:r>
            <w:r>
              <w:rPr>
                <w:rFonts w:hint="eastAsia" w:ascii="Times New Roman" w:hAnsi="Times New Roman"/>
                <w:bCs/>
                <w:sz w:val="24"/>
                <w:szCs w:val="24"/>
              </w:rPr>
              <w:t>月底前，全省石油化学、石油炼制、工业涂装、包装印刷、化工、制药等工业企业，全面完成</w:t>
            </w:r>
            <w:r>
              <w:rPr>
                <w:rFonts w:ascii="Times New Roman" w:hAnsi="Times New Roman"/>
                <w:bCs/>
                <w:sz w:val="24"/>
                <w:szCs w:val="24"/>
              </w:rPr>
              <w:t>VOCs</w:t>
            </w:r>
            <w:r>
              <w:rPr>
                <w:rFonts w:hint="eastAsia" w:ascii="Times New Roman" w:hAnsi="Times New Roman"/>
                <w:bCs/>
                <w:sz w:val="24"/>
                <w:szCs w:val="24"/>
              </w:rPr>
              <w:t>污染治理；</w:t>
            </w:r>
            <w:r>
              <w:rPr>
                <w:rFonts w:ascii="Times New Roman" w:hAnsi="Times New Roman"/>
                <w:bCs/>
                <w:sz w:val="24"/>
                <w:szCs w:val="24"/>
              </w:rPr>
              <w:t>8</w:t>
            </w:r>
            <w:r>
              <w:rPr>
                <w:rFonts w:hint="eastAsia" w:ascii="Times New Roman" w:hAnsi="Times New Roman"/>
                <w:bCs/>
                <w:sz w:val="24"/>
                <w:szCs w:val="24"/>
              </w:rPr>
              <w:t>月底前，全省石油化学、石油炼制企业完成</w:t>
            </w:r>
            <w:r>
              <w:rPr>
                <w:rFonts w:ascii="Times New Roman" w:hAnsi="Times New Roman"/>
                <w:bCs/>
                <w:sz w:val="24"/>
                <w:szCs w:val="24"/>
              </w:rPr>
              <w:t>VOCs</w:t>
            </w:r>
            <w:r>
              <w:rPr>
                <w:rFonts w:hint="eastAsia" w:ascii="Times New Roman" w:hAnsi="Times New Roman"/>
                <w:bCs/>
                <w:sz w:val="24"/>
                <w:szCs w:val="24"/>
              </w:rPr>
              <w:t>深度治理和泄漏检测与修复（</w:t>
            </w:r>
            <w:r>
              <w:rPr>
                <w:rFonts w:ascii="Times New Roman" w:hAnsi="Times New Roman"/>
                <w:bCs/>
                <w:sz w:val="24"/>
                <w:szCs w:val="24"/>
              </w:rPr>
              <w:t>LDAR</w:t>
            </w:r>
            <w:r>
              <w:rPr>
                <w:rFonts w:hint="eastAsia" w:ascii="Times New Roman" w:hAnsi="Times New Roman"/>
                <w:bCs/>
                <w:sz w:val="24"/>
                <w:szCs w:val="24"/>
              </w:rPr>
              <w:t>）治理；</w:t>
            </w:r>
            <w:r>
              <w:rPr>
                <w:rFonts w:ascii="Times New Roman" w:hAnsi="Times New Roman"/>
                <w:bCs/>
                <w:sz w:val="24"/>
                <w:szCs w:val="24"/>
              </w:rPr>
              <w:t>12</w:t>
            </w:r>
            <w:r>
              <w:rPr>
                <w:rFonts w:hint="eastAsia" w:ascii="Times New Roman" w:hAnsi="Times New Roman"/>
                <w:bCs/>
                <w:sz w:val="24"/>
                <w:szCs w:val="24"/>
              </w:rPr>
              <w:t>月底前，省辖市建成区全面淘汰开启式干洗机。</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）》特别排放限值要求，其他行业</w:t>
            </w:r>
            <w:r>
              <w:rPr>
                <w:rFonts w:ascii="Times New Roman" w:hAnsi="Times New Roman"/>
                <w:bCs/>
                <w:sz w:val="24"/>
                <w:szCs w:val="24"/>
              </w:rPr>
              <w:t>VOCs</w:t>
            </w:r>
            <w:r>
              <w:rPr>
                <w:rFonts w:hint="eastAsia" w:ascii="Times New Roman" w:hAnsi="Times New Roman"/>
                <w:bCs/>
                <w:sz w:val="24"/>
                <w:szCs w:val="24"/>
              </w:rPr>
              <w:t>排放全面达到《河南省污染防治攻坚战领导小组办公室关于全省开展工业企业挥发性有机物专项治理工作中排放建议值的通知》（豫环攻坚办〔</w:t>
            </w:r>
            <w:r>
              <w:rPr>
                <w:rFonts w:ascii="Times New Roman" w:hAnsi="Times New Roman"/>
                <w:bCs/>
                <w:sz w:val="24"/>
                <w:szCs w:val="24"/>
              </w:rPr>
              <w:t>2017</w:t>
            </w:r>
            <w:r>
              <w:rPr>
                <w:rFonts w:hint="eastAsia" w:ascii="Times New Roman" w:hAnsi="Times New Roman"/>
                <w:bCs/>
                <w:sz w:val="24"/>
                <w:szCs w:val="24"/>
              </w:rPr>
              <w:t>〕</w:t>
            </w:r>
            <w:r>
              <w:rPr>
                <w:rFonts w:ascii="Times New Roman" w:hAnsi="Times New Roman"/>
                <w:bCs/>
                <w:sz w:val="24"/>
                <w:szCs w:val="24"/>
              </w:rPr>
              <w:t>162</w:t>
            </w:r>
            <w:r>
              <w:rPr>
                <w:rFonts w:hint="eastAsia" w:ascii="Times New Roman" w:hAnsi="Times New Roman"/>
                <w:bCs/>
                <w:sz w:val="24"/>
                <w:szCs w:val="24"/>
              </w:rPr>
              <w:t>号）要求。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二、重点任务</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（一）推进石油炼制、石油化学行业全面达标排放治理。</w:t>
            </w:r>
            <w:r>
              <w:rPr>
                <w:rFonts w:ascii="Times New Roman" w:hAnsi="Times New Roman"/>
                <w:bCs/>
                <w:sz w:val="24"/>
                <w:szCs w:val="24"/>
              </w:rPr>
              <w:t>2019</w:t>
            </w:r>
            <w:r>
              <w:rPr>
                <w:rFonts w:hint="eastAsia" w:ascii="Times New Roman" w:hAnsi="Times New Roman"/>
                <w:bCs/>
                <w:sz w:val="24"/>
                <w:szCs w:val="24"/>
              </w:rPr>
              <w:t>年</w:t>
            </w:r>
            <w:r>
              <w:rPr>
                <w:rFonts w:ascii="Times New Roman" w:hAnsi="Times New Roman"/>
                <w:bCs/>
                <w:sz w:val="24"/>
                <w:szCs w:val="24"/>
              </w:rPr>
              <w:t>8</w:t>
            </w:r>
            <w:r>
              <w:rPr>
                <w:rFonts w:hint="eastAsia" w:ascii="Times New Roman" w:hAnsi="Times New Roman"/>
                <w:bCs/>
                <w:sz w:val="24"/>
                <w:szCs w:val="24"/>
              </w:rPr>
              <w:t>月底前，全省石油炼制、石油化学企业全面完成</w:t>
            </w:r>
            <w:r>
              <w:rPr>
                <w:rFonts w:ascii="Times New Roman" w:hAnsi="Times New Roman"/>
                <w:bCs/>
                <w:sz w:val="24"/>
                <w:szCs w:val="24"/>
              </w:rPr>
              <w:t>VOCs</w:t>
            </w:r>
            <w:r>
              <w:rPr>
                <w:rFonts w:hint="eastAsia" w:ascii="Times New Roman" w:hAnsi="Times New Roman"/>
                <w:bCs/>
                <w:sz w:val="24"/>
                <w:szCs w:val="24"/>
              </w:rPr>
              <w:t>深度治理和</w:t>
            </w:r>
            <w:r>
              <w:rPr>
                <w:rFonts w:ascii="Times New Roman" w:hAnsi="Times New Roman"/>
                <w:bCs/>
                <w:sz w:val="24"/>
                <w:szCs w:val="24"/>
              </w:rPr>
              <w:t>LDAR</w:t>
            </w:r>
            <w:r>
              <w:rPr>
                <w:rFonts w:hint="eastAsia" w:ascii="Times New Roman" w:hAnsi="Times New Roman"/>
                <w:bCs/>
                <w:sz w:val="24"/>
                <w:szCs w:val="24"/>
              </w:rPr>
              <w:t>（泄漏检测与修复）治理。有机液体储罐应采用压力罐、低温罐、高效密封的浮顶罐或安装顶空联通置换油气回收装置的拱顶罐。有机液体装卸采取全密闭、液下装载等方式，并使用具备油气回收接口的运输车辆。强化废水处理系统等逸散废气收集治理，废水集输、储存、处理处置过程中高浓度</w:t>
            </w:r>
            <w:r>
              <w:rPr>
                <w:rFonts w:ascii="Times New Roman" w:hAnsi="Times New Roman"/>
                <w:bCs/>
                <w:sz w:val="24"/>
                <w:szCs w:val="24"/>
              </w:rPr>
              <w:t>VOCs</w:t>
            </w:r>
            <w:r>
              <w:rPr>
                <w:rFonts w:hint="eastAsia" w:ascii="Times New Roman" w:hAnsi="Times New Roman"/>
                <w:bCs/>
                <w:sz w:val="24"/>
                <w:szCs w:val="24"/>
              </w:rPr>
              <w:t>逸散环节应采用密闭收集措施，并回收利用，难以回收的应安装高效治理设施。加强有组织工艺废气治理，工艺弛放气、酸性水罐工艺尾气、氧化尾气、重整催化剂再生尾气等工艺废气优先回收利用，难以利用的，应送火炬系统处理，或采用催化焚烧、热力焚烧等销毁措施。非正常工况排放的有机废气送火炬系统处理。石油炼制企业</w:t>
            </w:r>
            <w:r>
              <w:rPr>
                <w:rFonts w:ascii="Times New Roman" w:hAnsi="Times New Roman"/>
                <w:bCs/>
                <w:sz w:val="24"/>
                <w:szCs w:val="24"/>
              </w:rPr>
              <w:t>VOCs</w:t>
            </w:r>
            <w:r>
              <w:rPr>
                <w:rFonts w:hint="eastAsia" w:ascii="Times New Roman" w:hAnsi="Times New Roman"/>
                <w:bCs/>
                <w:sz w:val="24"/>
                <w:szCs w:val="24"/>
              </w:rPr>
              <w:t>排放全面达到《石油炼制工业污染物排放标准（</w:t>
            </w:r>
            <w:r>
              <w:rPr>
                <w:rFonts w:ascii="Times New Roman" w:hAnsi="Times New Roman"/>
                <w:bCs/>
                <w:sz w:val="24"/>
                <w:szCs w:val="24"/>
              </w:rPr>
              <w:t>GB31570-2015</w:t>
            </w:r>
            <w:r>
              <w:rPr>
                <w:rFonts w:hint="eastAsia" w:ascii="Times New Roman" w:hAnsi="Times New Roman"/>
                <w:bCs/>
                <w:sz w:val="24"/>
                <w:szCs w:val="24"/>
              </w:rPr>
              <w:t>）》特别排放限值要求，石油化学企业</w:t>
            </w:r>
            <w:r>
              <w:rPr>
                <w:rFonts w:ascii="Times New Roman" w:hAnsi="Times New Roman"/>
                <w:bCs/>
                <w:sz w:val="24"/>
                <w:szCs w:val="24"/>
              </w:rPr>
              <w:t>VOCs</w:t>
            </w:r>
            <w:r>
              <w:rPr>
                <w:rFonts w:hint="eastAsia" w:ascii="Times New Roman" w:hAnsi="Times New Roman"/>
                <w:bCs/>
                <w:sz w:val="24"/>
                <w:szCs w:val="24"/>
              </w:rPr>
              <w:t>排放全面达到《石油化学行业污染物排放标准（</w:t>
            </w:r>
            <w:r>
              <w:rPr>
                <w:rFonts w:ascii="Times New Roman" w:hAnsi="Times New Roman"/>
                <w:bCs/>
                <w:sz w:val="24"/>
                <w:szCs w:val="24"/>
              </w:rPr>
              <w:t>GB31571-2015</w:t>
            </w:r>
            <w:r>
              <w:rPr>
                <w:rFonts w:hint="eastAsia" w:ascii="Times New Roman" w:hAnsi="Times New Roman"/>
                <w:bCs/>
                <w:sz w:val="24"/>
                <w:szCs w:val="24"/>
              </w:rPr>
              <w:t>）》特别排放限值要求。</w:t>
            </w:r>
            <w:r>
              <w:rPr>
                <w:rFonts w:ascii="Times New Roman" w:hAnsi="Times New Roman"/>
                <w:bCs/>
                <w:sz w:val="24"/>
                <w:szCs w:val="24"/>
              </w:rPr>
              <w:t xml:space="preserve"> </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本项目加油站配备有一级油气回收装置和二级油气回收装置，符合《河南省2019年挥发性有机物治理工作方案》相关要求。</w:t>
            </w:r>
          </w:p>
          <w:p>
            <w:pPr>
              <w:adjustRightInd w:val="0"/>
              <w:snapToGrid w:val="0"/>
              <w:spacing w:line="360" w:lineRule="auto"/>
              <w:rPr>
                <w:rFonts w:ascii="Times New Roman" w:hAnsi="Times New Roman"/>
                <w:sz w:val="24"/>
                <w:szCs w:val="24"/>
              </w:rPr>
            </w:pPr>
            <w:r>
              <w:rPr>
                <w:rFonts w:ascii="Times New Roman" w:hAnsi="Times New Roman"/>
                <w:b/>
                <w:bCs/>
                <w:sz w:val="24"/>
                <w:szCs w:val="24"/>
              </w:rPr>
              <w:t>1</w:t>
            </w:r>
            <w:r>
              <w:rPr>
                <w:rFonts w:hint="eastAsia"/>
                <w:b/>
                <w:bCs/>
                <w:sz w:val="24"/>
                <w:szCs w:val="24"/>
                <w:lang w:val="en-US" w:eastAsia="zh-CN"/>
              </w:rPr>
              <w:t>2</w:t>
            </w:r>
            <w:r>
              <w:rPr>
                <w:rFonts w:ascii="Times New Roman" w:hAnsi="Times New Roman"/>
                <w:b/>
                <w:bCs/>
                <w:sz w:val="24"/>
                <w:szCs w:val="24"/>
              </w:rPr>
              <w:t>、《</w:t>
            </w:r>
            <w:r>
              <w:rPr>
                <w:rFonts w:hint="eastAsia" w:ascii="Times New Roman" w:hAnsi="Times New Roman"/>
                <w:b/>
                <w:bCs/>
                <w:sz w:val="24"/>
                <w:szCs w:val="24"/>
              </w:rPr>
              <w:t>重点行业挥发性有机物综合治理方案</w:t>
            </w:r>
            <w:r>
              <w:rPr>
                <w:rFonts w:ascii="Times New Roman" w:hAnsi="Times New Roman"/>
                <w:b/>
                <w:bCs/>
                <w:sz w:val="24"/>
                <w:szCs w:val="24"/>
              </w:rPr>
              <w:t>》</w:t>
            </w:r>
            <w:r>
              <w:rPr>
                <w:rFonts w:hint="eastAsia" w:ascii="Times New Roman" w:hAnsi="Times New Roman"/>
                <w:b/>
                <w:bCs/>
                <w:sz w:val="24"/>
                <w:szCs w:val="24"/>
              </w:rPr>
              <w:t>环大气[2019]53号</w:t>
            </w:r>
          </w:p>
          <w:p>
            <w:pPr>
              <w:pStyle w:val="29"/>
              <w:spacing w:line="360" w:lineRule="auto"/>
              <w:ind w:firstLine="480" w:firstLineChars="200"/>
              <w:rPr>
                <w:rFonts w:ascii="Times New Roman" w:hAnsi="Times New Roman"/>
                <w:color w:val="auto"/>
              </w:rPr>
            </w:pPr>
            <w:r>
              <w:rPr>
                <w:rFonts w:ascii="Times New Roman" w:hAnsi="Times New Roman"/>
                <w:color w:val="auto"/>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四、重点行业治理任务</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w:t>
            </w:r>
            <w:r>
              <w:rPr>
                <w:rFonts w:ascii="Times New Roman" w:hAnsi="Times New Roman"/>
                <w:sz w:val="24"/>
                <w:szCs w:val="24"/>
              </w:rPr>
              <w:t>.....</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（五）油品储运销VOCs综合治理。加大汽油（含乙醇汽油）、石脑油、煤油（含航空煤油）以及原油等VOCs排放控制，重点推进加油站、油罐车、储油库油气回收治理。重点区域还应推进油船油气回收治理工作。</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深化加油站油气回收工作。O</w:t>
            </w:r>
            <w:r>
              <w:rPr>
                <w:rFonts w:hint="eastAsia" w:ascii="Times New Roman" w:hAnsi="Times New Roman"/>
                <w:sz w:val="24"/>
                <w:szCs w:val="24"/>
                <w:vertAlign w:val="subscript"/>
              </w:rPr>
              <w:t>3</w:t>
            </w:r>
            <w:r>
              <w:rPr>
                <w:rFonts w:hint="eastAsia" w:ascii="Times New Roman" w:hAnsi="Times New Roman"/>
                <w:sz w:val="24"/>
                <w:szCs w:val="24"/>
              </w:rPr>
              <w:t>污染较重的地区，行政区域内大力推进加油站储油、加油油气回收治理工作，重点区域2019年年底前基本完成。埋地油罐全面采用电子液位仪进行汽油密闭测量。规范油气回收设施运行，自行或聘请第三方加强加油枪气液比、系统密闭性及管线液阻等检查，提高检测频次，重点区域原则上每半年开展一次，确保油气回收系统正常运行。重点区域加快推进年销售汽油量大于5000吨的加油站安装油气回收自动监控设备，并与生态环境部门联网，2020年年底前基本完成。</w:t>
            </w:r>
          </w:p>
          <w:p>
            <w:pPr>
              <w:adjustRightInd w:val="0"/>
              <w:snapToGrid w:val="0"/>
              <w:spacing w:line="360" w:lineRule="auto"/>
              <w:ind w:firstLine="480" w:firstLineChars="200"/>
              <w:rPr>
                <w:rFonts w:ascii="Times New Roman" w:hAnsi="Times New Roman"/>
                <w:sz w:val="24"/>
                <w:szCs w:val="24"/>
              </w:rPr>
            </w:pPr>
            <w:r>
              <w:rPr>
                <w:rFonts w:hint="eastAsia" w:ascii="Times New Roman" w:hAnsi="Times New Roman"/>
                <w:sz w:val="24"/>
                <w:szCs w:val="24"/>
              </w:rPr>
              <w:t>推进储油库油气回收治理。汽油、航空煤油、原油以及真实蒸气压小于76.6 kPa的石脑油应采用浮顶罐储存，其中，油品容积小于等于100立方米的，可采用卧式储罐。真实蒸气压大于等于76.6kPa的石脑油应采用低压罐、压力罐或其他等效措施储存。加快推进油品收发过程排放的油气收集处理。加强储油库发油油气回收系统接口泄漏检测，提高检测频次，减少油气泄漏，确保油品装卸过程油气回收处理装置正常运行。加强油罐车油气回收系统密闭性和油气回收气动阀门密闭性检测，每年至少开展一次。推动储油库安装油气回收自动监控设施。</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《重点行业挥发性有机物综合治理方案》（环大气[2019]53号）</w:t>
            </w:r>
            <w:r>
              <w:rPr>
                <w:rFonts w:ascii="Times New Roman" w:hAnsi="Times New Roman"/>
                <w:bCs/>
                <w:sz w:val="24"/>
                <w:szCs w:val="24"/>
              </w:rPr>
              <w:t>相关要求</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3</w:t>
            </w:r>
            <w:r>
              <w:rPr>
                <w:rFonts w:ascii="Times New Roman" w:hAnsi="Times New Roman"/>
                <w:b/>
                <w:bCs/>
                <w:sz w:val="24"/>
                <w:szCs w:val="24"/>
              </w:rPr>
              <w:t>、</w:t>
            </w:r>
            <w:r>
              <w:rPr>
                <w:rFonts w:hint="eastAsia" w:ascii="Times New Roman" w:hAnsi="Times New Roman"/>
                <w:b/>
                <w:bCs/>
                <w:sz w:val="24"/>
                <w:szCs w:val="24"/>
              </w:rPr>
              <w:t>《</w:t>
            </w:r>
            <w:r>
              <w:rPr>
                <w:rFonts w:ascii="Times New Roman" w:hAnsi="Times New Roman"/>
                <w:b/>
                <w:bCs/>
                <w:sz w:val="24"/>
                <w:szCs w:val="24"/>
              </w:rPr>
              <w:t>2020</w:t>
            </w:r>
            <w:r>
              <w:rPr>
                <w:rFonts w:hint="eastAsia" w:ascii="Times New Roman" w:hAnsi="Times New Roman"/>
                <w:b/>
                <w:bCs/>
                <w:sz w:val="24"/>
                <w:szCs w:val="24"/>
              </w:rPr>
              <w:t>年挥发性有机物治理攻坚方案》（环大气〔</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33</w:t>
            </w:r>
            <w:r>
              <w:rPr>
                <w:rFonts w:hint="eastAsia" w:ascii="Times New Roman" w:hAnsi="Times New Roman"/>
                <w:b/>
                <w:bCs/>
                <w:sz w:val="24"/>
                <w:szCs w:val="24"/>
              </w:rPr>
              <w:t>号）</w:t>
            </w:r>
          </w:p>
          <w:p>
            <w:pPr>
              <w:adjustRightInd w:val="0"/>
              <w:snapToGrid w:val="0"/>
              <w:spacing w:line="360" w:lineRule="auto"/>
              <w:ind w:firstLine="480" w:firstLineChars="200"/>
              <w:rPr>
                <w:rFonts w:hint="eastAsia" w:ascii="Times New Roman" w:hAnsi="Times New Roman"/>
                <w:bCs/>
                <w:sz w:val="24"/>
                <w:szCs w:val="24"/>
              </w:rPr>
            </w:pPr>
            <w:r>
              <w:rPr>
                <w:rFonts w:hint="eastAsia" w:ascii="Times New Roman" w:hAnsi="Times New Roman"/>
                <w:bCs/>
                <w:sz w:val="24"/>
                <w:szCs w:val="24"/>
              </w:rPr>
              <w:t>五、强化油品储运销监管，实现减污降耗增效</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加大汽油、石脑油、煤油以及原油等油品储运销全过程VOCs排放控制，在保障安全的前提下，重点推进储油库、油罐车、加油站油气回收治理，加大油气排放监管力度，并要求企业建立日查、自检、年检和维保制度。储油库应采用底部装油方式，装油时产生的油气应进行密闭收集和回收处理，处理装置出入口应安装气体流量传感器。7月15日前，对储油库油气密闭收集系统进行一次检测，任何泄漏点排放的油气体积分数浓度不应超过0.05%。运输汽油的油罐汽车应具备底部装卸油系统和油气回收系统，装油时能够将汽车油罐内排出的油气密闭输入储油库回收系统，往返运输过程中能够保证汽油和油气不泄漏，卸油时能够将产生的油气回收到汽车的油罐内，除必要应急维修外，不应因操作、维修和管理等方面的原因发生油气泄漏；运输汽油的铁路罐车要采取相应措施，减少装油、卸油和运输过程的油气排放。加油站卸油、储油和加油时排放的油气，应采用以密闭收集为基础的油气回收方法进行控制，卸油应采用浸没式，埋地油罐应采用电子式液位计进行液位测量，除必要的维修外不得进行人工量油，加油产生的油气应采用真空辅助方式密闭收集，加油站正常运行时，地下罐应急排空管手动阀门在非必要时应关闭并铅封，应急开启后应及时报告当地生态环境部门，做好台账记录。</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本项目</w:t>
            </w:r>
            <w:r>
              <w:rPr>
                <w:rFonts w:hint="eastAsia" w:ascii="Times New Roman" w:hAnsi="Times New Roman"/>
                <w:bCs/>
                <w:sz w:val="24"/>
                <w:szCs w:val="24"/>
              </w:rPr>
              <w:t>储油罐</w:t>
            </w:r>
            <w:r>
              <w:rPr>
                <w:rFonts w:ascii="Times New Roman" w:hAnsi="Times New Roman"/>
                <w:bCs/>
                <w:sz w:val="24"/>
                <w:szCs w:val="24"/>
              </w:rPr>
              <w:t>采用卧式埋地油罐，加油站配备有一级油气回收装置和二级油气回收装置</w:t>
            </w:r>
            <w:r>
              <w:rPr>
                <w:rFonts w:hint="eastAsia" w:ascii="Times New Roman" w:hAnsi="Times New Roman"/>
                <w:bCs/>
                <w:sz w:val="24"/>
                <w:szCs w:val="24"/>
              </w:rPr>
              <w:t>，建设单位定期</w:t>
            </w:r>
            <w:r>
              <w:rPr>
                <w:rFonts w:ascii="Times New Roman" w:hAnsi="Times New Roman"/>
                <w:bCs/>
                <w:sz w:val="24"/>
                <w:szCs w:val="24"/>
              </w:rPr>
              <w:t>开展</w:t>
            </w:r>
            <w:r>
              <w:rPr>
                <w:rFonts w:hint="eastAsia" w:ascii="Times New Roman" w:hAnsi="Times New Roman"/>
                <w:bCs/>
                <w:sz w:val="24"/>
                <w:szCs w:val="24"/>
              </w:rPr>
              <w:t>油枪气液比、系统密闭性及管线液阻的监测，项目</w:t>
            </w:r>
            <w:r>
              <w:rPr>
                <w:rFonts w:ascii="Times New Roman" w:hAnsi="Times New Roman"/>
                <w:bCs/>
                <w:sz w:val="24"/>
                <w:szCs w:val="24"/>
              </w:rPr>
              <w:t>的建设符合</w:t>
            </w:r>
            <w:r>
              <w:rPr>
                <w:rFonts w:hint="eastAsia" w:ascii="Times New Roman" w:hAnsi="Times New Roman"/>
                <w:bCs/>
                <w:sz w:val="24"/>
                <w:szCs w:val="24"/>
              </w:rPr>
              <w:t>《2020年挥发性有机物治理攻坚方案》（环大气〔2020〕33号）</w:t>
            </w:r>
            <w:r>
              <w:rPr>
                <w:rFonts w:ascii="Times New Roman" w:hAnsi="Times New Roman"/>
                <w:bCs/>
                <w:sz w:val="24"/>
                <w:szCs w:val="24"/>
              </w:rPr>
              <w:t>相关要求</w:t>
            </w:r>
            <w:r>
              <w:rPr>
                <w:rFonts w:hint="eastAsia" w:ascii="Times New Roman" w:hAnsi="Times New Roman"/>
                <w:bCs/>
                <w:sz w:val="24"/>
                <w:szCs w:val="24"/>
              </w:rPr>
              <w:t>。</w:t>
            </w:r>
          </w:p>
          <w:p>
            <w:pPr>
              <w:adjustRightInd w:val="0"/>
              <w:snapToGrid w:val="0"/>
              <w:spacing w:line="360" w:lineRule="auto"/>
              <w:rPr>
                <w:rFonts w:ascii="Times New Roman" w:hAnsi="Times New Roman"/>
                <w:b/>
                <w:bCs/>
                <w:sz w:val="24"/>
                <w:szCs w:val="24"/>
              </w:rPr>
            </w:pPr>
            <w:r>
              <w:rPr>
                <w:rFonts w:ascii="Times New Roman" w:hAnsi="Times New Roman"/>
                <w:b/>
                <w:bCs/>
                <w:sz w:val="24"/>
                <w:szCs w:val="24"/>
              </w:rPr>
              <w:t>1</w:t>
            </w:r>
            <w:r>
              <w:rPr>
                <w:rFonts w:hint="eastAsia"/>
                <w:b/>
                <w:bCs/>
                <w:sz w:val="24"/>
                <w:szCs w:val="24"/>
                <w:lang w:val="en-US" w:eastAsia="zh-CN"/>
              </w:rPr>
              <w:t>4</w:t>
            </w:r>
            <w:r>
              <w:rPr>
                <w:rFonts w:hint="eastAsia" w:ascii="Times New Roman" w:hAnsi="Times New Roman"/>
                <w:b/>
                <w:bCs/>
                <w:sz w:val="24"/>
                <w:szCs w:val="24"/>
              </w:rPr>
              <w:t>、《河南省</w:t>
            </w:r>
            <w:r>
              <w:rPr>
                <w:rFonts w:ascii="Times New Roman" w:hAnsi="Times New Roman"/>
                <w:b/>
                <w:bCs/>
                <w:sz w:val="24"/>
                <w:szCs w:val="24"/>
              </w:rPr>
              <w:t>2020</w:t>
            </w:r>
            <w:r>
              <w:rPr>
                <w:rFonts w:hint="eastAsia" w:ascii="Times New Roman" w:hAnsi="Times New Roman"/>
                <w:b/>
                <w:bCs/>
                <w:sz w:val="24"/>
                <w:szCs w:val="24"/>
              </w:rPr>
              <w:t>年大气污染防治攻坚战实施方案》（豫环攻坚办〔</w:t>
            </w:r>
            <w:r>
              <w:rPr>
                <w:rFonts w:ascii="Times New Roman" w:hAnsi="Times New Roman"/>
                <w:b/>
                <w:bCs/>
                <w:sz w:val="24"/>
                <w:szCs w:val="24"/>
              </w:rPr>
              <w:t>2020</w:t>
            </w:r>
            <w:r>
              <w:rPr>
                <w:rFonts w:hint="eastAsia" w:ascii="Times New Roman" w:hAnsi="Times New Roman"/>
                <w:b/>
                <w:bCs/>
                <w:sz w:val="24"/>
                <w:szCs w:val="24"/>
              </w:rPr>
              <w:t>〕</w:t>
            </w:r>
            <w:r>
              <w:rPr>
                <w:rFonts w:ascii="Times New Roman" w:hAnsi="Times New Roman"/>
                <w:b/>
                <w:bCs/>
                <w:sz w:val="24"/>
                <w:szCs w:val="24"/>
              </w:rPr>
              <w:t>7</w:t>
            </w:r>
            <w:r>
              <w:rPr>
                <w:rFonts w:hint="eastAsia" w:ascii="Times New Roman" w:hAnsi="Times New Roman"/>
                <w:b/>
                <w:bCs/>
                <w:sz w:val="24"/>
                <w:szCs w:val="24"/>
              </w:rPr>
              <w:t>号）</w:t>
            </w:r>
          </w:p>
          <w:p>
            <w:pPr>
              <w:adjustRightInd w:val="0"/>
              <w:snapToGrid w:val="0"/>
              <w:spacing w:line="360" w:lineRule="auto"/>
              <w:ind w:firstLine="480" w:firstLineChars="200"/>
              <w:rPr>
                <w:rFonts w:ascii="Times New Roman" w:hAnsi="Times New Roman"/>
                <w:bCs/>
                <w:sz w:val="24"/>
                <w:szCs w:val="24"/>
              </w:rPr>
            </w:pPr>
            <w:r>
              <w:rPr>
                <w:rFonts w:hint="eastAsia" w:ascii="Times New Roman" w:hAnsi="Times New Roman"/>
                <w:bCs/>
                <w:sz w:val="24"/>
                <w:szCs w:val="24"/>
              </w:rPr>
              <w:t>为贯彻落实《国务院关于印发打赢蓝天保卫战三年行动计划的通知》（国发〔</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22</w:t>
            </w:r>
            <w:r>
              <w:rPr>
                <w:rFonts w:hint="eastAsia" w:ascii="Times New Roman" w:hAnsi="Times New Roman"/>
                <w:bCs/>
                <w:sz w:val="24"/>
                <w:szCs w:val="24"/>
              </w:rPr>
              <w:t>号）和《河南省人民政府关于印发河南省污染防治攻坚战三年行动计划（</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2020</w:t>
            </w:r>
            <w:r>
              <w:rPr>
                <w:rFonts w:hint="eastAsia" w:ascii="Times New Roman" w:hAnsi="Times New Roman"/>
                <w:bCs/>
                <w:sz w:val="24"/>
                <w:szCs w:val="24"/>
              </w:rPr>
              <w:t>年）的通知》（豫政〔</w:t>
            </w:r>
            <w:r>
              <w:rPr>
                <w:rFonts w:ascii="Times New Roman" w:hAnsi="Times New Roman"/>
                <w:bCs/>
                <w:sz w:val="24"/>
                <w:szCs w:val="24"/>
              </w:rPr>
              <w:t>2018</w:t>
            </w:r>
            <w:r>
              <w:rPr>
                <w:rFonts w:hint="eastAsia" w:ascii="Times New Roman" w:hAnsi="Times New Roman"/>
                <w:bCs/>
                <w:sz w:val="24"/>
                <w:szCs w:val="24"/>
              </w:rPr>
              <w:t>〕</w:t>
            </w:r>
            <w:r>
              <w:rPr>
                <w:rFonts w:ascii="Times New Roman" w:hAnsi="Times New Roman"/>
                <w:bCs/>
                <w:sz w:val="24"/>
                <w:szCs w:val="24"/>
              </w:rPr>
              <w:t>30</w:t>
            </w:r>
            <w:r>
              <w:rPr>
                <w:rFonts w:hint="eastAsia" w:ascii="Times New Roman" w:hAnsi="Times New Roman"/>
                <w:bCs/>
                <w:sz w:val="24"/>
                <w:szCs w:val="24"/>
              </w:rPr>
              <w:t>号），持续改善全省环境空气质量，坚决打赢蓝天保卫战，制定本方案。</w:t>
            </w:r>
          </w:p>
          <w:p>
            <w:pPr>
              <w:adjustRightInd w:val="0"/>
              <w:snapToGrid w:val="0"/>
              <w:spacing w:line="360" w:lineRule="auto"/>
              <w:ind w:firstLine="480" w:firstLineChars="200"/>
              <w:rPr>
                <w:rFonts w:ascii="Times New Roman" w:hAnsi="Times New Roman"/>
                <w:bCs/>
                <w:sz w:val="24"/>
                <w:szCs w:val="24"/>
              </w:rPr>
            </w:pPr>
            <w:r>
              <w:rPr>
                <w:rFonts w:ascii="Times New Roman" w:hAnsi="Times New Roman"/>
                <w:bCs/>
                <w:sz w:val="24"/>
                <w:szCs w:val="24"/>
              </w:rPr>
              <w:t>28.</w:t>
            </w:r>
            <w:r>
              <w:rPr>
                <w:rFonts w:hint="eastAsia" w:ascii="Times New Roman" w:hAnsi="Times New Roman"/>
                <w:bCs/>
                <w:sz w:val="24"/>
                <w:szCs w:val="24"/>
              </w:rPr>
              <w:t>全面提升“扬尘”污染治理水平。加强施工扬尘控制。建立施工工地动态管理清单，全面开展标准化施工，按照“谁施工、谁负责，谁主管、谁监督”原则，严格落实“六个百分之百”、开复工验收、“三员”管理等制度。实施扬尘污染防治守信联合激励、失信联合惩戒，将扬尘管理不到位的不良信息纳入建筑市场信用管理体系，情节严重的，列入建筑市场主体“黑名单”。严格渣土运输车辆规范化管理，实行建筑垃圾从产生、清运到消纳处置的全过程监管。严格落实城市建成区内“两个禁止”（禁止现场搅拌混凝土和禁止现场配置砂浆）要求，加快“两个禁止”综合信息监管平台建设，实施动态监管。</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46.</w:t>
            </w:r>
            <w:r>
              <w:rPr>
                <w:rFonts w:hint="eastAsia" w:ascii="Times New Roman" w:hAnsi="Times New Roman"/>
                <w:sz w:val="24"/>
                <w:szCs w:val="24"/>
              </w:rPr>
              <w:t>持续加强油气排放日常执法监管。各级生态环境部门将储油库、加油站纳入固定污染源进行管理，强化对储油库、加油站和油罐车油气排放日常执法监管，确保油气回收设施正常运行</w:t>
            </w:r>
            <w:r>
              <w:rPr>
                <w:rFonts w:ascii="Times New Roman" w:hAnsi="Times New Roman"/>
                <w:sz w:val="24"/>
                <w:szCs w:val="24"/>
              </w:rPr>
              <w:t>2020</w:t>
            </w:r>
            <w:r>
              <w:rPr>
                <w:rFonts w:hint="eastAsia" w:ascii="Times New Roman" w:hAnsi="Times New Roman"/>
                <w:sz w:val="24"/>
                <w:szCs w:val="24"/>
              </w:rPr>
              <w:t>年底前，采取定期检查和现场抽查方式，至少组织一次对辖区内所有汽油储油库、</w:t>
            </w:r>
            <w:r>
              <w:rPr>
                <w:rFonts w:ascii="Times New Roman" w:hAnsi="Times New Roman"/>
                <w:sz w:val="24"/>
                <w:szCs w:val="24"/>
              </w:rPr>
              <w:t>20%</w:t>
            </w:r>
            <w:r>
              <w:rPr>
                <w:rFonts w:hint="eastAsia" w:ascii="Times New Roman" w:hAnsi="Times New Roman"/>
                <w:sz w:val="24"/>
                <w:szCs w:val="24"/>
              </w:rPr>
              <w:t>以上的汽油加油站和油罐车进行监督性检测；对于监督性检测和日常检查中发现的未按照相关要求安装、管理、运行油气回收设备或检查结果不合格的单位，要坚决依法依规进行查处。储油库、加油站和油罐车业主单位每季度按规范对油气回收治理系统进行检测和维护，按照国家规范填写自检报告，检修</w:t>
            </w:r>
            <w:r>
              <w:rPr>
                <w:rFonts w:ascii="Times New Roman" w:hAnsi="Times New Roman"/>
                <w:sz w:val="24"/>
                <w:szCs w:val="24"/>
              </w:rPr>
              <w:t>/</w:t>
            </w:r>
            <w:r>
              <w:rPr>
                <w:rFonts w:hint="eastAsia" w:ascii="Times New Roman" w:hAnsi="Times New Roman"/>
                <w:sz w:val="24"/>
                <w:szCs w:val="24"/>
              </w:rPr>
              <w:t>维护记录、定期检测的原始结果数据至少保留两年以上；业主单位要安装卸油区视频监控，保证清晰监控到卸油情况，视频数据保留一年以上。</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47.</w:t>
            </w:r>
            <w:r>
              <w:rPr>
                <w:rFonts w:hint="eastAsia" w:ascii="Times New Roman" w:hAnsi="Times New Roman"/>
                <w:sz w:val="24"/>
                <w:szCs w:val="24"/>
              </w:rPr>
              <w:t>强化油品质量监管。各地要坚持“挖幕后、断链条、打黑油、端窝点”，严厉打击生产、销售、储存和使用不合格油品和车用尿素行为，依法追究相关方面责任并向社会公开。按照省政府办公厅《关于加强联合执法建立成品油流通市场监管长效机制的通知》（豫政办〔</w:t>
            </w:r>
            <w:r>
              <w:rPr>
                <w:rFonts w:ascii="Times New Roman" w:hAnsi="Times New Roman"/>
                <w:sz w:val="24"/>
                <w:szCs w:val="24"/>
              </w:rPr>
              <w:t>2017</w:t>
            </w:r>
            <w:r>
              <w:rPr>
                <w:rFonts w:hint="eastAsia" w:ascii="Times New Roman" w:hAnsi="Times New Roman"/>
                <w:sz w:val="24"/>
                <w:szCs w:val="24"/>
              </w:rPr>
              <w:t>〕</w:t>
            </w:r>
            <w:r>
              <w:rPr>
                <w:rFonts w:ascii="Times New Roman" w:hAnsi="Times New Roman"/>
                <w:sz w:val="24"/>
                <w:szCs w:val="24"/>
              </w:rPr>
              <w:t>57</w:t>
            </w:r>
            <w:r>
              <w:rPr>
                <w:rFonts w:hint="eastAsia" w:ascii="Times New Roman" w:hAnsi="Times New Roman"/>
                <w:sz w:val="24"/>
                <w:szCs w:val="24"/>
              </w:rPr>
              <w:t>号）有关要求，通过采取有奖举报，随机抽查和重点检查等手段，严厉打击违法销售车用油品的行为。市场监管部门加强对炼油厂、储油库、加油站等成品油生产、销售和储存环节，以及高速公路、国省道沿线加油站和尿素加注点质量检查，提高抽检比例和频次，严厉处罚违法行为；商务部门牵头组织，持续深入开展“河南省油品质量专项检查行动”，以物流基地、货运车辆停车场和休息区、油品运输车、施工工地等为重点，集中打击和清理取缔黑加油站点、流动加油车对不达标的油品、尿素追踪溯源，查处劣质油品、尿素存储销售集散地和生产加工企业，对有关涉案人员依法追究相关法律责任。</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rPr>
            </w:pPr>
            <w:r>
              <w:rPr>
                <w:rFonts w:hint="eastAsia"/>
              </w:rPr>
              <w:t>本项目施工过程中须做到“六个百分之百”（施工现场百分之百围挡，物料堆放百分之百覆盖，裸露地面百分之百绿化或覆盖，进出车辆百分之百冲洗，拆除和土方作业百分之百喷淋，渣土运输车辆百分之百封闭）、开复工验收、“三员</w:t>
            </w:r>
            <w:r>
              <w:t>"</w:t>
            </w:r>
            <w:r>
              <w:rPr>
                <w:rFonts w:hint="eastAsia"/>
              </w:rPr>
              <w:t>（扬尘污染防治监督员、网格员、管理员）管理、扬尘防治预算管理等制度。项目建成后储油罐采用卧式埋地油罐，加油站配备有一级油气回收装置和二级油气回收装置，建设单位定期开展油枪气液比、系统密闭性及管线液阻的监测，项目的建设符合《河南省</w:t>
            </w:r>
            <w:r>
              <w:t>2020</w:t>
            </w:r>
            <w:r>
              <w:rPr>
                <w:rFonts w:hint="eastAsia"/>
              </w:rPr>
              <w:t>年大气污染防治攻坚战实施方案》（豫环攻坚办〔</w:t>
            </w:r>
            <w:r>
              <w:t>2020</w:t>
            </w:r>
            <w:r>
              <w:rPr>
                <w:rFonts w:hint="eastAsia"/>
              </w:rPr>
              <w:t>〕</w:t>
            </w:r>
            <w:r>
              <w:t>7</w:t>
            </w:r>
            <w:r>
              <w:rPr>
                <w:rFonts w:hint="eastAsia"/>
              </w:rPr>
              <w:t>号）相关要求。</w:t>
            </w: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3"/>
              <w:rPr>
                <w:rFonts w:ascii="Times New Roman" w:hAnsi="Times New Roman"/>
                <w:b w:val="0"/>
                <w:bCs/>
              </w:rPr>
            </w:pPr>
          </w:p>
          <w:p>
            <w:pPr>
              <w:pStyle w:val="2"/>
              <w:ind w:left="0" w:leftChars="0" w:firstLine="0" w:firstLineChars="0"/>
              <w:rPr>
                <w:rFonts w:hint="eastAsia" w:ascii="Times New Roman" w:hAnsi="Times New Roman" w:eastAsia="宋体" w:cs="Times New Roman"/>
                <w:sz w:val="24"/>
                <w:szCs w:val="24"/>
                <w:lang w:eastAsia="zh-CN"/>
              </w:rPr>
            </w:pPr>
          </w:p>
        </w:tc>
      </w:tr>
    </w:tbl>
    <w:p>
      <w:pPr>
        <w:rPr>
          <w:rFonts w:ascii="Times New Roman" w:hAnsi="Times New Roman" w:eastAsia="宋体" w:cs="Times New Roman"/>
          <w:b/>
          <w:bCs/>
          <w:kern w:val="44"/>
          <w:sz w:val="30"/>
          <w:szCs w:val="30"/>
        </w:rPr>
      </w:pPr>
      <w:bookmarkStart w:id="7" w:name="_Toc257241225"/>
      <w:bookmarkStart w:id="8" w:name="_Toc256177430"/>
      <w:bookmarkStart w:id="9" w:name="_Toc168387858"/>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环境质量状况</w:t>
      </w:r>
      <w:bookmarkEnd w:id="7"/>
      <w:bookmarkEnd w:id="8"/>
      <w:bookmarkEnd w:id="9"/>
    </w:p>
    <w:tbl>
      <w:tblPr>
        <w:tblStyle w:val="20"/>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8436" w:type="dxa"/>
          </w:tcPr>
          <w:p>
            <w:pPr>
              <w:spacing w:line="520" w:lineRule="atLeast"/>
              <w:rPr>
                <w:rFonts w:ascii="Times New Roman" w:hAnsi="Times New Roman"/>
                <w:color w:val="000000"/>
                <w:sz w:val="24"/>
              </w:rPr>
            </w:pPr>
            <w:r>
              <w:rPr>
                <w:rFonts w:ascii="Times New Roman" w:hAnsi="Times New Roman"/>
                <w:b/>
                <w:color w:val="000000"/>
                <w:sz w:val="24"/>
              </w:rPr>
              <w:t>建设项目所在地区域环境质量现状及主要环境问题(环境空气、地表水、声环境、生态环境等</w:t>
            </w:r>
            <w:r>
              <w:rPr>
                <w:rFonts w:ascii="Times New Roman" w:hAnsi="Times New Roman"/>
                <w:color w:val="000000"/>
                <w:sz w:val="24"/>
              </w:rPr>
              <w:t>)</w:t>
            </w:r>
          </w:p>
          <w:p>
            <w:pPr>
              <w:spacing w:line="600" w:lineRule="exact"/>
              <w:ind w:firstLine="482" w:firstLineChars="200"/>
              <w:rPr>
                <w:rFonts w:ascii="Times New Roman" w:hAnsi="Times New Roman"/>
                <w:b/>
                <w:color w:val="000000"/>
                <w:sz w:val="24"/>
              </w:rPr>
            </w:pPr>
            <w:r>
              <w:rPr>
                <w:rFonts w:ascii="Times New Roman" w:hAnsi="Times New Roman"/>
                <w:b/>
                <w:color w:val="000000"/>
                <w:sz w:val="24"/>
              </w:rPr>
              <w:t>1、环境空气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（1）评价因子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根据《环境影响评价技术导则 大气环境》（HJ2.2—2018）要求，基于本项目特点，以及评价区域环境质量特征和当地环境管理要求，选取环境《空气质量标准》（GB3095-1996）中基本项目评价因子，选取评价范围内与本项目相关的有环境质量标准的评价因子作为其他评价因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本项目评价因子：SO</w:t>
            </w:r>
            <w:r>
              <w:rPr>
                <w:sz w:val="24"/>
                <w:szCs w:val="22"/>
                <w:vertAlign w:val="subscript"/>
              </w:rPr>
              <w:t>2</w:t>
            </w:r>
            <w:r>
              <w:rPr>
                <w:sz w:val="24"/>
                <w:szCs w:val="22"/>
              </w:rPr>
              <w:t>、NO</w:t>
            </w:r>
            <w:r>
              <w:rPr>
                <w:sz w:val="24"/>
                <w:szCs w:val="22"/>
                <w:vertAlign w:val="subscript"/>
              </w:rPr>
              <w:t>2</w:t>
            </w:r>
            <w:r>
              <w:rPr>
                <w:sz w:val="24"/>
                <w:szCs w:val="22"/>
              </w:rPr>
              <w:t>、PM</w:t>
            </w:r>
            <w:r>
              <w:rPr>
                <w:sz w:val="24"/>
                <w:szCs w:val="22"/>
                <w:vertAlign w:val="subscript"/>
              </w:rPr>
              <w:t>10</w:t>
            </w:r>
            <w:r>
              <w:rPr>
                <w:sz w:val="24"/>
                <w:szCs w:val="22"/>
              </w:rPr>
              <w:t>、PM</w:t>
            </w:r>
            <w:r>
              <w:rPr>
                <w:sz w:val="24"/>
                <w:szCs w:val="22"/>
                <w:vertAlign w:val="subscript"/>
              </w:rPr>
              <w:t>2.5</w:t>
            </w:r>
            <w:r>
              <w:rPr>
                <w:sz w:val="24"/>
                <w:szCs w:val="22"/>
              </w:rPr>
              <w:t>、CO、O</w:t>
            </w:r>
            <w:r>
              <w:rPr>
                <w:sz w:val="24"/>
                <w:szCs w:val="22"/>
                <w:vertAlign w:val="subscript"/>
              </w:rPr>
              <w:t>3</w:t>
            </w:r>
            <w:r>
              <w:rPr>
                <w:sz w:val="24"/>
                <w:szCs w:val="22"/>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（2）数据来源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基本评价因子采用中国空气质量在线监测分析平台发布的全国367个城市的AQI、PM</w:t>
            </w:r>
            <w:r>
              <w:rPr>
                <w:sz w:val="24"/>
                <w:szCs w:val="22"/>
                <w:vertAlign w:val="subscript"/>
              </w:rPr>
              <w:t>2.5</w:t>
            </w:r>
            <w:r>
              <w:rPr>
                <w:sz w:val="24"/>
                <w:szCs w:val="22"/>
              </w:rPr>
              <w:t>、PM</w:t>
            </w:r>
            <w:r>
              <w:rPr>
                <w:sz w:val="24"/>
                <w:szCs w:val="22"/>
                <w:vertAlign w:val="subscript"/>
              </w:rPr>
              <w:t>10</w:t>
            </w:r>
            <w:r>
              <w:rPr>
                <w:sz w:val="24"/>
                <w:szCs w:val="22"/>
              </w:rPr>
              <w:t>、S0</w:t>
            </w:r>
            <w:r>
              <w:rPr>
                <w:sz w:val="24"/>
                <w:szCs w:val="22"/>
                <w:vertAlign w:val="subscript"/>
              </w:rPr>
              <w:t>2</w:t>
            </w:r>
            <w:r>
              <w:rPr>
                <w:sz w:val="24"/>
                <w:szCs w:val="22"/>
              </w:rPr>
              <w:t>、N0</w:t>
            </w:r>
            <w:r>
              <w:rPr>
                <w:sz w:val="24"/>
                <w:szCs w:val="22"/>
                <w:vertAlign w:val="subscript"/>
              </w:rPr>
              <w:t>2</w:t>
            </w:r>
            <w:r>
              <w:rPr>
                <w:sz w:val="24"/>
                <w:szCs w:val="22"/>
              </w:rPr>
              <w:t>、O</w:t>
            </w:r>
            <w:r>
              <w:rPr>
                <w:sz w:val="24"/>
                <w:szCs w:val="22"/>
                <w:vertAlign w:val="subscript"/>
              </w:rPr>
              <w:t>3</w:t>
            </w:r>
            <w:r>
              <w:rPr>
                <w:sz w:val="24"/>
                <w:szCs w:val="22"/>
              </w:rPr>
              <w:t>、CO、温度、湿度、风级、风向、卫星云图等监测数据的统计结果，进行分析。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（3）评价内容</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rFonts w:hint="eastAsia"/>
                <w:sz w:val="24"/>
                <w:szCs w:val="22"/>
              </w:rPr>
              <w:t>①</w:t>
            </w:r>
            <w:r>
              <w:rPr>
                <w:sz w:val="24"/>
                <w:szCs w:val="22"/>
              </w:rPr>
              <w:t>对项目所在区域城市环境空气质量达标情况进行判断；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rFonts w:hint="eastAsia"/>
                <w:sz w:val="24"/>
                <w:szCs w:val="22"/>
              </w:rPr>
              <w:t>②</w:t>
            </w:r>
            <w:r>
              <w:rPr>
                <w:sz w:val="24"/>
                <w:szCs w:val="22"/>
              </w:rPr>
              <w:t>对于长期监测数据的现状评价内容，按 HJ 663中的统计方法对各污染物的年评价指标进行环境质量现状评价。对于超标的污染物，计算其超标倍数和超标率。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（4）评价方法</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环境空气质量现状评价方法采用统计监测浓度范围，同时计算其超标率及最大值占标率。单因子最大值占标率公式如下：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Pi=Ci/C0×100%</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式中：Pi——i污染物最大值占标率；</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Ci——i污染物的实测浓度（mg/m</w:t>
            </w:r>
            <w:r>
              <w:rPr>
                <w:sz w:val="24"/>
                <w:szCs w:val="22"/>
                <w:vertAlign w:val="superscript"/>
              </w:rPr>
              <w:t>3</w:t>
            </w:r>
            <w:r>
              <w:rPr>
                <w:sz w:val="24"/>
                <w:szCs w:val="22"/>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C0——i污染物的评价标准值（mg/m</w:t>
            </w:r>
            <w:r>
              <w:rPr>
                <w:sz w:val="24"/>
                <w:szCs w:val="22"/>
                <w:vertAlign w:val="superscript"/>
              </w:rPr>
              <w:t>3</w:t>
            </w:r>
            <w:r>
              <w:rPr>
                <w:sz w:val="24"/>
                <w:szCs w:val="22"/>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（5）区域环境空气质量达标判定</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sz w:val="24"/>
                <w:szCs w:val="22"/>
              </w:rPr>
            </w:pPr>
            <w:r>
              <w:rPr>
                <w:sz w:val="24"/>
                <w:szCs w:val="22"/>
              </w:rPr>
              <w:t>本项目选取2019年作为评价基准年，获取连续1年中365个日均值数据，每月至少有30个有效数据（其中2月有28个），数据有效性满足GB3095-1996和HJ 663中关于数据统计的有效性规定，经统计分析环境质量达标区判定结果如下：</w:t>
            </w:r>
          </w:p>
          <w:p>
            <w:pPr>
              <w:bidi w:val="0"/>
              <w:rPr>
                <w:rFonts w:hint="eastAsia" w:ascii="黑体" w:hAnsi="黑体" w:eastAsia="黑体" w:cs="黑体"/>
                <w:szCs w:val="22"/>
                <w:lang w:val="en-US" w:eastAsia="zh-CN"/>
              </w:rPr>
            </w:pPr>
            <w:r>
              <w:rPr>
                <w:rFonts w:hint="eastAsia"/>
                <w:lang w:val="en-US" w:eastAsia="zh-CN"/>
              </w:rPr>
              <w:t>表9   区域环境质量达标区判定结果    单位：μg/m3(CO为mg/m</w:t>
            </w:r>
            <w:r>
              <w:rPr>
                <w:rFonts w:hint="eastAsia"/>
                <w:vertAlign w:val="superscript"/>
                <w:lang w:val="en-US" w:eastAsia="zh-CN"/>
              </w:rPr>
              <w:t>3</w:t>
            </w:r>
            <w:r>
              <w:rPr>
                <w:rFonts w:hint="eastAsia"/>
                <w:lang w:val="en-US" w:eastAsia="zh-CN"/>
              </w:rPr>
              <w:t>)</w:t>
            </w:r>
          </w:p>
          <w:tbl>
            <w:tblPr>
              <w:tblStyle w:val="2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1711"/>
              <w:gridCol w:w="1275"/>
              <w:gridCol w:w="1409"/>
              <w:gridCol w:w="1409"/>
              <w:gridCol w:w="1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650" w:type="pct"/>
                  <w:noWrap w:val="0"/>
                  <w:tcMar>
                    <w:top w:w="15" w:type="dxa"/>
                    <w:left w:w="108" w:type="dxa"/>
                    <w:bottom w:w="15" w:type="dxa"/>
                    <w:right w:w="108" w:type="dxa"/>
                  </w:tcMar>
                  <w:vAlign w:val="center"/>
                </w:tcPr>
                <w:p>
                  <w:pPr>
                    <w:pStyle w:val="10"/>
                    <w:bidi w:val="0"/>
                  </w:pPr>
                  <w:r>
                    <w:t>污染物</w:t>
                  </w:r>
                </w:p>
              </w:tc>
              <w:tc>
                <w:tcPr>
                  <w:tcW w:w="1031" w:type="pct"/>
                  <w:noWrap w:val="0"/>
                  <w:tcMar>
                    <w:top w:w="15" w:type="dxa"/>
                    <w:left w:w="108" w:type="dxa"/>
                    <w:bottom w:w="15" w:type="dxa"/>
                    <w:right w:w="108" w:type="dxa"/>
                  </w:tcMar>
                  <w:vAlign w:val="center"/>
                </w:tcPr>
                <w:p>
                  <w:pPr>
                    <w:pStyle w:val="10"/>
                    <w:bidi w:val="0"/>
                  </w:pPr>
                  <w:r>
                    <w:t>评价指标</w:t>
                  </w:r>
                </w:p>
              </w:tc>
              <w:tc>
                <w:tcPr>
                  <w:tcW w:w="768" w:type="pct"/>
                  <w:noWrap w:val="0"/>
                  <w:tcMar>
                    <w:top w:w="15" w:type="dxa"/>
                    <w:left w:w="108" w:type="dxa"/>
                    <w:bottom w:w="15" w:type="dxa"/>
                    <w:right w:w="108" w:type="dxa"/>
                  </w:tcMar>
                  <w:vAlign w:val="center"/>
                </w:tcPr>
                <w:p>
                  <w:pPr>
                    <w:pStyle w:val="10"/>
                    <w:bidi w:val="0"/>
                  </w:pPr>
                  <w:r>
                    <w:t>现状浓度</w:t>
                  </w:r>
                </w:p>
              </w:tc>
              <w:tc>
                <w:tcPr>
                  <w:tcW w:w="849" w:type="pct"/>
                  <w:noWrap w:val="0"/>
                  <w:tcMar>
                    <w:top w:w="15" w:type="dxa"/>
                    <w:left w:w="108" w:type="dxa"/>
                    <w:bottom w:w="15" w:type="dxa"/>
                    <w:right w:w="108" w:type="dxa"/>
                  </w:tcMar>
                  <w:vAlign w:val="center"/>
                </w:tcPr>
                <w:p>
                  <w:pPr>
                    <w:pStyle w:val="10"/>
                    <w:bidi w:val="0"/>
                  </w:pPr>
                  <w:r>
                    <w:t>标准值</w:t>
                  </w:r>
                </w:p>
              </w:tc>
              <w:tc>
                <w:tcPr>
                  <w:tcW w:w="849" w:type="pct"/>
                  <w:noWrap w:val="0"/>
                  <w:tcMar>
                    <w:top w:w="15" w:type="dxa"/>
                    <w:left w:w="108" w:type="dxa"/>
                    <w:bottom w:w="15" w:type="dxa"/>
                    <w:right w:w="108" w:type="dxa"/>
                  </w:tcMar>
                  <w:vAlign w:val="center"/>
                </w:tcPr>
                <w:p>
                  <w:pPr>
                    <w:pStyle w:val="10"/>
                    <w:bidi w:val="0"/>
                  </w:pPr>
                  <w:r>
                    <w:t>占标率</w:t>
                  </w:r>
                </w:p>
              </w:tc>
              <w:tc>
                <w:tcPr>
                  <w:tcW w:w="850" w:type="pct"/>
                  <w:noWrap w:val="0"/>
                  <w:tcMar>
                    <w:top w:w="15" w:type="dxa"/>
                    <w:left w:w="108" w:type="dxa"/>
                    <w:bottom w:w="15" w:type="dxa"/>
                    <w:right w:w="108" w:type="dxa"/>
                  </w:tcMar>
                  <w:vAlign w:val="center"/>
                </w:tcPr>
                <w:p>
                  <w:pPr>
                    <w:pStyle w:val="10"/>
                    <w:bidi w:val="0"/>
                  </w:pPr>
                  <w: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0"/>
                    <w:bidi w:val="0"/>
                  </w:pPr>
                  <w:r>
                    <w:rPr>
                      <w:rFonts w:hint="eastAsia"/>
                    </w:rPr>
                    <w:t>二氧化硫</w:t>
                  </w:r>
                </w:p>
              </w:tc>
              <w:tc>
                <w:tcPr>
                  <w:tcW w:w="1031" w:type="pct"/>
                  <w:noWrap w:val="0"/>
                  <w:tcMar>
                    <w:top w:w="15" w:type="dxa"/>
                    <w:left w:w="108" w:type="dxa"/>
                    <w:bottom w:w="15" w:type="dxa"/>
                    <w:right w:w="108" w:type="dxa"/>
                  </w:tcMar>
                  <w:vAlign w:val="center"/>
                </w:tcPr>
                <w:p>
                  <w:pPr>
                    <w:pStyle w:val="10"/>
                    <w:bidi w:val="0"/>
                  </w:pPr>
                  <w:r>
                    <w:rPr>
                      <w:rFonts w:hint="eastAsia"/>
                    </w:rPr>
                    <w:t>年平均质量浓度</w:t>
                  </w:r>
                </w:p>
              </w:tc>
              <w:tc>
                <w:tcPr>
                  <w:tcW w:w="768" w:type="pct"/>
                  <w:noWrap w:val="0"/>
                  <w:tcMar>
                    <w:top w:w="15" w:type="dxa"/>
                    <w:left w:w="108" w:type="dxa"/>
                    <w:bottom w:w="15" w:type="dxa"/>
                    <w:right w:w="108" w:type="dxa"/>
                  </w:tcMar>
                  <w:vAlign w:val="center"/>
                </w:tcPr>
                <w:p>
                  <w:pPr>
                    <w:pStyle w:val="10"/>
                    <w:bidi w:val="0"/>
                  </w:pPr>
                  <w:r>
                    <w:t>15</w:t>
                  </w:r>
                </w:p>
              </w:tc>
              <w:tc>
                <w:tcPr>
                  <w:tcW w:w="849" w:type="pct"/>
                  <w:noWrap w:val="0"/>
                  <w:tcMar>
                    <w:top w:w="15" w:type="dxa"/>
                    <w:left w:w="108" w:type="dxa"/>
                    <w:bottom w:w="15" w:type="dxa"/>
                    <w:right w:w="108" w:type="dxa"/>
                  </w:tcMar>
                  <w:vAlign w:val="center"/>
                </w:tcPr>
                <w:p>
                  <w:pPr>
                    <w:pStyle w:val="10"/>
                    <w:bidi w:val="0"/>
                  </w:pPr>
                  <w:r>
                    <w:t>60</w:t>
                  </w:r>
                </w:p>
              </w:tc>
              <w:tc>
                <w:tcPr>
                  <w:tcW w:w="849" w:type="pct"/>
                  <w:noWrap w:val="0"/>
                  <w:tcMar>
                    <w:top w:w="15" w:type="dxa"/>
                    <w:left w:w="108" w:type="dxa"/>
                    <w:bottom w:w="15" w:type="dxa"/>
                    <w:right w:w="108" w:type="dxa"/>
                  </w:tcMar>
                  <w:vAlign w:val="center"/>
                </w:tcPr>
                <w:p>
                  <w:pPr>
                    <w:pStyle w:val="10"/>
                    <w:bidi w:val="0"/>
                  </w:pPr>
                  <w:r>
                    <w:rPr>
                      <w:rFonts w:hint="eastAsia"/>
                    </w:rPr>
                    <w:t>2</w:t>
                  </w:r>
                  <w:r>
                    <w:t>5%</w:t>
                  </w:r>
                </w:p>
              </w:tc>
              <w:tc>
                <w:tcPr>
                  <w:tcW w:w="850" w:type="pct"/>
                  <w:noWrap w:val="0"/>
                  <w:tcMar>
                    <w:top w:w="15" w:type="dxa"/>
                    <w:left w:w="108" w:type="dxa"/>
                    <w:bottom w:w="15" w:type="dxa"/>
                    <w:right w:w="108" w:type="dxa"/>
                  </w:tcMar>
                  <w:vAlign w:val="center"/>
                </w:tcPr>
                <w:p>
                  <w:pPr>
                    <w:pStyle w:val="10"/>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650" w:type="pct"/>
                  <w:vMerge w:val="continue"/>
                  <w:noWrap w:val="0"/>
                  <w:vAlign w:val="center"/>
                </w:tcPr>
                <w:p>
                  <w:pPr>
                    <w:pStyle w:val="10"/>
                    <w:bidi w:val="0"/>
                  </w:pPr>
                </w:p>
              </w:tc>
              <w:tc>
                <w:tcPr>
                  <w:tcW w:w="1031" w:type="pct"/>
                  <w:noWrap w:val="0"/>
                  <w:tcMar>
                    <w:top w:w="15" w:type="dxa"/>
                    <w:left w:w="108" w:type="dxa"/>
                    <w:bottom w:w="15" w:type="dxa"/>
                    <w:right w:w="108" w:type="dxa"/>
                  </w:tcMar>
                  <w:vAlign w:val="center"/>
                </w:tcPr>
                <w:p>
                  <w:pPr>
                    <w:pStyle w:val="10"/>
                    <w:bidi w:val="0"/>
                  </w:pPr>
                  <w:r>
                    <w:rPr>
                      <w:rFonts w:hint="eastAsia"/>
                    </w:rPr>
                    <w:t>日平均浓度</w:t>
                  </w:r>
                </w:p>
                <w:p>
                  <w:pPr>
                    <w:pStyle w:val="10"/>
                    <w:bidi w:val="0"/>
                  </w:pPr>
                  <w:r>
                    <w:rPr>
                      <w:rFonts w:hint="eastAsia"/>
                    </w:rPr>
                    <w:t>第98百分位数</w:t>
                  </w:r>
                </w:p>
              </w:tc>
              <w:tc>
                <w:tcPr>
                  <w:tcW w:w="768" w:type="pct"/>
                  <w:noWrap w:val="0"/>
                  <w:tcMar>
                    <w:top w:w="15" w:type="dxa"/>
                    <w:left w:w="108" w:type="dxa"/>
                    <w:bottom w:w="15" w:type="dxa"/>
                    <w:right w:w="108" w:type="dxa"/>
                  </w:tcMar>
                  <w:vAlign w:val="center"/>
                </w:tcPr>
                <w:p>
                  <w:pPr>
                    <w:pStyle w:val="10"/>
                    <w:bidi w:val="0"/>
                  </w:pPr>
                  <w:r>
                    <w:rPr>
                      <w:rFonts w:hint="eastAsia"/>
                    </w:rPr>
                    <w:t>30</w:t>
                  </w:r>
                </w:p>
              </w:tc>
              <w:tc>
                <w:tcPr>
                  <w:tcW w:w="849" w:type="pct"/>
                  <w:noWrap w:val="0"/>
                  <w:tcMar>
                    <w:top w:w="15" w:type="dxa"/>
                    <w:left w:w="108" w:type="dxa"/>
                    <w:bottom w:w="15" w:type="dxa"/>
                    <w:right w:w="108" w:type="dxa"/>
                  </w:tcMar>
                  <w:vAlign w:val="center"/>
                </w:tcPr>
                <w:p>
                  <w:pPr>
                    <w:pStyle w:val="10"/>
                    <w:bidi w:val="0"/>
                  </w:pPr>
                  <w:r>
                    <w:t>150</w:t>
                  </w:r>
                </w:p>
              </w:tc>
              <w:tc>
                <w:tcPr>
                  <w:tcW w:w="849" w:type="pct"/>
                  <w:noWrap w:val="0"/>
                  <w:tcMar>
                    <w:top w:w="15" w:type="dxa"/>
                    <w:left w:w="108" w:type="dxa"/>
                    <w:bottom w:w="15" w:type="dxa"/>
                    <w:right w:w="108" w:type="dxa"/>
                  </w:tcMar>
                  <w:vAlign w:val="center"/>
                </w:tcPr>
                <w:p>
                  <w:pPr>
                    <w:pStyle w:val="10"/>
                    <w:bidi w:val="0"/>
                  </w:pPr>
                  <w:r>
                    <w:rPr>
                      <w:rFonts w:hint="eastAsia"/>
                    </w:rPr>
                    <w:t>20</w:t>
                  </w:r>
                  <w:r>
                    <w:t>%</w:t>
                  </w:r>
                </w:p>
              </w:tc>
              <w:tc>
                <w:tcPr>
                  <w:tcW w:w="850" w:type="pct"/>
                  <w:noWrap w:val="0"/>
                  <w:tcMar>
                    <w:top w:w="15" w:type="dxa"/>
                    <w:left w:w="108" w:type="dxa"/>
                    <w:bottom w:w="15" w:type="dxa"/>
                    <w:right w:w="108" w:type="dxa"/>
                  </w:tcMar>
                  <w:vAlign w:val="center"/>
                </w:tcPr>
                <w:p>
                  <w:pPr>
                    <w:pStyle w:val="10"/>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0"/>
                    <w:bidi w:val="0"/>
                  </w:pPr>
                  <w:r>
                    <w:rPr>
                      <w:rFonts w:hint="eastAsia"/>
                    </w:rPr>
                    <w:t>二氧化氮</w:t>
                  </w:r>
                </w:p>
              </w:tc>
              <w:tc>
                <w:tcPr>
                  <w:tcW w:w="1031" w:type="pct"/>
                  <w:noWrap w:val="0"/>
                  <w:tcMar>
                    <w:top w:w="15" w:type="dxa"/>
                    <w:left w:w="108" w:type="dxa"/>
                    <w:bottom w:w="15" w:type="dxa"/>
                    <w:right w:w="108" w:type="dxa"/>
                  </w:tcMar>
                  <w:vAlign w:val="center"/>
                </w:tcPr>
                <w:p>
                  <w:pPr>
                    <w:pStyle w:val="10"/>
                    <w:bidi w:val="0"/>
                  </w:pPr>
                  <w:r>
                    <w:rPr>
                      <w:rFonts w:hint="eastAsia"/>
                    </w:rPr>
                    <w:t>年平均质量浓度</w:t>
                  </w:r>
                </w:p>
              </w:tc>
              <w:tc>
                <w:tcPr>
                  <w:tcW w:w="768" w:type="pct"/>
                  <w:noWrap w:val="0"/>
                  <w:tcMar>
                    <w:top w:w="15" w:type="dxa"/>
                    <w:left w:w="108" w:type="dxa"/>
                    <w:bottom w:w="15" w:type="dxa"/>
                    <w:right w:w="108" w:type="dxa"/>
                  </w:tcMar>
                  <w:vAlign w:val="center"/>
                </w:tcPr>
                <w:p>
                  <w:pPr>
                    <w:pStyle w:val="10"/>
                    <w:bidi w:val="0"/>
                  </w:pPr>
                  <w:r>
                    <w:t>34</w:t>
                  </w:r>
                </w:p>
              </w:tc>
              <w:tc>
                <w:tcPr>
                  <w:tcW w:w="849" w:type="pct"/>
                  <w:noWrap w:val="0"/>
                  <w:tcMar>
                    <w:top w:w="15" w:type="dxa"/>
                    <w:left w:w="108" w:type="dxa"/>
                    <w:bottom w:w="15" w:type="dxa"/>
                    <w:right w:w="108" w:type="dxa"/>
                  </w:tcMar>
                  <w:vAlign w:val="center"/>
                </w:tcPr>
                <w:p>
                  <w:pPr>
                    <w:pStyle w:val="10"/>
                    <w:bidi w:val="0"/>
                  </w:pPr>
                  <w:r>
                    <w:t>40</w:t>
                  </w:r>
                </w:p>
              </w:tc>
              <w:tc>
                <w:tcPr>
                  <w:tcW w:w="849" w:type="pct"/>
                  <w:noWrap w:val="0"/>
                  <w:tcMar>
                    <w:top w:w="15" w:type="dxa"/>
                    <w:left w:w="108" w:type="dxa"/>
                    <w:bottom w:w="15" w:type="dxa"/>
                    <w:right w:w="108" w:type="dxa"/>
                  </w:tcMar>
                  <w:vAlign w:val="center"/>
                </w:tcPr>
                <w:p>
                  <w:pPr>
                    <w:pStyle w:val="10"/>
                    <w:bidi w:val="0"/>
                  </w:pPr>
                  <w:r>
                    <w:rPr>
                      <w:rFonts w:hint="eastAsia"/>
                    </w:rPr>
                    <w:t>85</w:t>
                  </w:r>
                  <w:r>
                    <w:t>%</w:t>
                  </w:r>
                </w:p>
              </w:tc>
              <w:tc>
                <w:tcPr>
                  <w:tcW w:w="850" w:type="pct"/>
                  <w:noWrap w:val="0"/>
                  <w:tcMar>
                    <w:top w:w="15" w:type="dxa"/>
                    <w:left w:w="108" w:type="dxa"/>
                    <w:bottom w:w="15" w:type="dxa"/>
                    <w:right w:w="108" w:type="dxa"/>
                  </w:tcMar>
                  <w:vAlign w:val="center"/>
                </w:tcPr>
                <w:p>
                  <w:pPr>
                    <w:pStyle w:val="10"/>
                    <w:bidi w:val="0"/>
                    <w:rPr>
                      <w:rFonts w:hint="eastAsia"/>
                    </w:rPr>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continue"/>
                  <w:noWrap w:val="0"/>
                  <w:vAlign w:val="center"/>
                </w:tcPr>
                <w:p>
                  <w:pPr>
                    <w:pStyle w:val="10"/>
                    <w:bidi w:val="0"/>
                  </w:pPr>
                </w:p>
              </w:tc>
              <w:tc>
                <w:tcPr>
                  <w:tcW w:w="1031" w:type="pct"/>
                  <w:noWrap w:val="0"/>
                  <w:tcMar>
                    <w:top w:w="15" w:type="dxa"/>
                    <w:left w:w="108" w:type="dxa"/>
                    <w:bottom w:w="15" w:type="dxa"/>
                    <w:right w:w="108" w:type="dxa"/>
                  </w:tcMar>
                  <w:vAlign w:val="center"/>
                </w:tcPr>
                <w:p>
                  <w:pPr>
                    <w:pStyle w:val="10"/>
                    <w:bidi w:val="0"/>
                  </w:pPr>
                  <w:r>
                    <w:rPr>
                      <w:rFonts w:hint="eastAsia"/>
                    </w:rPr>
                    <w:t>日平均浓度</w:t>
                  </w:r>
                </w:p>
                <w:p>
                  <w:pPr>
                    <w:pStyle w:val="10"/>
                    <w:bidi w:val="0"/>
                  </w:pPr>
                  <w:r>
                    <w:rPr>
                      <w:rFonts w:hint="eastAsia"/>
                    </w:rPr>
                    <w:t>第98百分位数</w:t>
                  </w:r>
                </w:p>
              </w:tc>
              <w:tc>
                <w:tcPr>
                  <w:tcW w:w="768" w:type="pct"/>
                  <w:noWrap w:val="0"/>
                  <w:tcMar>
                    <w:top w:w="15" w:type="dxa"/>
                    <w:left w:w="108" w:type="dxa"/>
                    <w:bottom w:w="15" w:type="dxa"/>
                    <w:right w:w="108" w:type="dxa"/>
                  </w:tcMar>
                  <w:vAlign w:val="center"/>
                </w:tcPr>
                <w:p>
                  <w:pPr>
                    <w:pStyle w:val="10"/>
                    <w:bidi w:val="0"/>
                  </w:pPr>
                  <w:r>
                    <w:rPr>
                      <w:rFonts w:hint="eastAsia"/>
                    </w:rPr>
                    <w:t>65</w:t>
                  </w:r>
                </w:p>
              </w:tc>
              <w:tc>
                <w:tcPr>
                  <w:tcW w:w="849" w:type="pct"/>
                  <w:noWrap w:val="0"/>
                  <w:tcMar>
                    <w:top w:w="15" w:type="dxa"/>
                    <w:left w:w="108" w:type="dxa"/>
                    <w:bottom w:w="15" w:type="dxa"/>
                    <w:right w:w="108" w:type="dxa"/>
                  </w:tcMar>
                  <w:vAlign w:val="center"/>
                </w:tcPr>
                <w:p>
                  <w:pPr>
                    <w:pStyle w:val="10"/>
                    <w:bidi w:val="0"/>
                  </w:pPr>
                  <w:r>
                    <w:t>80</w:t>
                  </w:r>
                </w:p>
              </w:tc>
              <w:tc>
                <w:tcPr>
                  <w:tcW w:w="849" w:type="pct"/>
                  <w:noWrap w:val="0"/>
                  <w:tcMar>
                    <w:top w:w="15" w:type="dxa"/>
                    <w:left w:w="108" w:type="dxa"/>
                    <w:bottom w:w="15" w:type="dxa"/>
                    <w:right w:w="108" w:type="dxa"/>
                  </w:tcMar>
                  <w:vAlign w:val="center"/>
                </w:tcPr>
                <w:p>
                  <w:pPr>
                    <w:pStyle w:val="10"/>
                    <w:bidi w:val="0"/>
                  </w:pPr>
                  <w:r>
                    <w:rPr>
                      <w:rFonts w:hint="eastAsia"/>
                    </w:rPr>
                    <w:t>81.2</w:t>
                  </w:r>
                  <w:r>
                    <w:t>%</w:t>
                  </w:r>
                </w:p>
              </w:tc>
              <w:tc>
                <w:tcPr>
                  <w:tcW w:w="850" w:type="pct"/>
                  <w:noWrap w:val="0"/>
                  <w:tcMar>
                    <w:top w:w="15" w:type="dxa"/>
                    <w:left w:w="108" w:type="dxa"/>
                    <w:bottom w:w="15" w:type="dxa"/>
                    <w:right w:w="108" w:type="dxa"/>
                  </w:tcMar>
                  <w:vAlign w:val="center"/>
                </w:tcPr>
                <w:p>
                  <w:pPr>
                    <w:pStyle w:val="10"/>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0"/>
                    <w:bidi w:val="0"/>
                  </w:pPr>
                  <w:r>
                    <w:t>PM2.5</w:t>
                  </w:r>
                </w:p>
              </w:tc>
              <w:tc>
                <w:tcPr>
                  <w:tcW w:w="1031" w:type="pct"/>
                  <w:noWrap w:val="0"/>
                  <w:tcMar>
                    <w:top w:w="15" w:type="dxa"/>
                    <w:left w:w="108" w:type="dxa"/>
                    <w:bottom w:w="15" w:type="dxa"/>
                    <w:right w:w="108" w:type="dxa"/>
                  </w:tcMar>
                  <w:vAlign w:val="center"/>
                </w:tcPr>
                <w:p>
                  <w:pPr>
                    <w:pStyle w:val="10"/>
                    <w:bidi w:val="0"/>
                  </w:pPr>
                  <w:r>
                    <w:rPr>
                      <w:rFonts w:hint="eastAsia"/>
                    </w:rPr>
                    <w:t>年平均质量浓度</w:t>
                  </w:r>
                </w:p>
              </w:tc>
              <w:tc>
                <w:tcPr>
                  <w:tcW w:w="768" w:type="pct"/>
                  <w:noWrap w:val="0"/>
                  <w:tcMar>
                    <w:top w:w="15" w:type="dxa"/>
                    <w:left w:w="108" w:type="dxa"/>
                    <w:bottom w:w="15" w:type="dxa"/>
                    <w:right w:w="108" w:type="dxa"/>
                  </w:tcMar>
                  <w:vAlign w:val="center"/>
                </w:tcPr>
                <w:p>
                  <w:pPr>
                    <w:pStyle w:val="10"/>
                    <w:bidi w:val="0"/>
                  </w:pPr>
                  <w:r>
                    <w:rPr>
                      <w:rFonts w:hint="eastAsia"/>
                    </w:rPr>
                    <w:t>59</w:t>
                  </w:r>
                </w:p>
              </w:tc>
              <w:tc>
                <w:tcPr>
                  <w:tcW w:w="849" w:type="pct"/>
                  <w:noWrap w:val="0"/>
                  <w:tcMar>
                    <w:top w:w="15" w:type="dxa"/>
                    <w:left w:w="108" w:type="dxa"/>
                    <w:bottom w:w="15" w:type="dxa"/>
                    <w:right w:w="108" w:type="dxa"/>
                  </w:tcMar>
                  <w:vAlign w:val="center"/>
                </w:tcPr>
                <w:p>
                  <w:pPr>
                    <w:pStyle w:val="10"/>
                    <w:bidi w:val="0"/>
                  </w:pPr>
                  <w:r>
                    <w:t>35</w:t>
                  </w:r>
                </w:p>
              </w:tc>
              <w:tc>
                <w:tcPr>
                  <w:tcW w:w="849" w:type="pct"/>
                  <w:noWrap w:val="0"/>
                  <w:tcMar>
                    <w:top w:w="15" w:type="dxa"/>
                    <w:left w:w="108" w:type="dxa"/>
                    <w:bottom w:w="15" w:type="dxa"/>
                    <w:right w:w="108" w:type="dxa"/>
                  </w:tcMar>
                  <w:vAlign w:val="center"/>
                </w:tcPr>
                <w:p>
                  <w:pPr>
                    <w:pStyle w:val="10"/>
                    <w:bidi w:val="0"/>
                  </w:pPr>
                  <w:r>
                    <w:rPr>
                      <w:rFonts w:hint="eastAsia"/>
                    </w:rPr>
                    <w:t>168.6</w:t>
                  </w:r>
                  <w:r>
                    <w:t>%</w:t>
                  </w:r>
                </w:p>
              </w:tc>
              <w:tc>
                <w:tcPr>
                  <w:tcW w:w="850" w:type="pct"/>
                  <w:noWrap w:val="0"/>
                  <w:tcMar>
                    <w:top w:w="15" w:type="dxa"/>
                    <w:left w:w="108" w:type="dxa"/>
                    <w:bottom w:w="15" w:type="dxa"/>
                    <w:right w:w="108" w:type="dxa"/>
                  </w:tcMar>
                  <w:vAlign w:val="center"/>
                </w:tcPr>
                <w:p>
                  <w:pPr>
                    <w:pStyle w:val="10"/>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50" w:type="pct"/>
                  <w:vMerge w:val="continue"/>
                  <w:noWrap w:val="0"/>
                  <w:vAlign w:val="center"/>
                </w:tcPr>
                <w:p>
                  <w:pPr>
                    <w:pStyle w:val="10"/>
                    <w:bidi w:val="0"/>
                  </w:pPr>
                </w:p>
              </w:tc>
              <w:tc>
                <w:tcPr>
                  <w:tcW w:w="1031" w:type="pct"/>
                  <w:noWrap w:val="0"/>
                  <w:tcMar>
                    <w:top w:w="15" w:type="dxa"/>
                    <w:left w:w="108" w:type="dxa"/>
                    <w:bottom w:w="15" w:type="dxa"/>
                    <w:right w:w="108" w:type="dxa"/>
                  </w:tcMar>
                  <w:vAlign w:val="center"/>
                </w:tcPr>
                <w:p>
                  <w:pPr>
                    <w:pStyle w:val="10"/>
                    <w:bidi w:val="0"/>
                  </w:pPr>
                  <w:r>
                    <w:rPr>
                      <w:rFonts w:hint="eastAsia"/>
                    </w:rPr>
                    <w:t>日平均浓度第95百分位数</w:t>
                  </w:r>
                </w:p>
              </w:tc>
              <w:tc>
                <w:tcPr>
                  <w:tcW w:w="768" w:type="pct"/>
                  <w:noWrap w:val="0"/>
                  <w:tcMar>
                    <w:top w:w="15" w:type="dxa"/>
                    <w:left w:w="108" w:type="dxa"/>
                    <w:bottom w:w="15" w:type="dxa"/>
                    <w:right w:w="108" w:type="dxa"/>
                  </w:tcMar>
                  <w:vAlign w:val="center"/>
                </w:tcPr>
                <w:p>
                  <w:pPr>
                    <w:pStyle w:val="10"/>
                    <w:bidi w:val="0"/>
                  </w:pPr>
                  <w:r>
                    <w:rPr>
                      <w:rFonts w:hint="eastAsia"/>
                    </w:rPr>
                    <w:t>152</w:t>
                  </w:r>
                </w:p>
              </w:tc>
              <w:tc>
                <w:tcPr>
                  <w:tcW w:w="849" w:type="pct"/>
                  <w:noWrap w:val="0"/>
                  <w:tcMar>
                    <w:top w:w="15" w:type="dxa"/>
                    <w:left w:w="108" w:type="dxa"/>
                    <w:bottom w:w="15" w:type="dxa"/>
                    <w:right w:w="108" w:type="dxa"/>
                  </w:tcMar>
                  <w:vAlign w:val="center"/>
                </w:tcPr>
                <w:p>
                  <w:pPr>
                    <w:pStyle w:val="10"/>
                    <w:bidi w:val="0"/>
                  </w:pPr>
                  <w:r>
                    <w:t>75</w:t>
                  </w:r>
                </w:p>
              </w:tc>
              <w:tc>
                <w:tcPr>
                  <w:tcW w:w="849" w:type="pct"/>
                  <w:noWrap w:val="0"/>
                  <w:tcMar>
                    <w:top w:w="15" w:type="dxa"/>
                    <w:left w:w="108" w:type="dxa"/>
                    <w:bottom w:w="15" w:type="dxa"/>
                    <w:right w:w="108" w:type="dxa"/>
                  </w:tcMar>
                  <w:vAlign w:val="center"/>
                </w:tcPr>
                <w:p>
                  <w:pPr>
                    <w:pStyle w:val="10"/>
                    <w:bidi w:val="0"/>
                  </w:pPr>
                  <w:r>
                    <w:rPr>
                      <w:rFonts w:hint="eastAsia"/>
                    </w:rPr>
                    <w:t>202.7</w:t>
                  </w:r>
                  <w:r>
                    <w:t>%</w:t>
                  </w:r>
                </w:p>
              </w:tc>
              <w:tc>
                <w:tcPr>
                  <w:tcW w:w="850" w:type="pct"/>
                  <w:noWrap w:val="0"/>
                  <w:tcMar>
                    <w:top w:w="15" w:type="dxa"/>
                    <w:left w:w="108" w:type="dxa"/>
                    <w:bottom w:w="15" w:type="dxa"/>
                    <w:right w:w="108" w:type="dxa"/>
                  </w:tcMar>
                  <w:vAlign w:val="center"/>
                </w:tcPr>
                <w:p>
                  <w:pPr>
                    <w:pStyle w:val="10"/>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restart"/>
                  <w:noWrap w:val="0"/>
                  <w:tcMar>
                    <w:top w:w="15" w:type="dxa"/>
                    <w:left w:w="108" w:type="dxa"/>
                    <w:bottom w:w="15" w:type="dxa"/>
                    <w:right w:w="108" w:type="dxa"/>
                  </w:tcMar>
                  <w:vAlign w:val="center"/>
                </w:tcPr>
                <w:p>
                  <w:pPr>
                    <w:pStyle w:val="10"/>
                    <w:bidi w:val="0"/>
                  </w:pPr>
                  <w:r>
                    <w:t>PM10</w:t>
                  </w:r>
                </w:p>
              </w:tc>
              <w:tc>
                <w:tcPr>
                  <w:tcW w:w="1031" w:type="pct"/>
                  <w:noWrap w:val="0"/>
                  <w:tcMar>
                    <w:top w:w="15" w:type="dxa"/>
                    <w:left w:w="108" w:type="dxa"/>
                    <w:bottom w:w="15" w:type="dxa"/>
                    <w:right w:w="108" w:type="dxa"/>
                  </w:tcMar>
                  <w:vAlign w:val="center"/>
                </w:tcPr>
                <w:p>
                  <w:pPr>
                    <w:pStyle w:val="10"/>
                    <w:bidi w:val="0"/>
                  </w:pPr>
                  <w:r>
                    <w:rPr>
                      <w:rFonts w:hint="eastAsia"/>
                    </w:rPr>
                    <w:t>年平均质量浓度</w:t>
                  </w:r>
                </w:p>
              </w:tc>
              <w:tc>
                <w:tcPr>
                  <w:tcW w:w="768" w:type="pct"/>
                  <w:noWrap w:val="0"/>
                  <w:tcMar>
                    <w:top w:w="15" w:type="dxa"/>
                    <w:left w:w="108" w:type="dxa"/>
                    <w:bottom w:w="15" w:type="dxa"/>
                    <w:right w:w="108" w:type="dxa"/>
                  </w:tcMar>
                  <w:vAlign w:val="center"/>
                </w:tcPr>
                <w:p>
                  <w:pPr>
                    <w:pStyle w:val="10"/>
                    <w:bidi w:val="0"/>
                  </w:pPr>
                  <w:r>
                    <w:rPr>
                      <w:rFonts w:hint="eastAsia"/>
                    </w:rPr>
                    <w:t>95</w:t>
                  </w:r>
                </w:p>
              </w:tc>
              <w:tc>
                <w:tcPr>
                  <w:tcW w:w="849" w:type="pct"/>
                  <w:noWrap w:val="0"/>
                  <w:tcMar>
                    <w:top w:w="15" w:type="dxa"/>
                    <w:left w:w="108" w:type="dxa"/>
                    <w:bottom w:w="15" w:type="dxa"/>
                    <w:right w:w="108" w:type="dxa"/>
                  </w:tcMar>
                  <w:vAlign w:val="center"/>
                </w:tcPr>
                <w:p>
                  <w:pPr>
                    <w:pStyle w:val="10"/>
                    <w:bidi w:val="0"/>
                  </w:pPr>
                  <w:r>
                    <w:t>70</w:t>
                  </w:r>
                </w:p>
              </w:tc>
              <w:tc>
                <w:tcPr>
                  <w:tcW w:w="849" w:type="pct"/>
                  <w:noWrap w:val="0"/>
                  <w:tcMar>
                    <w:top w:w="15" w:type="dxa"/>
                    <w:left w:w="108" w:type="dxa"/>
                    <w:bottom w:w="15" w:type="dxa"/>
                    <w:right w:w="108" w:type="dxa"/>
                  </w:tcMar>
                  <w:vAlign w:val="center"/>
                </w:tcPr>
                <w:p>
                  <w:pPr>
                    <w:pStyle w:val="10"/>
                    <w:bidi w:val="0"/>
                  </w:pPr>
                  <w:r>
                    <w:rPr>
                      <w:rFonts w:hint="eastAsia"/>
                    </w:rPr>
                    <w:t>135.7</w:t>
                  </w:r>
                  <w:r>
                    <w:t>%</w:t>
                  </w:r>
                </w:p>
              </w:tc>
              <w:tc>
                <w:tcPr>
                  <w:tcW w:w="850" w:type="pct"/>
                  <w:noWrap w:val="0"/>
                  <w:tcMar>
                    <w:top w:w="15" w:type="dxa"/>
                    <w:left w:w="108" w:type="dxa"/>
                    <w:bottom w:w="15" w:type="dxa"/>
                    <w:right w:w="108" w:type="dxa"/>
                  </w:tcMar>
                  <w:vAlign w:val="center"/>
                </w:tcPr>
                <w:p>
                  <w:pPr>
                    <w:pStyle w:val="10"/>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50" w:type="pct"/>
                  <w:vMerge w:val="continue"/>
                  <w:noWrap w:val="0"/>
                  <w:vAlign w:val="center"/>
                </w:tcPr>
                <w:p>
                  <w:pPr>
                    <w:pStyle w:val="10"/>
                    <w:bidi w:val="0"/>
                  </w:pPr>
                </w:p>
              </w:tc>
              <w:tc>
                <w:tcPr>
                  <w:tcW w:w="1031" w:type="pct"/>
                  <w:noWrap w:val="0"/>
                  <w:tcMar>
                    <w:top w:w="15" w:type="dxa"/>
                    <w:left w:w="108" w:type="dxa"/>
                    <w:bottom w:w="15" w:type="dxa"/>
                    <w:right w:w="108" w:type="dxa"/>
                  </w:tcMar>
                  <w:vAlign w:val="center"/>
                </w:tcPr>
                <w:p>
                  <w:pPr>
                    <w:pStyle w:val="10"/>
                    <w:bidi w:val="0"/>
                  </w:pPr>
                  <w:r>
                    <w:rPr>
                      <w:rFonts w:hint="eastAsia"/>
                    </w:rPr>
                    <w:t>日平均浓度</w:t>
                  </w:r>
                </w:p>
                <w:p>
                  <w:pPr>
                    <w:pStyle w:val="10"/>
                    <w:bidi w:val="0"/>
                  </w:pPr>
                  <w:r>
                    <w:rPr>
                      <w:rFonts w:hint="eastAsia"/>
                    </w:rPr>
                    <w:t>第95百分位数</w:t>
                  </w:r>
                </w:p>
              </w:tc>
              <w:tc>
                <w:tcPr>
                  <w:tcW w:w="768" w:type="pct"/>
                  <w:noWrap w:val="0"/>
                  <w:tcMar>
                    <w:top w:w="15" w:type="dxa"/>
                    <w:left w:w="108" w:type="dxa"/>
                    <w:bottom w:w="15" w:type="dxa"/>
                    <w:right w:w="108" w:type="dxa"/>
                  </w:tcMar>
                  <w:vAlign w:val="center"/>
                </w:tcPr>
                <w:p>
                  <w:pPr>
                    <w:pStyle w:val="10"/>
                    <w:bidi w:val="0"/>
                  </w:pPr>
                  <w:r>
                    <w:rPr>
                      <w:rFonts w:hint="eastAsia"/>
                    </w:rPr>
                    <w:t>200</w:t>
                  </w:r>
                </w:p>
              </w:tc>
              <w:tc>
                <w:tcPr>
                  <w:tcW w:w="849" w:type="pct"/>
                  <w:noWrap w:val="0"/>
                  <w:tcMar>
                    <w:top w:w="15" w:type="dxa"/>
                    <w:left w:w="108" w:type="dxa"/>
                    <w:bottom w:w="15" w:type="dxa"/>
                    <w:right w:w="108" w:type="dxa"/>
                  </w:tcMar>
                  <w:vAlign w:val="center"/>
                </w:tcPr>
                <w:p>
                  <w:pPr>
                    <w:pStyle w:val="10"/>
                    <w:bidi w:val="0"/>
                  </w:pPr>
                  <w:r>
                    <w:t>150</w:t>
                  </w:r>
                </w:p>
              </w:tc>
              <w:tc>
                <w:tcPr>
                  <w:tcW w:w="849" w:type="pct"/>
                  <w:noWrap w:val="0"/>
                  <w:tcMar>
                    <w:top w:w="15" w:type="dxa"/>
                    <w:left w:w="108" w:type="dxa"/>
                    <w:bottom w:w="15" w:type="dxa"/>
                    <w:right w:w="108" w:type="dxa"/>
                  </w:tcMar>
                  <w:vAlign w:val="center"/>
                </w:tcPr>
                <w:p>
                  <w:pPr>
                    <w:pStyle w:val="10"/>
                    <w:bidi w:val="0"/>
                  </w:pPr>
                  <w:r>
                    <w:rPr>
                      <w:rFonts w:hint="eastAsia"/>
                    </w:rPr>
                    <w:t>133.3</w:t>
                  </w:r>
                  <w:r>
                    <w:t>%</w:t>
                  </w:r>
                </w:p>
              </w:tc>
              <w:tc>
                <w:tcPr>
                  <w:tcW w:w="850" w:type="pct"/>
                  <w:noWrap w:val="0"/>
                  <w:tcMar>
                    <w:top w:w="15" w:type="dxa"/>
                    <w:left w:w="108" w:type="dxa"/>
                    <w:bottom w:w="15" w:type="dxa"/>
                    <w:right w:w="108" w:type="dxa"/>
                  </w:tcMar>
                  <w:vAlign w:val="center"/>
                </w:tcPr>
                <w:p>
                  <w:pPr>
                    <w:pStyle w:val="10"/>
                    <w:bidi w:val="0"/>
                  </w:pPr>
                  <w:r>
                    <w:rPr>
                      <w:rFonts w:hint="eastAsia"/>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650" w:type="pct"/>
                  <w:noWrap w:val="0"/>
                  <w:tcMar>
                    <w:top w:w="15" w:type="dxa"/>
                    <w:left w:w="108" w:type="dxa"/>
                    <w:bottom w:w="15" w:type="dxa"/>
                    <w:right w:w="108" w:type="dxa"/>
                  </w:tcMar>
                  <w:vAlign w:val="center"/>
                </w:tcPr>
                <w:p>
                  <w:pPr>
                    <w:pStyle w:val="10"/>
                    <w:bidi w:val="0"/>
                  </w:pPr>
                  <w:r>
                    <w:t>CO</w:t>
                  </w:r>
                </w:p>
              </w:tc>
              <w:tc>
                <w:tcPr>
                  <w:tcW w:w="1031" w:type="pct"/>
                  <w:noWrap w:val="0"/>
                  <w:tcMar>
                    <w:top w:w="15" w:type="dxa"/>
                    <w:left w:w="108" w:type="dxa"/>
                    <w:bottom w:w="15" w:type="dxa"/>
                    <w:right w:w="108" w:type="dxa"/>
                  </w:tcMar>
                  <w:vAlign w:val="center"/>
                </w:tcPr>
                <w:p>
                  <w:pPr>
                    <w:pStyle w:val="10"/>
                    <w:bidi w:val="0"/>
                  </w:pPr>
                  <w:r>
                    <w:rPr>
                      <w:rFonts w:hint="eastAsia"/>
                    </w:rPr>
                    <w:t>日平均浓度</w:t>
                  </w:r>
                </w:p>
                <w:p>
                  <w:pPr>
                    <w:pStyle w:val="10"/>
                    <w:bidi w:val="0"/>
                    <w:rPr>
                      <w:rFonts w:hint="eastAsia"/>
                    </w:rPr>
                  </w:pPr>
                  <w:r>
                    <w:rPr>
                      <w:rFonts w:hint="eastAsia"/>
                    </w:rPr>
                    <w:t>第95百分位数</w:t>
                  </w:r>
                </w:p>
              </w:tc>
              <w:tc>
                <w:tcPr>
                  <w:tcW w:w="768" w:type="pct"/>
                  <w:noWrap w:val="0"/>
                  <w:tcMar>
                    <w:top w:w="15" w:type="dxa"/>
                    <w:left w:w="108" w:type="dxa"/>
                    <w:bottom w:w="15" w:type="dxa"/>
                    <w:right w:w="108" w:type="dxa"/>
                  </w:tcMar>
                  <w:vAlign w:val="center"/>
                </w:tcPr>
                <w:p>
                  <w:pPr>
                    <w:pStyle w:val="10"/>
                    <w:bidi w:val="0"/>
                  </w:pPr>
                  <w:r>
                    <w:rPr>
                      <w:rFonts w:hint="eastAsia"/>
                    </w:rPr>
                    <w:t>1.6</w:t>
                  </w:r>
                </w:p>
              </w:tc>
              <w:tc>
                <w:tcPr>
                  <w:tcW w:w="849" w:type="pct"/>
                  <w:noWrap w:val="0"/>
                  <w:tcMar>
                    <w:top w:w="15" w:type="dxa"/>
                    <w:left w:w="108" w:type="dxa"/>
                    <w:bottom w:w="15" w:type="dxa"/>
                    <w:right w:w="108" w:type="dxa"/>
                  </w:tcMar>
                  <w:vAlign w:val="center"/>
                </w:tcPr>
                <w:p>
                  <w:pPr>
                    <w:pStyle w:val="10"/>
                    <w:bidi w:val="0"/>
                  </w:pPr>
                  <w:r>
                    <w:t>4</w:t>
                  </w:r>
                </w:p>
              </w:tc>
              <w:tc>
                <w:tcPr>
                  <w:tcW w:w="849" w:type="pct"/>
                  <w:noWrap w:val="0"/>
                  <w:tcMar>
                    <w:top w:w="15" w:type="dxa"/>
                    <w:left w:w="108" w:type="dxa"/>
                    <w:bottom w:w="15" w:type="dxa"/>
                    <w:right w:w="108" w:type="dxa"/>
                  </w:tcMar>
                  <w:vAlign w:val="center"/>
                </w:tcPr>
                <w:p>
                  <w:pPr>
                    <w:pStyle w:val="10"/>
                    <w:bidi w:val="0"/>
                  </w:pPr>
                  <w:r>
                    <w:rPr>
                      <w:rFonts w:hint="eastAsia"/>
                    </w:rPr>
                    <w:t>40.0</w:t>
                  </w:r>
                  <w:r>
                    <w:t>%</w:t>
                  </w:r>
                </w:p>
              </w:tc>
              <w:tc>
                <w:tcPr>
                  <w:tcW w:w="850" w:type="pct"/>
                  <w:noWrap w:val="0"/>
                  <w:tcMar>
                    <w:top w:w="15" w:type="dxa"/>
                    <w:left w:w="108" w:type="dxa"/>
                    <w:bottom w:w="15" w:type="dxa"/>
                    <w:right w:w="108" w:type="dxa"/>
                  </w:tcMar>
                  <w:vAlign w:val="center"/>
                </w:tcPr>
                <w:p>
                  <w:pPr>
                    <w:pStyle w:val="10"/>
                    <w:bidi w:val="0"/>
                  </w:pPr>
                  <w:r>
                    <w:rPr>
                      <w:rFonts w:hint="eastAsia"/>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650" w:type="pct"/>
                  <w:noWrap w:val="0"/>
                  <w:tcMar>
                    <w:top w:w="15" w:type="dxa"/>
                    <w:left w:w="108" w:type="dxa"/>
                    <w:bottom w:w="15" w:type="dxa"/>
                    <w:right w:w="108" w:type="dxa"/>
                  </w:tcMar>
                  <w:vAlign w:val="center"/>
                </w:tcPr>
                <w:p>
                  <w:pPr>
                    <w:pStyle w:val="10"/>
                    <w:bidi w:val="0"/>
                  </w:pPr>
                  <w:r>
                    <w:t>O3</w:t>
                  </w:r>
                </w:p>
              </w:tc>
              <w:tc>
                <w:tcPr>
                  <w:tcW w:w="1031" w:type="pct"/>
                  <w:noWrap w:val="0"/>
                  <w:tcMar>
                    <w:top w:w="15" w:type="dxa"/>
                    <w:left w:w="108" w:type="dxa"/>
                    <w:bottom w:w="15" w:type="dxa"/>
                    <w:right w:w="108" w:type="dxa"/>
                  </w:tcMar>
                  <w:vAlign w:val="center"/>
                </w:tcPr>
                <w:p>
                  <w:pPr>
                    <w:pStyle w:val="10"/>
                    <w:bidi w:val="0"/>
                  </w:pPr>
                  <w:r>
                    <w:rPr>
                      <w:rFonts w:hint="eastAsia"/>
                    </w:rPr>
                    <w:t>8</w:t>
                  </w:r>
                  <w:r>
                    <w:t>h</w:t>
                  </w:r>
                  <w:r>
                    <w:rPr>
                      <w:rFonts w:hint="eastAsia"/>
                    </w:rPr>
                    <w:t>平均</w:t>
                  </w:r>
                </w:p>
                <w:p>
                  <w:pPr>
                    <w:pStyle w:val="10"/>
                    <w:bidi w:val="0"/>
                    <w:rPr>
                      <w:rFonts w:hint="eastAsia"/>
                    </w:rPr>
                  </w:pPr>
                  <w:r>
                    <w:rPr>
                      <w:rFonts w:hint="eastAsia"/>
                    </w:rPr>
                    <w:t>第90百分位数</w:t>
                  </w:r>
                </w:p>
              </w:tc>
              <w:tc>
                <w:tcPr>
                  <w:tcW w:w="768" w:type="pct"/>
                  <w:noWrap w:val="0"/>
                  <w:tcMar>
                    <w:top w:w="15" w:type="dxa"/>
                    <w:left w:w="108" w:type="dxa"/>
                    <w:bottom w:w="15" w:type="dxa"/>
                    <w:right w:w="108" w:type="dxa"/>
                  </w:tcMar>
                  <w:vAlign w:val="center"/>
                </w:tcPr>
                <w:p>
                  <w:pPr>
                    <w:pStyle w:val="10"/>
                    <w:bidi w:val="0"/>
                  </w:pPr>
                  <w:r>
                    <w:rPr>
                      <w:rFonts w:hint="eastAsia"/>
                    </w:rPr>
                    <w:t>184</w:t>
                  </w:r>
                </w:p>
              </w:tc>
              <w:tc>
                <w:tcPr>
                  <w:tcW w:w="849" w:type="pct"/>
                  <w:noWrap w:val="0"/>
                  <w:tcMar>
                    <w:top w:w="15" w:type="dxa"/>
                    <w:left w:w="108" w:type="dxa"/>
                    <w:bottom w:w="15" w:type="dxa"/>
                    <w:right w:w="108" w:type="dxa"/>
                  </w:tcMar>
                  <w:vAlign w:val="center"/>
                </w:tcPr>
                <w:p>
                  <w:pPr>
                    <w:pStyle w:val="10"/>
                    <w:bidi w:val="0"/>
                  </w:pPr>
                  <w:r>
                    <w:t>160</w:t>
                  </w:r>
                </w:p>
              </w:tc>
              <w:tc>
                <w:tcPr>
                  <w:tcW w:w="849" w:type="pct"/>
                  <w:noWrap w:val="0"/>
                  <w:tcMar>
                    <w:top w:w="15" w:type="dxa"/>
                    <w:left w:w="108" w:type="dxa"/>
                    <w:bottom w:w="15" w:type="dxa"/>
                    <w:right w:w="108" w:type="dxa"/>
                  </w:tcMar>
                  <w:vAlign w:val="center"/>
                </w:tcPr>
                <w:p>
                  <w:pPr>
                    <w:pStyle w:val="10"/>
                    <w:bidi w:val="0"/>
                  </w:pPr>
                  <w:r>
                    <w:rPr>
                      <w:rFonts w:hint="eastAsia"/>
                    </w:rPr>
                    <w:t>115.0</w:t>
                  </w:r>
                  <w:r>
                    <w:t>%</w:t>
                  </w:r>
                </w:p>
              </w:tc>
              <w:tc>
                <w:tcPr>
                  <w:tcW w:w="850" w:type="pct"/>
                  <w:noWrap w:val="0"/>
                  <w:tcMar>
                    <w:top w:w="15" w:type="dxa"/>
                    <w:left w:w="108" w:type="dxa"/>
                    <w:bottom w:w="15" w:type="dxa"/>
                    <w:right w:w="108" w:type="dxa"/>
                  </w:tcMar>
                  <w:vAlign w:val="center"/>
                </w:tcPr>
                <w:p>
                  <w:pPr>
                    <w:pStyle w:val="10"/>
                    <w:bidi w:val="0"/>
                  </w:pPr>
                  <w:r>
                    <w:rPr>
                      <w:rFonts w:hint="eastAsia"/>
                    </w:rPr>
                    <w:t>超标</w:t>
                  </w:r>
                </w:p>
              </w:tc>
            </w:tr>
          </w:tbl>
          <w:p>
            <w:pPr>
              <w:adjustRightInd w:val="0"/>
              <w:snapToGrid w:val="0"/>
              <w:spacing w:line="500" w:lineRule="exact"/>
              <w:ind w:firstLine="480" w:firstLineChars="200"/>
              <w:rPr>
                <w:sz w:val="24"/>
                <w:szCs w:val="22"/>
              </w:rPr>
            </w:pPr>
            <w:r>
              <w:rPr>
                <w:sz w:val="24"/>
                <w:szCs w:val="22"/>
              </w:rPr>
              <w:t>由上表可知，评价基准年内项目所在区域环境空气质量为不达标区，区域内主要超标因子为PM</w:t>
            </w:r>
            <w:r>
              <w:rPr>
                <w:sz w:val="24"/>
                <w:szCs w:val="22"/>
                <w:vertAlign w:val="subscript"/>
              </w:rPr>
              <w:t>2.5</w:t>
            </w:r>
            <w:r>
              <w:rPr>
                <w:sz w:val="24"/>
                <w:szCs w:val="22"/>
              </w:rPr>
              <w:t>、PM</w:t>
            </w:r>
            <w:r>
              <w:rPr>
                <w:sz w:val="24"/>
                <w:szCs w:val="22"/>
                <w:vertAlign w:val="subscript"/>
              </w:rPr>
              <w:t>10</w:t>
            </w:r>
            <w:r>
              <w:rPr>
                <w:sz w:val="24"/>
                <w:szCs w:val="22"/>
              </w:rPr>
              <w:t>和O</w:t>
            </w:r>
            <w:r>
              <w:rPr>
                <w:sz w:val="24"/>
                <w:szCs w:val="22"/>
                <w:vertAlign w:val="subscript"/>
              </w:rPr>
              <w:t>3</w:t>
            </w:r>
            <w:r>
              <w:rPr>
                <w:sz w:val="24"/>
                <w:szCs w:val="22"/>
              </w:rPr>
              <w:t>，其超标原因可能与不利气象条件有关。超标情况如下表：</w:t>
            </w:r>
          </w:p>
          <w:p>
            <w:pPr>
              <w:bidi w:val="0"/>
              <w:jc w:val="center"/>
              <w:rPr>
                <w:rFonts w:hint="eastAsia" w:ascii="黑体" w:hAnsi="黑体" w:eastAsia="黑体" w:cs="黑体"/>
                <w:szCs w:val="22"/>
                <w:lang w:val="en-US" w:eastAsia="zh-CN"/>
              </w:rPr>
            </w:pPr>
            <w:r>
              <w:rPr>
                <w:rFonts w:hint="eastAsia"/>
                <w:lang w:val="en-US" w:eastAsia="zh-CN"/>
              </w:rPr>
              <w:t>表10    区域环境质量超标情况分析</w:t>
            </w:r>
          </w:p>
          <w:tbl>
            <w:tblPr>
              <w:tblStyle w:val="20"/>
              <w:tblW w:w="84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8"/>
              <w:gridCol w:w="2304"/>
              <w:gridCol w:w="1981"/>
              <w:gridCol w:w="2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noWrap w:val="0"/>
                  <w:tcMar>
                    <w:top w:w="15" w:type="dxa"/>
                    <w:left w:w="108" w:type="dxa"/>
                    <w:bottom w:w="15" w:type="dxa"/>
                    <w:right w:w="108" w:type="dxa"/>
                  </w:tcMar>
                  <w:vAlign w:val="center"/>
                </w:tcPr>
                <w:p>
                  <w:pPr>
                    <w:pStyle w:val="10"/>
                    <w:bidi w:val="0"/>
                  </w:pPr>
                  <w:r>
                    <w:t>超标污染物</w:t>
                  </w:r>
                </w:p>
              </w:tc>
              <w:tc>
                <w:tcPr>
                  <w:tcW w:w="2304" w:type="dxa"/>
                  <w:noWrap w:val="0"/>
                  <w:tcMar>
                    <w:top w:w="15" w:type="dxa"/>
                    <w:left w:w="108" w:type="dxa"/>
                    <w:bottom w:w="15" w:type="dxa"/>
                    <w:right w:w="108" w:type="dxa"/>
                  </w:tcMar>
                  <w:vAlign w:val="center"/>
                </w:tcPr>
                <w:p>
                  <w:pPr>
                    <w:pStyle w:val="10"/>
                    <w:bidi w:val="0"/>
                  </w:pPr>
                  <w:r>
                    <w:t>年评价指标</w:t>
                  </w:r>
                </w:p>
              </w:tc>
              <w:tc>
                <w:tcPr>
                  <w:tcW w:w="1981" w:type="dxa"/>
                  <w:noWrap w:val="0"/>
                  <w:tcMar>
                    <w:top w:w="15" w:type="dxa"/>
                    <w:left w:w="108" w:type="dxa"/>
                    <w:bottom w:w="15" w:type="dxa"/>
                    <w:right w:w="108" w:type="dxa"/>
                  </w:tcMar>
                  <w:vAlign w:val="center"/>
                </w:tcPr>
                <w:p>
                  <w:pPr>
                    <w:pStyle w:val="10"/>
                    <w:bidi w:val="0"/>
                  </w:pPr>
                  <w:r>
                    <w:t>超标倍数</w:t>
                  </w:r>
                </w:p>
              </w:tc>
              <w:tc>
                <w:tcPr>
                  <w:tcW w:w="2492" w:type="dxa"/>
                  <w:noWrap w:val="0"/>
                  <w:tcMar>
                    <w:top w:w="15" w:type="dxa"/>
                    <w:left w:w="108" w:type="dxa"/>
                    <w:bottom w:w="15" w:type="dxa"/>
                    <w:right w:w="108" w:type="dxa"/>
                  </w:tcMar>
                  <w:vAlign w:val="center"/>
                </w:tcPr>
                <w:p>
                  <w:pPr>
                    <w:pStyle w:val="10"/>
                    <w:bidi w:val="0"/>
                  </w:pPr>
                  <w:r>
                    <w:t>超标率%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restart"/>
                  <w:noWrap w:val="0"/>
                  <w:tcMar>
                    <w:top w:w="15" w:type="dxa"/>
                    <w:left w:w="108" w:type="dxa"/>
                    <w:bottom w:w="15" w:type="dxa"/>
                    <w:right w:w="108" w:type="dxa"/>
                  </w:tcMar>
                  <w:vAlign w:val="center"/>
                </w:tcPr>
                <w:p>
                  <w:pPr>
                    <w:pStyle w:val="10"/>
                    <w:bidi w:val="0"/>
                  </w:pPr>
                  <w:r>
                    <w:t>PM2.5</w:t>
                  </w:r>
                </w:p>
              </w:tc>
              <w:tc>
                <w:tcPr>
                  <w:tcW w:w="2304" w:type="dxa"/>
                  <w:noWrap w:val="0"/>
                  <w:tcMar>
                    <w:top w:w="15" w:type="dxa"/>
                    <w:left w:w="108" w:type="dxa"/>
                    <w:bottom w:w="15" w:type="dxa"/>
                    <w:right w:w="108" w:type="dxa"/>
                  </w:tcMar>
                  <w:vAlign w:val="center"/>
                </w:tcPr>
                <w:p>
                  <w:pPr>
                    <w:pStyle w:val="10"/>
                    <w:bidi w:val="0"/>
                  </w:pPr>
                  <w:r>
                    <w:t>年平均质量浓度</w:t>
                  </w:r>
                </w:p>
              </w:tc>
              <w:tc>
                <w:tcPr>
                  <w:tcW w:w="1981" w:type="dxa"/>
                  <w:noWrap w:val="0"/>
                  <w:tcMar>
                    <w:top w:w="15" w:type="dxa"/>
                    <w:left w:w="108" w:type="dxa"/>
                    <w:bottom w:w="15" w:type="dxa"/>
                    <w:right w:w="108" w:type="dxa"/>
                  </w:tcMar>
                  <w:vAlign w:val="center"/>
                </w:tcPr>
                <w:p>
                  <w:pPr>
                    <w:pStyle w:val="10"/>
                    <w:bidi w:val="0"/>
                  </w:pPr>
                  <w:r>
                    <w:t>0.69</w:t>
                  </w:r>
                </w:p>
              </w:tc>
              <w:tc>
                <w:tcPr>
                  <w:tcW w:w="2492" w:type="dxa"/>
                  <w:noWrap w:val="0"/>
                  <w:tcMar>
                    <w:top w:w="15" w:type="dxa"/>
                    <w:left w:w="108" w:type="dxa"/>
                    <w:bottom w:w="15" w:type="dxa"/>
                    <w:right w:w="108" w:type="dxa"/>
                  </w:tcMar>
                  <w:vAlign w:val="center"/>
                </w:tcPr>
                <w:p>
                  <w:pPr>
                    <w:pStyle w:val="10"/>
                    <w:bidi w:val="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continue"/>
                  <w:noWrap w:val="0"/>
                  <w:vAlign w:val="center"/>
                </w:tcPr>
                <w:p>
                  <w:pPr>
                    <w:pStyle w:val="10"/>
                    <w:bidi w:val="0"/>
                  </w:pPr>
                </w:p>
              </w:tc>
              <w:tc>
                <w:tcPr>
                  <w:tcW w:w="2304" w:type="dxa"/>
                  <w:noWrap w:val="0"/>
                  <w:tcMar>
                    <w:top w:w="15" w:type="dxa"/>
                    <w:left w:w="108" w:type="dxa"/>
                    <w:bottom w:w="15" w:type="dxa"/>
                    <w:right w:w="108" w:type="dxa"/>
                  </w:tcMar>
                  <w:vAlign w:val="center"/>
                </w:tcPr>
                <w:p>
                  <w:pPr>
                    <w:pStyle w:val="10"/>
                    <w:bidi w:val="0"/>
                  </w:pPr>
                  <w:r>
                    <w:t>百分位数日平均浓度</w:t>
                  </w:r>
                </w:p>
              </w:tc>
              <w:tc>
                <w:tcPr>
                  <w:tcW w:w="1981" w:type="dxa"/>
                  <w:noWrap w:val="0"/>
                  <w:tcMar>
                    <w:top w:w="15" w:type="dxa"/>
                    <w:left w:w="108" w:type="dxa"/>
                    <w:bottom w:w="15" w:type="dxa"/>
                    <w:right w:w="108" w:type="dxa"/>
                  </w:tcMar>
                  <w:vAlign w:val="center"/>
                </w:tcPr>
                <w:p>
                  <w:pPr>
                    <w:pStyle w:val="10"/>
                    <w:bidi w:val="0"/>
                  </w:pPr>
                  <w:r>
                    <w:t>1.03</w:t>
                  </w:r>
                </w:p>
              </w:tc>
              <w:tc>
                <w:tcPr>
                  <w:tcW w:w="2492" w:type="dxa"/>
                  <w:noWrap w:val="0"/>
                  <w:tcMar>
                    <w:top w:w="15" w:type="dxa"/>
                    <w:left w:w="108" w:type="dxa"/>
                    <w:bottom w:w="15" w:type="dxa"/>
                    <w:right w:w="108" w:type="dxa"/>
                  </w:tcMar>
                  <w:vAlign w:val="center"/>
                </w:tcPr>
                <w:p>
                  <w:pPr>
                    <w:pStyle w:val="10"/>
                    <w:bidi w:val="0"/>
                  </w:pPr>
                  <w:r>
                    <w:t>25.5%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restart"/>
                  <w:noWrap w:val="0"/>
                  <w:tcMar>
                    <w:top w:w="15" w:type="dxa"/>
                    <w:left w:w="108" w:type="dxa"/>
                    <w:bottom w:w="15" w:type="dxa"/>
                    <w:right w:w="108" w:type="dxa"/>
                  </w:tcMar>
                  <w:vAlign w:val="center"/>
                </w:tcPr>
                <w:p>
                  <w:pPr>
                    <w:pStyle w:val="10"/>
                    <w:bidi w:val="0"/>
                  </w:pPr>
                  <w:r>
                    <w:t>PM10</w:t>
                  </w:r>
                </w:p>
              </w:tc>
              <w:tc>
                <w:tcPr>
                  <w:tcW w:w="2304" w:type="dxa"/>
                  <w:noWrap w:val="0"/>
                  <w:tcMar>
                    <w:top w:w="15" w:type="dxa"/>
                    <w:left w:w="108" w:type="dxa"/>
                    <w:bottom w:w="15" w:type="dxa"/>
                    <w:right w:w="108" w:type="dxa"/>
                  </w:tcMar>
                  <w:vAlign w:val="center"/>
                </w:tcPr>
                <w:p>
                  <w:pPr>
                    <w:pStyle w:val="10"/>
                    <w:bidi w:val="0"/>
                  </w:pPr>
                  <w:r>
                    <w:t>年平均质量浓度</w:t>
                  </w:r>
                </w:p>
              </w:tc>
              <w:tc>
                <w:tcPr>
                  <w:tcW w:w="1981" w:type="dxa"/>
                  <w:noWrap w:val="0"/>
                  <w:tcMar>
                    <w:top w:w="15" w:type="dxa"/>
                    <w:left w:w="108" w:type="dxa"/>
                    <w:bottom w:w="15" w:type="dxa"/>
                    <w:right w:w="108" w:type="dxa"/>
                  </w:tcMar>
                  <w:vAlign w:val="center"/>
                </w:tcPr>
                <w:p>
                  <w:pPr>
                    <w:pStyle w:val="10"/>
                    <w:bidi w:val="0"/>
                  </w:pPr>
                  <w:r>
                    <w:t>0.36</w:t>
                  </w:r>
                </w:p>
              </w:tc>
              <w:tc>
                <w:tcPr>
                  <w:tcW w:w="2492" w:type="dxa"/>
                  <w:noWrap w:val="0"/>
                  <w:tcMar>
                    <w:top w:w="15" w:type="dxa"/>
                    <w:left w:w="108" w:type="dxa"/>
                    <w:bottom w:w="15" w:type="dxa"/>
                    <w:right w:w="108" w:type="dxa"/>
                  </w:tcMar>
                  <w:vAlign w:val="center"/>
                </w:tcPr>
                <w:p>
                  <w:pPr>
                    <w:pStyle w:val="10"/>
                    <w:bidi w:val="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vMerge w:val="continue"/>
                  <w:noWrap w:val="0"/>
                  <w:vAlign w:val="center"/>
                </w:tcPr>
                <w:p>
                  <w:pPr>
                    <w:pStyle w:val="10"/>
                    <w:bidi w:val="0"/>
                  </w:pPr>
                </w:p>
              </w:tc>
              <w:tc>
                <w:tcPr>
                  <w:tcW w:w="2304" w:type="dxa"/>
                  <w:noWrap w:val="0"/>
                  <w:tcMar>
                    <w:top w:w="15" w:type="dxa"/>
                    <w:left w:w="108" w:type="dxa"/>
                    <w:bottom w:w="15" w:type="dxa"/>
                    <w:right w:w="108" w:type="dxa"/>
                  </w:tcMar>
                  <w:vAlign w:val="center"/>
                </w:tcPr>
                <w:p>
                  <w:pPr>
                    <w:pStyle w:val="10"/>
                    <w:bidi w:val="0"/>
                  </w:pPr>
                  <w:r>
                    <w:t>百分位数日平均浓度</w:t>
                  </w:r>
                </w:p>
              </w:tc>
              <w:tc>
                <w:tcPr>
                  <w:tcW w:w="1981" w:type="dxa"/>
                  <w:noWrap w:val="0"/>
                  <w:tcMar>
                    <w:top w:w="15" w:type="dxa"/>
                    <w:left w:w="108" w:type="dxa"/>
                    <w:bottom w:w="15" w:type="dxa"/>
                    <w:right w:w="108" w:type="dxa"/>
                  </w:tcMar>
                  <w:vAlign w:val="center"/>
                </w:tcPr>
                <w:p>
                  <w:pPr>
                    <w:pStyle w:val="10"/>
                    <w:bidi w:val="0"/>
                  </w:pPr>
                  <w:r>
                    <w:t>0.33</w:t>
                  </w:r>
                </w:p>
              </w:tc>
              <w:tc>
                <w:tcPr>
                  <w:tcW w:w="2492" w:type="dxa"/>
                  <w:noWrap w:val="0"/>
                  <w:tcMar>
                    <w:top w:w="15" w:type="dxa"/>
                    <w:left w:w="108" w:type="dxa"/>
                    <w:bottom w:w="15" w:type="dxa"/>
                    <w:right w:w="108" w:type="dxa"/>
                  </w:tcMar>
                  <w:vAlign w:val="center"/>
                </w:tcPr>
                <w:p>
                  <w:pPr>
                    <w:pStyle w:val="10"/>
                    <w:bidi w:val="0"/>
                  </w:pPr>
                  <w:r>
                    <w:t>14.2%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658" w:type="dxa"/>
                  <w:noWrap w:val="0"/>
                  <w:vAlign w:val="center"/>
                </w:tcPr>
                <w:p>
                  <w:pPr>
                    <w:pStyle w:val="10"/>
                    <w:bidi w:val="0"/>
                  </w:pPr>
                  <w:r>
                    <w:t>O3</w:t>
                  </w:r>
                </w:p>
              </w:tc>
              <w:tc>
                <w:tcPr>
                  <w:tcW w:w="2304" w:type="dxa"/>
                  <w:noWrap w:val="0"/>
                  <w:tcMar>
                    <w:top w:w="15" w:type="dxa"/>
                    <w:left w:w="108" w:type="dxa"/>
                    <w:bottom w:w="15" w:type="dxa"/>
                    <w:right w:w="108" w:type="dxa"/>
                  </w:tcMar>
                  <w:vAlign w:val="center"/>
                </w:tcPr>
                <w:p>
                  <w:pPr>
                    <w:pStyle w:val="10"/>
                    <w:bidi w:val="0"/>
                  </w:pPr>
                  <w:r>
                    <w:t>百分位数</w:t>
                  </w:r>
                </w:p>
                <w:p>
                  <w:pPr>
                    <w:pStyle w:val="10"/>
                    <w:bidi w:val="0"/>
                  </w:pPr>
                  <w:r>
                    <w:t>8h平均质量浓度</w:t>
                  </w:r>
                </w:p>
              </w:tc>
              <w:tc>
                <w:tcPr>
                  <w:tcW w:w="1981" w:type="dxa"/>
                  <w:noWrap w:val="0"/>
                  <w:tcMar>
                    <w:top w:w="15" w:type="dxa"/>
                    <w:left w:w="108" w:type="dxa"/>
                    <w:bottom w:w="15" w:type="dxa"/>
                    <w:right w:w="108" w:type="dxa"/>
                  </w:tcMar>
                  <w:vAlign w:val="center"/>
                </w:tcPr>
                <w:p>
                  <w:pPr>
                    <w:pStyle w:val="10"/>
                    <w:bidi w:val="0"/>
                  </w:pPr>
                  <w:r>
                    <w:t>0.15</w:t>
                  </w:r>
                </w:p>
              </w:tc>
              <w:tc>
                <w:tcPr>
                  <w:tcW w:w="2492" w:type="dxa"/>
                  <w:noWrap w:val="0"/>
                  <w:tcMar>
                    <w:top w:w="15" w:type="dxa"/>
                    <w:left w:w="108" w:type="dxa"/>
                    <w:bottom w:w="15" w:type="dxa"/>
                    <w:right w:w="108" w:type="dxa"/>
                  </w:tcMar>
                  <w:vAlign w:val="center"/>
                </w:tcPr>
                <w:p>
                  <w:pPr>
                    <w:pStyle w:val="10"/>
                    <w:bidi w:val="0"/>
                  </w:pPr>
                  <w:r>
                    <w:t>21.6%</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hint="default"/>
                <w:sz w:val="24"/>
                <w:szCs w:val="22"/>
                <w:lang w:val="en-US" w:eastAsia="zh-CN"/>
              </w:rPr>
            </w:pPr>
            <w:r>
              <w:rPr>
                <w:rFonts w:hint="eastAsia"/>
                <w:sz w:val="24"/>
                <w:szCs w:val="22"/>
                <w:lang w:val="en-US" w:eastAsia="zh-CN"/>
              </w:rPr>
              <w:t>为确保2020年平顶山市主要污染物排放总量大幅减少，生态环境治疗总体改善，依据国家及河南省要求，平顶山市人民政府制定了《平顶山市环境污染防治攻坚战三年行动实施方案（2018-2020年）》及平顶山市污染防治攻坚战领导小组办公室制定了《关于印发平顶山市2020年大气、水、土壤防治攻坚战实施方案的通知》，在2020年全市PM</w:t>
            </w:r>
            <w:r>
              <w:rPr>
                <w:rFonts w:hint="eastAsia"/>
                <w:sz w:val="24"/>
                <w:szCs w:val="22"/>
                <w:vertAlign w:val="subscript"/>
                <w:lang w:val="en-US" w:eastAsia="zh-CN"/>
              </w:rPr>
              <w:t>2.5</w:t>
            </w:r>
            <w:r>
              <w:rPr>
                <w:rFonts w:hint="eastAsia"/>
                <w:sz w:val="24"/>
                <w:szCs w:val="22"/>
                <w:lang w:val="en-US" w:eastAsia="zh-CN"/>
              </w:rPr>
              <w:t>（细颗粒物）年均浓度达到50微克/立方米以下，PM</w:t>
            </w:r>
            <w:r>
              <w:rPr>
                <w:rFonts w:hint="eastAsia"/>
                <w:sz w:val="24"/>
                <w:szCs w:val="22"/>
                <w:vertAlign w:val="subscript"/>
                <w:lang w:val="en-US" w:eastAsia="zh-CN"/>
              </w:rPr>
              <w:t>10（</w:t>
            </w:r>
            <w:r>
              <w:rPr>
                <w:rFonts w:hint="eastAsia"/>
                <w:sz w:val="24"/>
                <w:szCs w:val="22"/>
                <w:lang w:val="en-US" w:eastAsia="zh-CN"/>
              </w:rPr>
              <w:t>可吸入颗粒物）年均浓度达到95微克/立方米以下，全市主要污染物排放总量和重度及以上污染天数明显减少。为持续改善区域环境空气质量，打造美丽平顶山市目标基本实现打下坚实基础。</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ascii="Times New Roman" w:hAnsi="Times New Roman"/>
                <w:b/>
                <w:bCs/>
                <w:color w:val="auto"/>
                <w:sz w:val="24"/>
              </w:rPr>
            </w:pPr>
            <w:r>
              <w:rPr>
                <w:rFonts w:ascii="Times New Roman" w:hAnsi="Times New Roman"/>
                <w:b/>
                <w:bCs/>
                <w:color w:val="auto"/>
                <w:sz w:val="24"/>
              </w:rPr>
              <w:t>2、地表水</w:t>
            </w:r>
          </w:p>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iCs/>
                <w:sz w:val="24"/>
              </w:rPr>
            </w:pPr>
            <w:r>
              <w:rPr>
                <w:rFonts w:ascii="Times New Roman"/>
                <w:bCs/>
                <w:color w:val="auto"/>
                <w:sz w:val="24"/>
              </w:rPr>
              <w:t>本项目位于沙河</w:t>
            </w:r>
            <w:r>
              <w:rPr>
                <w:rFonts w:hint="eastAsia" w:ascii="Times New Roman"/>
                <w:bCs/>
                <w:color w:val="auto"/>
                <w:sz w:val="24"/>
                <w:lang w:eastAsia="zh-CN"/>
              </w:rPr>
              <w:t>北</w:t>
            </w:r>
            <w:r>
              <w:rPr>
                <w:rFonts w:ascii="Times New Roman"/>
                <w:bCs/>
                <w:color w:val="auto"/>
                <w:sz w:val="24"/>
              </w:rPr>
              <w:t>侧约</w:t>
            </w:r>
            <w:r>
              <w:rPr>
                <w:rFonts w:hint="eastAsia" w:ascii="Times New Roman"/>
                <w:bCs/>
                <w:color w:val="auto"/>
                <w:sz w:val="24"/>
                <w:lang w:val="en-US" w:eastAsia="zh-CN"/>
              </w:rPr>
              <w:t>5.8</w:t>
            </w:r>
            <w:r>
              <w:rPr>
                <w:rFonts w:ascii="Times New Roman" w:hAnsi="Times New Roman"/>
                <w:bCs/>
                <w:color w:val="auto"/>
                <w:sz w:val="24"/>
              </w:rPr>
              <w:t>km</w:t>
            </w:r>
            <w:r>
              <w:rPr>
                <w:rFonts w:ascii="Times New Roman"/>
                <w:bCs/>
                <w:color w:val="auto"/>
                <w:sz w:val="24"/>
              </w:rPr>
              <w:t>，由西南往北注入沙河，沙河向东南注入</w:t>
            </w:r>
            <w:r>
              <w:rPr>
                <w:rFonts w:hint="eastAsia"/>
                <w:bCs/>
                <w:color w:val="auto"/>
                <w:sz w:val="24"/>
                <w:lang w:eastAsia="zh-CN"/>
              </w:rPr>
              <w:t>昭平台水库</w:t>
            </w:r>
            <w:r>
              <w:rPr>
                <w:rFonts w:ascii="Times New Roman"/>
                <w:bCs/>
                <w:color w:val="auto"/>
                <w:sz w:val="24"/>
              </w:rPr>
              <w:t>。鲁山县境内主要的地表水体为昭平台水库和沙河。</w:t>
            </w:r>
            <w:r>
              <w:rPr>
                <w:rFonts w:ascii="Times New Roman" w:hAnsi="Times New Roman"/>
                <w:bCs/>
                <w:color w:val="auto"/>
                <w:sz w:val="24"/>
              </w:rPr>
              <w:t>区域地表水水质现状数据引用《平顶山市环境监测年鉴》（201</w:t>
            </w:r>
            <w:r>
              <w:rPr>
                <w:rFonts w:hint="eastAsia" w:ascii="Times New Roman" w:hAnsi="Times New Roman"/>
                <w:bCs/>
                <w:color w:val="auto"/>
                <w:sz w:val="24"/>
              </w:rPr>
              <w:t>8</w:t>
            </w:r>
            <w:r>
              <w:rPr>
                <w:rFonts w:ascii="Times New Roman" w:hAnsi="Times New Roman"/>
                <w:bCs/>
                <w:color w:val="auto"/>
                <w:sz w:val="24"/>
              </w:rPr>
              <w:t>年度</w:t>
            </w:r>
            <w:r>
              <w:rPr>
                <w:rFonts w:ascii="Times New Roman" w:hAnsi="Times New Roman"/>
                <w:bCs/>
                <w:sz w:val="24"/>
              </w:rPr>
              <w:t>，市环境监测</w:t>
            </w:r>
            <w:r>
              <w:rPr>
                <w:rFonts w:hint="eastAsia" w:ascii="Times New Roman" w:hAnsi="Times New Roman"/>
                <w:bCs/>
                <w:sz w:val="24"/>
              </w:rPr>
              <w:t>中心</w:t>
            </w:r>
            <w:r>
              <w:rPr>
                <w:rFonts w:ascii="Times New Roman" w:hAnsi="Times New Roman"/>
                <w:bCs/>
                <w:sz w:val="24"/>
              </w:rPr>
              <w:t>站201</w:t>
            </w:r>
            <w:r>
              <w:rPr>
                <w:rFonts w:hint="eastAsia" w:ascii="Times New Roman" w:hAnsi="Times New Roman"/>
                <w:bCs/>
                <w:sz w:val="24"/>
              </w:rPr>
              <w:t>9</w:t>
            </w:r>
            <w:r>
              <w:rPr>
                <w:rFonts w:ascii="Times New Roman" w:hAnsi="Times New Roman"/>
                <w:bCs/>
                <w:sz w:val="24"/>
              </w:rPr>
              <w:t>年1月）沙河关庙</w:t>
            </w:r>
            <w:r>
              <w:rPr>
                <w:rFonts w:hint="eastAsia" w:ascii="Times New Roman" w:hAnsi="Times New Roman"/>
                <w:bCs/>
                <w:sz w:val="24"/>
              </w:rPr>
              <w:t>杜</w:t>
            </w:r>
            <w:r>
              <w:rPr>
                <w:rFonts w:ascii="Times New Roman" w:hAnsi="Times New Roman"/>
                <w:bCs/>
                <w:sz w:val="24"/>
              </w:rPr>
              <w:t>监测断面数据。</w:t>
            </w:r>
            <w:r>
              <w:rPr>
                <w:rFonts w:hint="eastAsia" w:ascii="Times New Roman" w:hAnsi="Times New Roman"/>
                <w:iCs/>
                <w:sz w:val="24"/>
              </w:rPr>
              <w:t>其监测统计结果见表</w:t>
            </w:r>
            <w:r>
              <w:rPr>
                <w:rFonts w:hint="eastAsia" w:ascii="Times New Roman" w:hAnsi="Times New Roman"/>
                <w:iCs/>
                <w:sz w:val="24"/>
                <w:lang w:val="en-US" w:eastAsia="zh-CN"/>
              </w:rPr>
              <w:t>7</w:t>
            </w:r>
            <w:r>
              <w:rPr>
                <w:rFonts w:hint="eastAsia" w:ascii="Times New Roman" w:hAnsi="Times New Roman"/>
                <w:iCs/>
                <w:sz w:val="24"/>
              </w:rPr>
              <w:t>。</w:t>
            </w:r>
          </w:p>
          <w:p>
            <w:pPr>
              <w:bidi w:val="0"/>
              <w:rPr>
                <w:rFonts w:ascii="Times New Roman" w:hAnsi="Times New Roman" w:eastAsia="黑体"/>
                <w:kern w:val="0"/>
                <w:lang w:val="zh-CN"/>
              </w:rPr>
            </w:pPr>
            <w:r>
              <w:rPr>
                <w:lang w:val="zh-CN"/>
              </w:rPr>
              <w:t>表</w:t>
            </w:r>
            <w:r>
              <w:rPr>
                <w:rFonts w:hint="eastAsia"/>
                <w:lang w:val="en-US" w:eastAsia="zh-CN"/>
              </w:rPr>
              <w:t>11</w:t>
            </w:r>
            <w:r>
              <w:rPr>
                <w:lang w:val="zh-CN"/>
              </w:rPr>
              <w:t xml:space="preserve">    </w:t>
            </w:r>
            <w:r>
              <w:rPr>
                <w:rFonts w:hint="eastAsia"/>
                <w:lang w:val="zh-CN"/>
              </w:rPr>
              <w:t xml:space="preserve"> </w:t>
            </w:r>
            <w:r>
              <w:rPr>
                <w:lang w:val="zh-CN"/>
              </w:rPr>
              <w:t xml:space="preserve"> 区域水质现状评价结果</w:t>
            </w:r>
            <w:r>
              <w:rPr>
                <w:rFonts w:hint="eastAsia"/>
                <w:lang w:val="zh-CN"/>
              </w:rPr>
              <w:t>一览表</w:t>
            </w:r>
            <w:r>
              <w:rPr>
                <w:lang w:val="zh-CN"/>
              </w:rPr>
              <w:t xml:space="preserve"> </w:t>
            </w:r>
            <w:r>
              <w:rPr>
                <w:rFonts w:hint="eastAsia"/>
                <w:lang w:val="zh-CN"/>
              </w:rPr>
              <w:t xml:space="preserve"> </w:t>
            </w:r>
            <w:r>
              <w:rPr>
                <w:lang w:val="zh-CN"/>
              </w:rPr>
              <w:t xml:space="preserve"> </w:t>
            </w:r>
            <w:r>
              <w:rPr>
                <w:rFonts w:hint="eastAsia"/>
                <w:lang w:val="en-US" w:eastAsia="zh-CN"/>
              </w:rPr>
              <w:t xml:space="preserve">   </w:t>
            </w:r>
            <w:r>
              <w:rPr>
                <w:lang w:val="zh-CN"/>
              </w:rPr>
              <w:t>单位mg/L（pH值除外）</w:t>
            </w:r>
          </w:p>
          <w:tbl>
            <w:tblPr>
              <w:tblStyle w:val="20"/>
              <w:tblW w:w="499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2208"/>
              <w:gridCol w:w="1506"/>
              <w:gridCol w:w="1513"/>
              <w:gridCol w:w="1538"/>
              <w:gridCol w:w="1524"/>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39" w:type="pct"/>
                  <w:gridSpan w:val="2"/>
                  <w:noWrap w:val="0"/>
                  <w:vAlign w:val="center"/>
                </w:tcPr>
                <w:p>
                  <w:pPr>
                    <w:pStyle w:val="10"/>
                    <w:bidi w:val="0"/>
                  </w:pPr>
                  <w:r>
                    <w:t>监测点位</w:t>
                  </w:r>
                </w:p>
              </w:tc>
              <w:tc>
                <w:tcPr>
                  <w:tcW w:w="912" w:type="pct"/>
                  <w:noWrap w:val="0"/>
                  <w:vAlign w:val="center"/>
                </w:tcPr>
                <w:p>
                  <w:pPr>
                    <w:pStyle w:val="10"/>
                    <w:bidi w:val="0"/>
                  </w:pPr>
                  <w:r>
                    <w:t>pH</w:t>
                  </w:r>
                </w:p>
              </w:tc>
              <w:tc>
                <w:tcPr>
                  <w:tcW w:w="927" w:type="pct"/>
                  <w:noWrap w:val="0"/>
                  <w:vAlign w:val="center"/>
                </w:tcPr>
                <w:p>
                  <w:pPr>
                    <w:pStyle w:val="10"/>
                    <w:bidi w:val="0"/>
                  </w:pPr>
                  <w:r>
                    <w:t>COD</w:t>
                  </w:r>
                </w:p>
              </w:tc>
              <w:tc>
                <w:tcPr>
                  <w:tcW w:w="919" w:type="pct"/>
                  <w:noWrap w:val="0"/>
                  <w:vAlign w:val="center"/>
                </w:tcPr>
                <w:p>
                  <w:pPr>
                    <w:pStyle w:val="10"/>
                    <w:bidi w:val="0"/>
                  </w:pPr>
                  <w:r>
                    <w:t>NH3-N</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restart"/>
                  <w:noWrap w:val="0"/>
                  <w:vAlign w:val="center"/>
                </w:tcPr>
                <w:p>
                  <w:pPr>
                    <w:pStyle w:val="10"/>
                    <w:bidi w:val="0"/>
                  </w:pPr>
                  <w:r>
                    <w:t>沙河关庙</w:t>
                  </w:r>
                  <w:r>
                    <w:rPr>
                      <w:rFonts w:hint="eastAsia"/>
                    </w:rPr>
                    <w:t>杜</w:t>
                  </w:r>
                  <w:r>
                    <w:t>监测断面（201</w:t>
                  </w:r>
                  <w:r>
                    <w:rPr>
                      <w:rFonts w:hint="eastAsia"/>
                    </w:rPr>
                    <w:t>8</w:t>
                  </w:r>
                  <w:r>
                    <w:t>年1月~12月）</w:t>
                  </w:r>
                </w:p>
              </w:tc>
              <w:tc>
                <w:tcPr>
                  <w:tcW w:w="908" w:type="pct"/>
                  <w:noWrap w:val="0"/>
                  <w:vAlign w:val="center"/>
                </w:tcPr>
                <w:p>
                  <w:pPr>
                    <w:pStyle w:val="10"/>
                    <w:bidi w:val="0"/>
                  </w:pPr>
                  <w:r>
                    <w:t>浓度范围</w:t>
                  </w:r>
                </w:p>
              </w:tc>
              <w:tc>
                <w:tcPr>
                  <w:tcW w:w="912" w:type="pct"/>
                  <w:noWrap w:val="0"/>
                  <w:vAlign w:val="center"/>
                </w:tcPr>
                <w:p>
                  <w:pPr>
                    <w:pStyle w:val="10"/>
                    <w:bidi w:val="0"/>
                  </w:pPr>
                  <w:r>
                    <w:rPr>
                      <w:rFonts w:hint="eastAsia"/>
                    </w:rPr>
                    <w:t>7.96-8.68</w:t>
                  </w:r>
                </w:p>
              </w:tc>
              <w:tc>
                <w:tcPr>
                  <w:tcW w:w="927" w:type="pct"/>
                  <w:noWrap w:val="0"/>
                  <w:vAlign w:val="center"/>
                </w:tcPr>
                <w:p>
                  <w:pPr>
                    <w:pStyle w:val="10"/>
                    <w:bidi w:val="0"/>
                  </w:pPr>
                  <w:r>
                    <w:t>5.0-11</w:t>
                  </w:r>
                </w:p>
              </w:tc>
              <w:tc>
                <w:tcPr>
                  <w:tcW w:w="919" w:type="pct"/>
                  <w:noWrap w:val="0"/>
                  <w:vAlign w:val="center"/>
                </w:tcPr>
                <w:p>
                  <w:pPr>
                    <w:pStyle w:val="10"/>
                    <w:bidi w:val="0"/>
                  </w:pPr>
                  <w:r>
                    <w:t>0.012-0.</w:t>
                  </w:r>
                  <w:r>
                    <w:rPr>
                      <w:rFonts w:hint="eastAsia"/>
                    </w:rPr>
                    <w:t>203</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continue"/>
                  <w:noWrap w:val="0"/>
                  <w:vAlign w:val="center"/>
                </w:tcPr>
                <w:p>
                  <w:pPr>
                    <w:pStyle w:val="10"/>
                    <w:bidi w:val="0"/>
                  </w:pPr>
                </w:p>
              </w:tc>
              <w:tc>
                <w:tcPr>
                  <w:tcW w:w="908" w:type="pct"/>
                  <w:noWrap w:val="0"/>
                  <w:vAlign w:val="center"/>
                </w:tcPr>
                <w:p>
                  <w:pPr>
                    <w:pStyle w:val="10"/>
                    <w:bidi w:val="0"/>
                  </w:pPr>
                  <w:r>
                    <w:t>均值</w:t>
                  </w:r>
                </w:p>
              </w:tc>
              <w:tc>
                <w:tcPr>
                  <w:tcW w:w="912" w:type="pct"/>
                  <w:noWrap w:val="0"/>
                  <w:vAlign w:val="center"/>
                </w:tcPr>
                <w:p>
                  <w:pPr>
                    <w:pStyle w:val="10"/>
                    <w:bidi w:val="0"/>
                  </w:pPr>
                  <w:r>
                    <w:rPr>
                      <w:rFonts w:hint="eastAsia"/>
                    </w:rPr>
                    <w:t>8.20</w:t>
                  </w:r>
                </w:p>
              </w:tc>
              <w:tc>
                <w:tcPr>
                  <w:tcW w:w="927" w:type="pct"/>
                  <w:noWrap w:val="0"/>
                  <w:vAlign w:val="center"/>
                </w:tcPr>
                <w:p>
                  <w:pPr>
                    <w:pStyle w:val="10"/>
                    <w:bidi w:val="0"/>
                  </w:pPr>
                  <w:r>
                    <w:rPr>
                      <w:rFonts w:hint="eastAsia"/>
                    </w:rPr>
                    <w:t>9</w:t>
                  </w:r>
                </w:p>
              </w:tc>
              <w:tc>
                <w:tcPr>
                  <w:tcW w:w="919" w:type="pct"/>
                  <w:noWrap w:val="0"/>
                  <w:vAlign w:val="center"/>
                </w:tcPr>
                <w:p>
                  <w:pPr>
                    <w:pStyle w:val="10"/>
                    <w:bidi w:val="0"/>
                  </w:pPr>
                  <w:r>
                    <w:t>0.0</w:t>
                  </w:r>
                  <w:r>
                    <w:rPr>
                      <w:rFonts w:hint="eastAsia"/>
                    </w:rPr>
                    <w:t>89</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continue"/>
                  <w:noWrap w:val="0"/>
                  <w:vAlign w:val="center"/>
                </w:tcPr>
                <w:p>
                  <w:pPr>
                    <w:pStyle w:val="10"/>
                    <w:bidi w:val="0"/>
                  </w:pPr>
                </w:p>
              </w:tc>
              <w:tc>
                <w:tcPr>
                  <w:tcW w:w="908" w:type="pct"/>
                  <w:noWrap w:val="0"/>
                  <w:vAlign w:val="center"/>
                </w:tcPr>
                <w:p>
                  <w:pPr>
                    <w:pStyle w:val="10"/>
                    <w:bidi w:val="0"/>
                  </w:pPr>
                  <w:r>
                    <w:t>标准限值</w:t>
                  </w:r>
                </w:p>
              </w:tc>
              <w:tc>
                <w:tcPr>
                  <w:tcW w:w="912" w:type="pct"/>
                  <w:noWrap w:val="0"/>
                  <w:vAlign w:val="center"/>
                </w:tcPr>
                <w:p>
                  <w:pPr>
                    <w:pStyle w:val="10"/>
                    <w:bidi w:val="0"/>
                  </w:pPr>
                  <w:r>
                    <w:t>6~9</w:t>
                  </w:r>
                </w:p>
              </w:tc>
              <w:tc>
                <w:tcPr>
                  <w:tcW w:w="927" w:type="pct"/>
                  <w:noWrap w:val="0"/>
                  <w:vAlign w:val="center"/>
                </w:tcPr>
                <w:p>
                  <w:pPr>
                    <w:pStyle w:val="10"/>
                    <w:bidi w:val="0"/>
                  </w:pPr>
                  <w:r>
                    <w:t>20</w:t>
                  </w:r>
                </w:p>
              </w:tc>
              <w:tc>
                <w:tcPr>
                  <w:tcW w:w="919" w:type="pct"/>
                  <w:noWrap w:val="0"/>
                  <w:vAlign w:val="center"/>
                </w:tcPr>
                <w:p>
                  <w:pPr>
                    <w:pStyle w:val="10"/>
                    <w:bidi w:val="0"/>
                  </w:pPr>
                  <w:r>
                    <w:t>1.0</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1" w:type="pct"/>
                  <w:vMerge w:val="continue"/>
                  <w:noWrap w:val="0"/>
                  <w:vAlign w:val="center"/>
                </w:tcPr>
                <w:p>
                  <w:pPr>
                    <w:pStyle w:val="10"/>
                    <w:bidi w:val="0"/>
                  </w:pPr>
                </w:p>
              </w:tc>
              <w:tc>
                <w:tcPr>
                  <w:tcW w:w="908" w:type="pct"/>
                  <w:noWrap w:val="0"/>
                  <w:vAlign w:val="center"/>
                </w:tcPr>
                <w:p>
                  <w:pPr>
                    <w:pStyle w:val="10"/>
                    <w:bidi w:val="0"/>
                  </w:pPr>
                  <w:r>
                    <w:t>达标情况</w:t>
                  </w:r>
                </w:p>
              </w:tc>
              <w:tc>
                <w:tcPr>
                  <w:tcW w:w="912" w:type="pct"/>
                  <w:noWrap w:val="0"/>
                  <w:vAlign w:val="center"/>
                </w:tcPr>
                <w:p>
                  <w:pPr>
                    <w:pStyle w:val="10"/>
                    <w:bidi w:val="0"/>
                  </w:pPr>
                  <w:r>
                    <w:t>达标</w:t>
                  </w:r>
                </w:p>
              </w:tc>
              <w:tc>
                <w:tcPr>
                  <w:tcW w:w="927" w:type="pct"/>
                  <w:noWrap w:val="0"/>
                  <w:vAlign w:val="center"/>
                </w:tcPr>
                <w:p>
                  <w:pPr>
                    <w:pStyle w:val="10"/>
                    <w:bidi w:val="0"/>
                  </w:pPr>
                  <w:r>
                    <w:t>达标</w:t>
                  </w:r>
                </w:p>
              </w:tc>
              <w:tc>
                <w:tcPr>
                  <w:tcW w:w="919" w:type="pct"/>
                  <w:noWrap w:val="0"/>
                  <w:vAlign w:val="center"/>
                </w:tcPr>
                <w:p>
                  <w:pPr>
                    <w:pStyle w:val="10"/>
                    <w:bidi w:val="0"/>
                  </w:pPr>
                  <w:r>
                    <w:t>达标</w:t>
                  </w:r>
                </w:p>
              </w:tc>
            </w:tr>
          </w:tbl>
          <w:p>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cs="宋体"/>
                <w:sz w:val="24"/>
                <w:szCs w:val="24"/>
              </w:rPr>
            </w:pPr>
            <w:r>
              <w:rPr>
                <w:rFonts w:hint="eastAsia" w:ascii="Times New Roman" w:hAnsi="Times New Roman"/>
                <w:color w:val="000000"/>
                <w:kern w:val="0"/>
                <w:sz w:val="24"/>
              </w:rPr>
              <w:t>由表</w:t>
            </w:r>
            <w:r>
              <w:rPr>
                <w:rFonts w:hint="eastAsia"/>
                <w:color w:val="000000"/>
                <w:kern w:val="0"/>
                <w:sz w:val="24"/>
                <w:lang w:val="en-US" w:eastAsia="zh-CN"/>
              </w:rPr>
              <w:t>11</w:t>
            </w:r>
            <w:r>
              <w:rPr>
                <w:rFonts w:hint="eastAsia" w:ascii="Times New Roman" w:hAnsi="Times New Roman"/>
                <w:color w:val="000000"/>
                <w:kern w:val="0"/>
                <w:sz w:val="24"/>
              </w:rPr>
              <w:t>可知，沙河关庙杜监测断面各项监测因子均满足《地表水环境质量标准》</w:t>
            </w:r>
            <w:r>
              <w:rPr>
                <w:rFonts w:ascii="Times New Roman" w:hAnsi="Times New Roman"/>
                <w:color w:val="000000"/>
                <w:kern w:val="0"/>
                <w:sz w:val="24"/>
              </w:rPr>
              <w:t xml:space="preserve"> </w:t>
            </w:r>
            <w:r>
              <w:rPr>
                <w:rFonts w:hint="eastAsia" w:ascii="Times New Roman" w:hAnsi="Times New Roman"/>
                <w:color w:val="000000"/>
                <w:kern w:val="0"/>
                <w:sz w:val="24"/>
              </w:rPr>
              <w:t>（</w:t>
            </w:r>
            <w:r>
              <w:rPr>
                <w:rFonts w:ascii="Times New Roman" w:hAnsi="Times New Roman"/>
                <w:color w:val="000000"/>
                <w:kern w:val="0"/>
                <w:sz w:val="24"/>
              </w:rPr>
              <w:t>GB3838-2002</w:t>
            </w:r>
            <w:r>
              <w:rPr>
                <w:rFonts w:hint="eastAsia" w:ascii="Times New Roman" w:hAnsi="Times New Roman"/>
                <w:color w:val="000000"/>
                <w:kern w:val="0"/>
                <w:sz w:val="24"/>
              </w:rPr>
              <w:t>）</w:t>
            </w:r>
            <w:r>
              <w:rPr>
                <w:rFonts w:ascii="Times New Roman" w:hAnsi="Times New Roman"/>
                <w:color w:val="000000"/>
                <w:kern w:val="0"/>
                <w:sz w:val="24"/>
              </w:rPr>
              <w:t>III</w:t>
            </w:r>
            <w:r>
              <w:rPr>
                <w:rFonts w:hint="eastAsia" w:ascii="Times New Roman" w:hAnsi="Times New Roman"/>
                <w:color w:val="000000"/>
                <w:kern w:val="0"/>
                <w:sz w:val="24"/>
              </w:rPr>
              <w:t>类标准。</w:t>
            </w:r>
          </w:p>
          <w:p>
            <w:pPr>
              <w:spacing w:line="360" w:lineRule="auto"/>
              <w:jc w:val="left"/>
              <w:rPr>
                <w:rFonts w:ascii="Times New Roman" w:hAnsi="Times New Roman" w:cs="楷体_GB2312"/>
                <w:b/>
                <w:bCs/>
                <w:color w:val="FF0000"/>
                <w:sz w:val="24"/>
              </w:rPr>
            </w:pPr>
            <w:r>
              <w:rPr>
                <w:rFonts w:hint="eastAsia" w:ascii="Times New Roman" w:hAnsi="Times New Roman" w:cs="楷体_GB2312"/>
                <w:b/>
                <w:bCs/>
                <w:sz w:val="24"/>
              </w:rPr>
              <w:t>3、</w:t>
            </w:r>
            <w:r>
              <w:rPr>
                <w:rFonts w:ascii="Times New Roman" w:hAnsi="Times New Roman" w:cs="楷体_GB2312"/>
                <w:b/>
                <w:bCs/>
                <w:sz w:val="24"/>
              </w:rPr>
              <w:t>地</w:t>
            </w:r>
            <w:r>
              <w:rPr>
                <w:rFonts w:hint="eastAsia" w:ascii="Times New Roman" w:hAnsi="Times New Roman" w:cs="楷体_GB2312"/>
                <w:b/>
                <w:bCs/>
                <w:sz w:val="24"/>
              </w:rPr>
              <w:t>下</w:t>
            </w:r>
            <w:r>
              <w:rPr>
                <w:rFonts w:ascii="Times New Roman" w:hAnsi="Times New Roman" w:cs="楷体_GB2312"/>
                <w:b/>
                <w:bCs/>
                <w:sz w:val="24"/>
              </w:rPr>
              <w:t>水环境质量现状</w:t>
            </w:r>
          </w:p>
          <w:p>
            <w:pPr>
              <w:spacing w:before="156" w:beforeLines="50" w:line="360" w:lineRule="auto"/>
              <w:ind w:firstLine="480" w:firstLineChars="200"/>
              <w:rPr>
                <w:rFonts w:hint="eastAsia" w:ascii="Times New Roman" w:hAnsi="Times New Roman"/>
                <w:color w:val="auto"/>
                <w:sz w:val="24"/>
                <w:szCs w:val="22"/>
              </w:rPr>
            </w:pPr>
            <w:r>
              <w:rPr>
                <w:rFonts w:hint="eastAsia" w:ascii="Times New Roman" w:hAnsi="Times New Roman"/>
                <w:color w:val="auto"/>
                <w:sz w:val="24"/>
                <w:szCs w:val="22"/>
              </w:rPr>
              <w:t>为了了解项目所处区域地下水环境质量现状，引用《</w:t>
            </w:r>
            <w:r>
              <w:rPr>
                <w:rFonts w:hint="eastAsia" w:ascii="Times New Roman" w:hAnsi="Times New Roman"/>
                <w:color w:val="auto"/>
                <w:sz w:val="24"/>
                <w:szCs w:val="22"/>
                <w:lang w:eastAsia="zh-CN"/>
              </w:rPr>
              <w:t>河南高速能源有限责任公司鲁山经营部平顶山南服务区</w:t>
            </w:r>
            <w:r>
              <w:rPr>
                <w:rFonts w:hint="eastAsia"/>
                <w:color w:val="auto"/>
                <w:sz w:val="24"/>
                <w:szCs w:val="22"/>
                <w:lang w:eastAsia="zh-CN"/>
              </w:rPr>
              <w:t>南加油站</w:t>
            </w:r>
            <w:r>
              <w:rPr>
                <w:rFonts w:hint="eastAsia" w:ascii="Times New Roman" w:hAnsi="Times New Roman"/>
                <w:color w:val="auto"/>
                <w:sz w:val="24"/>
                <w:szCs w:val="22"/>
              </w:rPr>
              <w:t>地下水检测报告》中加油站水下水井的检测数据（20</w:t>
            </w:r>
            <w:r>
              <w:rPr>
                <w:rFonts w:hint="eastAsia" w:ascii="Times New Roman" w:hAnsi="Times New Roman"/>
                <w:color w:val="auto"/>
                <w:sz w:val="24"/>
                <w:szCs w:val="22"/>
                <w:lang w:val="en-US" w:eastAsia="zh-CN"/>
              </w:rPr>
              <w:t>20</w:t>
            </w:r>
            <w:r>
              <w:rPr>
                <w:rFonts w:hint="eastAsia" w:ascii="Times New Roman" w:hAnsi="Times New Roman"/>
                <w:color w:val="auto"/>
                <w:sz w:val="24"/>
                <w:szCs w:val="22"/>
              </w:rPr>
              <w:t>年</w:t>
            </w:r>
            <w:r>
              <w:rPr>
                <w:rFonts w:hint="eastAsia" w:ascii="Times New Roman" w:hAnsi="Times New Roman"/>
                <w:color w:val="auto"/>
                <w:sz w:val="24"/>
                <w:szCs w:val="22"/>
                <w:lang w:val="en-US" w:eastAsia="zh-CN"/>
              </w:rPr>
              <w:t>08</w:t>
            </w:r>
            <w:r>
              <w:rPr>
                <w:rFonts w:hint="eastAsia" w:ascii="Times New Roman" w:hAnsi="Times New Roman"/>
                <w:color w:val="auto"/>
                <w:sz w:val="24"/>
                <w:szCs w:val="22"/>
              </w:rPr>
              <w:t>月</w:t>
            </w:r>
            <w:r>
              <w:rPr>
                <w:rFonts w:hint="eastAsia" w:ascii="Times New Roman" w:hAnsi="Times New Roman"/>
                <w:color w:val="auto"/>
                <w:sz w:val="24"/>
                <w:szCs w:val="22"/>
                <w:lang w:val="en-US" w:eastAsia="zh-CN"/>
              </w:rPr>
              <w:t>03</w:t>
            </w:r>
            <w:r>
              <w:rPr>
                <w:rFonts w:hint="eastAsia" w:ascii="Times New Roman" w:hAnsi="Times New Roman"/>
                <w:color w:val="auto"/>
                <w:sz w:val="24"/>
                <w:szCs w:val="22"/>
              </w:rPr>
              <w:t>日检测）监测结果见表</w:t>
            </w:r>
            <w:r>
              <w:rPr>
                <w:rFonts w:hint="eastAsia" w:ascii="Times New Roman" w:hAnsi="Times New Roman"/>
                <w:color w:val="auto"/>
                <w:sz w:val="24"/>
                <w:szCs w:val="22"/>
                <w:lang w:val="en-US" w:eastAsia="zh-CN"/>
              </w:rPr>
              <w:t>1</w:t>
            </w:r>
            <w:r>
              <w:rPr>
                <w:rFonts w:hint="eastAsia"/>
                <w:color w:val="auto"/>
                <w:sz w:val="24"/>
                <w:szCs w:val="22"/>
                <w:lang w:val="en-US" w:eastAsia="zh-CN"/>
              </w:rPr>
              <w:t>2</w:t>
            </w:r>
            <w:r>
              <w:rPr>
                <w:rFonts w:hint="eastAsia" w:ascii="Times New Roman" w:hAnsi="Times New Roman"/>
                <w:color w:val="auto"/>
                <w:sz w:val="24"/>
                <w:szCs w:val="22"/>
              </w:rPr>
              <w:t>。</w:t>
            </w:r>
          </w:p>
          <w:p>
            <w:pPr>
              <w:bidi w:val="0"/>
              <w:jc w:val="center"/>
              <w:rPr>
                <w:rFonts w:ascii="Times New Roman" w:hAnsi="Times New Roman"/>
                <w:b/>
                <w:color w:val="auto"/>
              </w:rPr>
            </w:pPr>
            <w:r>
              <w:t>表</w:t>
            </w:r>
            <w:r>
              <w:rPr>
                <w:rFonts w:hint="eastAsia"/>
                <w:lang w:val="en-US" w:eastAsia="zh-CN"/>
              </w:rPr>
              <w:t xml:space="preserve">12     </w:t>
            </w:r>
            <w:r>
              <w:t>地下水</w:t>
            </w:r>
            <w:r>
              <w:rPr>
                <w:rFonts w:hint="eastAsia"/>
              </w:rPr>
              <w:t>监</w:t>
            </w:r>
            <w:r>
              <w:t>测</w:t>
            </w:r>
            <w:r>
              <w:rPr>
                <w:rFonts w:hint="eastAsia"/>
              </w:rPr>
              <w:t>单位：mg/L</w:t>
            </w:r>
            <w:r>
              <w:t>（</w:t>
            </w:r>
            <w:r>
              <w:rPr>
                <w:rFonts w:hint="eastAsia"/>
              </w:rPr>
              <w:t>pH除</w:t>
            </w:r>
            <w:r>
              <w:t>外）</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
              <w:gridCol w:w="659"/>
              <w:gridCol w:w="413"/>
              <w:gridCol w:w="988"/>
              <w:gridCol w:w="1035"/>
              <w:gridCol w:w="861"/>
              <w:gridCol w:w="938"/>
              <w:gridCol w:w="988"/>
              <w:gridCol w:w="988"/>
              <w:gridCol w:w="10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tcBorders>
                    <w:tl2br w:val="nil"/>
                    <w:tr2bl w:val="nil"/>
                  </w:tcBorders>
                  <w:noWrap w:val="0"/>
                  <w:vAlign w:val="center"/>
                </w:tcPr>
                <w:p>
                  <w:pPr>
                    <w:pStyle w:val="10"/>
                    <w:bidi w:val="0"/>
                    <w:rPr>
                      <w:rFonts w:hint="eastAsia"/>
                      <w:lang w:eastAsia="zh-CN"/>
                    </w:rPr>
                  </w:pPr>
                  <w:r>
                    <w:rPr>
                      <w:rFonts w:hint="eastAsia"/>
                      <w:lang w:eastAsia="zh-CN"/>
                    </w:rPr>
                    <w:t>检测</w:t>
                  </w:r>
                </w:p>
                <w:p>
                  <w:pPr>
                    <w:pStyle w:val="10"/>
                    <w:bidi w:val="0"/>
                    <w:rPr>
                      <w:rFonts w:hint="default"/>
                    </w:rPr>
                  </w:pPr>
                  <w:r>
                    <w:rPr>
                      <w:rFonts w:hint="default"/>
                    </w:rPr>
                    <w:t>地点</w:t>
                  </w:r>
                </w:p>
              </w:tc>
              <w:tc>
                <w:tcPr>
                  <w:tcW w:w="0" w:type="auto"/>
                  <w:tcBorders>
                    <w:tl2br w:val="nil"/>
                    <w:tr2bl w:val="nil"/>
                  </w:tcBorders>
                  <w:noWrap w:val="0"/>
                  <w:vAlign w:val="center"/>
                </w:tcPr>
                <w:p>
                  <w:pPr>
                    <w:pStyle w:val="10"/>
                    <w:bidi w:val="0"/>
                    <w:rPr>
                      <w:rFonts w:hint="default"/>
                    </w:rPr>
                  </w:pPr>
                  <w:r>
                    <w:rPr>
                      <w:rFonts w:hint="default"/>
                    </w:rPr>
                    <w:t>采样</w:t>
                  </w:r>
                </w:p>
                <w:p>
                  <w:pPr>
                    <w:pStyle w:val="10"/>
                    <w:bidi w:val="0"/>
                    <w:rPr>
                      <w:rFonts w:hint="default"/>
                      <w:lang w:eastAsia="zh-CN"/>
                    </w:rPr>
                  </w:pPr>
                  <w:r>
                    <w:rPr>
                      <w:rFonts w:hint="default"/>
                    </w:rPr>
                    <w:t>时间</w:t>
                  </w:r>
                </w:p>
              </w:tc>
              <w:tc>
                <w:tcPr>
                  <w:tcW w:w="0" w:type="auto"/>
                  <w:tcBorders>
                    <w:tl2br w:val="nil"/>
                    <w:tr2bl w:val="nil"/>
                  </w:tcBorders>
                  <w:noWrap w:val="0"/>
                  <w:vAlign w:val="center"/>
                </w:tcPr>
                <w:p>
                  <w:pPr>
                    <w:pStyle w:val="10"/>
                    <w:bidi w:val="0"/>
                    <w:rPr>
                      <w:rFonts w:hint="eastAsia"/>
                      <w:lang w:eastAsia="zh-CN"/>
                    </w:rPr>
                  </w:pPr>
                  <w:r>
                    <w:rPr>
                      <w:rFonts w:hint="eastAsia"/>
                      <w:lang w:eastAsia="zh-CN"/>
                    </w:rPr>
                    <w:t>频次</w:t>
                  </w:r>
                </w:p>
              </w:tc>
              <w:tc>
                <w:tcPr>
                  <w:tcW w:w="0" w:type="auto"/>
                  <w:tcBorders>
                    <w:tl2br w:val="nil"/>
                    <w:tr2bl w:val="nil"/>
                  </w:tcBorders>
                  <w:noWrap w:val="0"/>
                  <w:vAlign w:val="center"/>
                </w:tcPr>
                <w:p>
                  <w:pPr>
                    <w:pStyle w:val="10"/>
                    <w:bidi w:val="0"/>
                    <w:rPr>
                      <w:rFonts w:hint="default"/>
                    </w:rPr>
                  </w:pPr>
                  <w:r>
                    <w:rPr>
                      <w:rFonts w:hint="default"/>
                    </w:rPr>
                    <w:t>pH值</w:t>
                  </w:r>
                </w:p>
                <w:p>
                  <w:pPr>
                    <w:pStyle w:val="10"/>
                    <w:bidi w:val="0"/>
                    <w:rPr>
                      <w:rFonts w:hint="default"/>
                      <w:lang w:eastAsia="zh-CN"/>
                    </w:rPr>
                  </w:pPr>
                  <w:r>
                    <w:rPr>
                      <w:rFonts w:hint="default"/>
                      <w:lang w:eastAsia="zh-CN"/>
                    </w:rPr>
                    <w:t>（无量纲）</w:t>
                  </w:r>
                </w:p>
              </w:tc>
              <w:tc>
                <w:tcPr>
                  <w:tcW w:w="0" w:type="auto"/>
                  <w:tcBorders>
                    <w:tl2br w:val="nil"/>
                    <w:tr2bl w:val="nil"/>
                  </w:tcBorders>
                  <w:noWrap w:val="0"/>
                  <w:vAlign w:val="center"/>
                </w:tcPr>
                <w:p>
                  <w:pPr>
                    <w:pStyle w:val="10"/>
                    <w:bidi w:val="0"/>
                    <w:rPr>
                      <w:rFonts w:hint="default"/>
                    </w:rPr>
                  </w:pPr>
                  <w:r>
                    <w:rPr>
                      <w:rFonts w:hint="default"/>
                      <w:lang w:val="en-US" w:eastAsia="zh-CN"/>
                    </w:rPr>
                    <w:t>溶解氧</w:t>
                  </w:r>
                </w:p>
                <w:p>
                  <w:pPr>
                    <w:pStyle w:val="10"/>
                    <w:bidi w:val="0"/>
                    <w:rPr>
                      <w:rFonts w:hint="default"/>
                      <w:lang w:eastAsia="zh-CN"/>
                    </w:rPr>
                  </w:pPr>
                  <w:r>
                    <w:rPr>
                      <w:rFonts w:hint="default"/>
                    </w:rPr>
                    <w:t>（mg/L）</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氧化还原电位</w:t>
                  </w:r>
                </w:p>
                <w:p>
                  <w:pPr>
                    <w:pStyle w:val="10"/>
                    <w:bidi w:val="0"/>
                    <w:rPr>
                      <w:rFonts w:hint="default"/>
                      <w:lang w:eastAsia="zh-CN"/>
                    </w:rPr>
                  </w:pPr>
                  <w:r>
                    <w:rPr>
                      <w:rFonts w:hint="default"/>
                    </w:rPr>
                    <w:t>（m</w:t>
                  </w:r>
                  <w:r>
                    <w:rPr>
                      <w:rFonts w:hint="default"/>
                      <w:lang w:val="en-US" w:eastAsia="zh-CN"/>
                    </w:rPr>
                    <w:t>v</w:t>
                  </w:r>
                  <w:r>
                    <w:rPr>
                      <w:rFonts w:hint="default"/>
                    </w:rPr>
                    <w:t>）</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电导率</w:t>
                  </w:r>
                </w:p>
                <w:p>
                  <w:pPr>
                    <w:pStyle w:val="10"/>
                    <w:bidi w:val="0"/>
                    <w:rPr>
                      <w:rFonts w:hint="eastAsia"/>
                      <w:lang w:eastAsia="zh-CN"/>
                    </w:rPr>
                  </w:pPr>
                  <w:r>
                    <w:rPr>
                      <w:rFonts w:hint="eastAsia"/>
                      <w:lang w:val="en-US" w:eastAsia="zh-CN"/>
                    </w:rPr>
                    <w:t>(</w:t>
                  </w:r>
                  <w:r>
                    <w:rPr>
                      <w:rFonts w:hint="default"/>
                      <w:lang w:val="en-US" w:eastAsia="zh-CN"/>
                    </w:rPr>
                    <w:t>μS/cm</w:t>
                  </w:r>
                  <w:r>
                    <w:rPr>
                      <w:rFonts w:hint="eastAsia"/>
                      <w:lang w:val="en-US" w:eastAsia="zh-CN"/>
                    </w:rPr>
                    <w:t>)</w:t>
                  </w:r>
                </w:p>
              </w:tc>
              <w:tc>
                <w:tcPr>
                  <w:tcW w:w="0" w:type="auto"/>
                  <w:tcBorders>
                    <w:tl2br w:val="nil"/>
                    <w:tr2bl w:val="nil"/>
                  </w:tcBorders>
                  <w:noWrap w:val="0"/>
                  <w:vAlign w:val="center"/>
                </w:tcPr>
                <w:p>
                  <w:pPr>
                    <w:pStyle w:val="10"/>
                    <w:bidi w:val="0"/>
                    <w:rPr>
                      <w:rFonts w:hint="default"/>
                    </w:rPr>
                  </w:pPr>
                  <w:r>
                    <w:rPr>
                      <w:rFonts w:hint="default"/>
                    </w:rPr>
                    <w:t>色度</w:t>
                  </w:r>
                </w:p>
                <w:p>
                  <w:pPr>
                    <w:pStyle w:val="10"/>
                    <w:bidi w:val="0"/>
                    <w:rPr>
                      <w:rFonts w:hint="default"/>
                    </w:rPr>
                  </w:pPr>
                  <w:r>
                    <w:rPr>
                      <w:rFonts w:hint="default"/>
                      <w:lang w:val="en-US" w:eastAsia="zh-CN"/>
                    </w:rPr>
                    <w:t>(</w:t>
                  </w:r>
                  <w:r>
                    <w:rPr>
                      <w:rFonts w:hint="default"/>
                      <w:lang w:eastAsia="zh-CN"/>
                    </w:rPr>
                    <w:t>度</w:t>
                  </w:r>
                  <w:r>
                    <w:rPr>
                      <w:rFonts w:hint="default"/>
                      <w:lang w:val="en-US" w:eastAsia="zh-CN"/>
                    </w:rPr>
                    <w:t>)</w:t>
                  </w:r>
                </w:p>
              </w:tc>
              <w:tc>
                <w:tcPr>
                  <w:tcW w:w="0" w:type="auto"/>
                  <w:tcBorders>
                    <w:tl2br w:val="nil"/>
                    <w:tr2bl w:val="nil"/>
                  </w:tcBorders>
                  <w:noWrap w:val="0"/>
                  <w:vAlign w:val="center"/>
                </w:tcPr>
                <w:p>
                  <w:pPr>
                    <w:pStyle w:val="10"/>
                    <w:bidi w:val="0"/>
                    <w:rPr>
                      <w:rFonts w:hint="eastAsia"/>
                      <w:lang w:eastAsia="zh-CN"/>
                    </w:rPr>
                  </w:pPr>
                  <w:r>
                    <w:rPr>
                      <w:rFonts w:hint="default"/>
                      <w:lang w:eastAsia="zh-CN"/>
                    </w:rPr>
                    <w:t>臭</w:t>
                  </w:r>
                  <w:r>
                    <w:rPr>
                      <w:rFonts w:hint="default"/>
                    </w:rPr>
                    <w:t>和味</w:t>
                  </w:r>
                  <w:r>
                    <w:rPr>
                      <w:rFonts w:hint="eastAsia"/>
                      <w:lang w:eastAsia="zh-CN"/>
                    </w:rPr>
                    <w:t>（级）</w:t>
                  </w:r>
                </w:p>
              </w:tc>
              <w:tc>
                <w:tcPr>
                  <w:tcW w:w="0" w:type="auto"/>
                  <w:tcBorders>
                    <w:tl2br w:val="nil"/>
                    <w:tr2bl w:val="nil"/>
                  </w:tcBorders>
                  <w:noWrap w:val="0"/>
                  <w:vAlign w:val="center"/>
                </w:tcPr>
                <w:p>
                  <w:pPr>
                    <w:pStyle w:val="10"/>
                    <w:bidi w:val="0"/>
                    <w:rPr>
                      <w:rFonts w:hint="default"/>
                      <w:lang w:eastAsia="zh-CN"/>
                    </w:rPr>
                  </w:pPr>
                  <w:r>
                    <w:rPr>
                      <w:rFonts w:hint="eastAsia"/>
                      <w:lang w:eastAsia="zh-CN"/>
                    </w:rPr>
                    <w:t>浑浊度</w:t>
                  </w:r>
                </w:p>
                <w:p>
                  <w:pPr>
                    <w:pStyle w:val="10"/>
                    <w:bidi w:val="0"/>
                    <w:rPr>
                      <w:rFonts w:hint="default"/>
                    </w:rPr>
                  </w:pPr>
                  <w:r>
                    <w:rPr>
                      <w:rFonts w:hint="default"/>
                    </w:rPr>
                    <w:t>（NTU）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restart"/>
                  <w:tcBorders>
                    <w:tl2br w:val="nil"/>
                    <w:tr2bl w:val="nil"/>
                  </w:tcBorders>
                  <w:noWrap w:val="0"/>
                  <w:vAlign w:val="center"/>
                </w:tcPr>
                <w:p>
                  <w:pPr>
                    <w:pStyle w:val="10"/>
                    <w:bidi w:val="0"/>
                    <w:rPr>
                      <w:rFonts w:hint="eastAsia"/>
                      <w:lang w:eastAsia="zh-CN"/>
                    </w:rPr>
                  </w:pPr>
                  <w:r>
                    <w:rPr>
                      <w:rFonts w:hint="eastAsia"/>
                      <w:lang w:eastAsia="zh-CN"/>
                    </w:rPr>
                    <w:t>地下水</w:t>
                  </w:r>
                </w:p>
                <w:p>
                  <w:pPr>
                    <w:pStyle w:val="10"/>
                    <w:bidi w:val="0"/>
                    <w:rPr>
                      <w:rFonts w:hint="default"/>
                      <w:lang w:eastAsia="zh-CN"/>
                    </w:rPr>
                  </w:pPr>
                </w:p>
              </w:tc>
              <w:tc>
                <w:tcPr>
                  <w:tcW w:w="0" w:type="auto"/>
                  <w:vMerge w:val="restart"/>
                  <w:tcBorders>
                    <w:tl2br w:val="nil"/>
                    <w:tr2bl w:val="nil"/>
                  </w:tcBorders>
                  <w:noWrap w:val="0"/>
                  <w:vAlign w:val="center"/>
                </w:tcPr>
                <w:p>
                  <w:pPr>
                    <w:pStyle w:val="10"/>
                    <w:bidi w:val="0"/>
                    <w:rPr>
                      <w:rFonts w:hint="eastAsia"/>
                      <w:lang w:val="en-US" w:eastAsia="zh-CN"/>
                    </w:rPr>
                  </w:pPr>
                  <w:r>
                    <w:rPr>
                      <w:rFonts w:hint="eastAsia"/>
                      <w:lang w:val="en-US" w:eastAsia="zh-CN"/>
                    </w:rPr>
                    <w:t>2020.</w:t>
                  </w:r>
                </w:p>
                <w:p>
                  <w:pPr>
                    <w:pStyle w:val="10"/>
                    <w:bidi w:val="0"/>
                    <w:rPr>
                      <w:rFonts w:hint="default"/>
                      <w:lang w:val="en-US" w:eastAsia="zh-CN"/>
                    </w:rPr>
                  </w:pPr>
                  <w:r>
                    <w:rPr>
                      <w:rFonts w:hint="eastAsia"/>
                      <w:lang w:val="en-US" w:eastAsia="zh-CN"/>
                    </w:rPr>
                    <w:t>08.03</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第1次</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7.79</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5.77</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117</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440</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5</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0</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&lt;</w:t>
                  </w: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10"/>
                    <w:bidi w:val="0"/>
                    <w:rPr>
                      <w:rFonts w:hint="default"/>
                      <w:lang w:eastAsia="zh-CN"/>
                    </w:rPr>
                  </w:pPr>
                </w:p>
              </w:tc>
              <w:tc>
                <w:tcPr>
                  <w:tcW w:w="0" w:type="auto"/>
                  <w:vMerge w:val="continue"/>
                  <w:tcBorders>
                    <w:tl2br w:val="nil"/>
                    <w:tr2bl w:val="nil"/>
                  </w:tcBorders>
                  <w:noWrap w:val="0"/>
                  <w:vAlign w:val="center"/>
                </w:tcPr>
                <w:p>
                  <w:pPr>
                    <w:pStyle w:val="10"/>
                    <w:bidi w:val="0"/>
                    <w:rPr>
                      <w:rFonts w:hint="eastAsia"/>
                      <w:lang w:val="en-US" w:eastAsia="zh-CN"/>
                    </w:rPr>
                  </w:pP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第2次</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7.81</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5.80</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116</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438</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5</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0</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&lt;</w:t>
                  </w:r>
                  <w:r>
                    <w:rPr>
                      <w:rFonts w:hint="eastAsia"/>
                      <w:lang w:val="en-US" w:eastAsia="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10"/>
                    <w:bidi w:val="0"/>
                    <w:rPr>
                      <w:rFonts w:hint="default"/>
                    </w:rPr>
                  </w:pPr>
                </w:p>
              </w:tc>
              <w:tc>
                <w:tcPr>
                  <w:tcW w:w="0" w:type="auto"/>
                  <w:vMerge w:val="continue"/>
                  <w:tcBorders>
                    <w:tl2br w:val="nil"/>
                    <w:tr2bl w:val="nil"/>
                  </w:tcBorders>
                  <w:noWrap w:val="0"/>
                  <w:vAlign w:val="center"/>
                </w:tcPr>
                <w:p>
                  <w:pPr>
                    <w:pStyle w:val="10"/>
                    <w:bidi w:val="0"/>
                    <w:rPr>
                      <w:rFonts w:hint="default"/>
                      <w:lang w:eastAsia="zh-CN"/>
                    </w:rPr>
                  </w:pPr>
                </w:p>
              </w:tc>
              <w:tc>
                <w:tcPr>
                  <w:tcW w:w="0" w:type="auto"/>
                  <w:tcBorders>
                    <w:tl2br w:val="nil"/>
                    <w:tr2bl w:val="nil"/>
                  </w:tcBorders>
                  <w:noWrap w:val="0"/>
                  <w:vAlign w:val="center"/>
                </w:tcPr>
                <w:p>
                  <w:pPr>
                    <w:pStyle w:val="10"/>
                    <w:bidi w:val="0"/>
                    <w:rPr>
                      <w:rFonts w:hint="default"/>
                      <w:lang w:val="en-US" w:eastAsia="zh-CN"/>
                    </w:rPr>
                  </w:pPr>
                  <w:r>
                    <w:rPr>
                      <w:rFonts w:hint="eastAsia"/>
                      <w:lang w:eastAsia="zh-CN"/>
                    </w:rPr>
                    <w:t>频次</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萘</w:t>
                  </w:r>
                </w:p>
                <w:p>
                  <w:pPr>
                    <w:pStyle w:val="10"/>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10"/>
                    <w:bidi w:val="0"/>
                    <w:rPr>
                      <w:rFonts w:hint="default"/>
                      <w:lang w:eastAsia="zh-CN"/>
                    </w:rPr>
                  </w:pPr>
                  <w:r>
                    <w:rPr>
                      <w:rFonts w:hint="default"/>
                      <w:lang w:eastAsia="zh-CN"/>
                    </w:rPr>
                    <w:t>苯</w:t>
                  </w:r>
                </w:p>
                <w:p>
                  <w:pPr>
                    <w:pStyle w:val="10"/>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10"/>
                    <w:bidi w:val="0"/>
                    <w:rPr>
                      <w:rFonts w:hint="default"/>
                      <w:lang w:eastAsia="zh-CN"/>
                    </w:rPr>
                  </w:pPr>
                  <w:r>
                    <w:rPr>
                      <w:rFonts w:hint="default"/>
                      <w:lang w:eastAsia="zh-CN"/>
                    </w:rPr>
                    <w:t>甲苯</w:t>
                  </w:r>
                </w:p>
                <w:p>
                  <w:pPr>
                    <w:pStyle w:val="10"/>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10"/>
                    <w:bidi w:val="0"/>
                    <w:rPr>
                      <w:rFonts w:hint="default"/>
                      <w:lang w:eastAsia="zh-CN"/>
                    </w:rPr>
                  </w:pPr>
                  <w:r>
                    <w:rPr>
                      <w:rFonts w:hint="default"/>
                    </w:rPr>
                    <w:t>乙苯</w:t>
                  </w:r>
                </w:p>
                <w:p>
                  <w:pPr>
                    <w:pStyle w:val="10"/>
                    <w:bidi w:val="0"/>
                    <w:rPr>
                      <w:rFonts w:hint="default"/>
                      <w:lang w:val="en-US" w:eastAsia="zh-CN"/>
                    </w:rPr>
                  </w:pPr>
                  <w:r>
                    <w:rPr>
                      <w:rFonts w:hint="default"/>
                      <w:lang w:val="en-US" w:eastAsia="zh-CN"/>
                    </w:rPr>
                    <w:t>(</w:t>
                  </w:r>
                  <w:r>
                    <w:rPr>
                      <w:rFonts w:hint="default"/>
                    </w:rPr>
                    <w:t>μg/L</w:t>
                  </w:r>
                  <w:r>
                    <w:rPr>
                      <w:rFonts w:hint="default"/>
                      <w:lang w:val="en-US" w:eastAsia="zh-CN"/>
                    </w:rPr>
                    <w:t>)</w:t>
                  </w:r>
                </w:p>
              </w:tc>
              <w:tc>
                <w:tcPr>
                  <w:tcW w:w="0" w:type="auto"/>
                  <w:tcBorders>
                    <w:tl2br w:val="nil"/>
                    <w:tr2bl w:val="nil"/>
                  </w:tcBorders>
                  <w:noWrap w:val="0"/>
                  <w:vAlign w:val="center"/>
                </w:tcPr>
                <w:p>
                  <w:pPr>
                    <w:pStyle w:val="10"/>
                    <w:bidi w:val="0"/>
                    <w:rPr>
                      <w:rFonts w:hint="default"/>
                      <w:lang w:val="en-US" w:eastAsia="zh-CN"/>
                    </w:rPr>
                  </w:pPr>
                  <w:r>
                    <w:rPr>
                      <w:rFonts w:hint="default"/>
                    </w:rPr>
                    <w:t>邻二甲苯（μg/L）</w:t>
                  </w:r>
                </w:p>
              </w:tc>
              <w:tc>
                <w:tcPr>
                  <w:tcW w:w="0" w:type="auto"/>
                  <w:tcBorders>
                    <w:tl2br w:val="nil"/>
                    <w:tr2bl w:val="nil"/>
                  </w:tcBorders>
                  <w:noWrap w:val="0"/>
                  <w:vAlign w:val="center"/>
                </w:tcPr>
                <w:p>
                  <w:pPr>
                    <w:pStyle w:val="10"/>
                    <w:bidi w:val="0"/>
                    <w:rPr>
                      <w:rFonts w:hint="default"/>
                      <w:lang w:val="en-US" w:eastAsia="zh-CN"/>
                    </w:rPr>
                  </w:pPr>
                  <w:r>
                    <w:rPr>
                      <w:rFonts w:hint="default"/>
                    </w:rPr>
                    <w:t>间</w:t>
                  </w:r>
                  <w:r>
                    <w:rPr>
                      <w:rFonts w:hint="eastAsia"/>
                      <w:lang w:eastAsia="zh-CN"/>
                    </w:rPr>
                    <w:t>，对</w:t>
                  </w:r>
                  <w:r>
                    <w:rPr>
                      <w:rFonts w:hint="eastAsia"/>
                      <w:lang w:val="en-US" w:eastAsia="zh-CN"/>
                    </w:rPr>
                    <w:t>-</w:t>
                  </w:r>
                  <w:r>
                    <w:rPr>
                      <w:rFonts w:hint="default"/>
                    </w:rPr>
                    <w:t>二甲苯（μg/L）</w:t>
                  </w:r>
                </w:p>
              </w:tc>
              <w:tc>
                <w:tcPr>
                  <w:tcW w:w="0" w:type="auto"/>
                  <w:tcBorders>
                    <w:tl2br w:val="nil"/>
                    <w:tr2bl w:val="nil"/>
                  </w:tcBorders>
                  <w:noWrap w:val="0"/>
                  <w:vAlign w:val="center"/>
                </w:tcPr>
                <w:p>
                  <w:pPr>
                    <w:pStyle w:val="10"/>
                    <w:bidi w:val="0"/>
                    <w:rPr>
                      <w:rFonts w:hint="default"/>
                    </w:rPr>
                  </w:pPr>
                  <w:r>
                    <w:rPr>
                      <w:rFonts w:hint="default"/>
                    </w:rPr>
                    <w:t>铅</w:t>
                  </w:r>
                </w:p>
                <w:p>
                  <w:pPr>
                    <w:pStyle w:val="10"/>
                    <w:bidi w:val="0"/>
                    <w:rPr>
                      <w:rFonts w:hint="default"/>
                      <w:lang w:val="en-US" w:eastAsia="zh-CN"/>
                    </w:rPr>
                  </w:pPr>
                  <w:r>
                    <w:rPr>
                      <w:rFonts w:hint="default"/>
                      <w:lang w:val="en-US" w:eastAsia="zh-CN"/>
                    </w:rPr>
                    <w:t>(μg/L)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10"/>
                    <w:bidi w:val="0"/>
                    <w:rPr>
                      <w:rFonts w:hint="default"/>
                    </w:rPr>
                  </w:pPr>
                </w:p>
              </w:tc>
              <w:tc>
                <w:tcPr>
                  <w:tcW w:w="0" w:type="auto"/>
                  <w:vMerge w:val="continue"/>
                  <w:tcBorders>
                    <w:tl2br w:val="nil"/>
                    <w:tr2bl w:val="nil"/>
                  </w:tcBorders>
                  <w:noWrap w:val="0"/>
                  <w:vAlign w:val="center"/>
                </w:tcPr>
                <w:p>
                  <w:pPr>
                    <w:pStyle w:val="10"/>
                    <w:bidi w:val="0"/>
                    <w:rPr>
                      <w:rFonts w:hint="default"/>
                      <w:lang w:eastAsia="zh-CN"/>
                    </w:rPr>
                  </w:pP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第1次</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10"/>
                    <w:bidi w:val="0"/>
                    <w:rPr>
                      <w:rFonts w:hint="default"/>
                    </w:rPr>
                  </w:pPr>
                </w:p>
              </w:tc>
              <w:tc>
                <w:tcPr>
                  <w:tcW w:w="0" w:type="auto"/>
                  <w:vMerge w:val="continue"/>
                  <w:tcBorders>
                    <w:tl2br w:val="nil"/>
                    <w:tr2bl w:val="nil"/>
                  </w:tcBorders>
                  <w:noWrap w:val="0"/>
                  <w:vAlign w:val="center"/>
                </w:tcPr>
                <w:p>
                  <w:pPr>
                    <w:pStyle w:val="10"/>
                    <w:bidi w:val="0"/>
                    <w:rPr>
                      <w:rFonts w:hint="default"/>
                      <w:lang w:eastAsia="zh-CN"/>
                    </w:rPr>
                  </w:pP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第2次</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10"/>
                    <w:bidi w:val="0"/>
                    <w:rPr>
                      <w:rFonts w:hint="default"/>
                    </w:rPr>
                  </w:pPr>
                </w:p>
              </w:tc>
              <w:tc>
                <w:tcPr>
                  <w:tcW w:w="0" w:type="auto"/>
                  <w:vMerge w:val="continue"/>
                  <w:tcBorders>
                    <w:tl2br w:val="nil"/>
                    <w:tr2bl w:val="nil"/>
                  </w:tcBorders>
                  <w:noWrap w:val="0"/>
                  <w:vAlign w:val="center"/>
                </w:tcPr>
                <w:p>
                  <w:pPr>
                    <w:pStyle w:val="10"/>
                    <w:bidi w:val="0"/>
                    <w:rPr>
                      <w:rFonts w:hint="default"/>
                      <w:lang w:eastAsia="zh-CN"/>
                    </w:rPr>
                  </w:pPr>
                </w:p>
              </w:tc>
              <w:tc>
                <w:tcPr>
                  <w:tcW w:w="0" w:type="auto"/>
                  <w:tcBorders>
                    <w:tl2br w:val="nil"/>
                    <w:tr2bl w:val="nil"/>
                  </w:tcBorders>
                  <w:noWrap w:val="0"/>
                  <w:vAlign w:val="center"/>
                </w:tcPr>
                <w:p>
                  <w:pPr>
                    <w:pStyle w:val="10"/>
                    <w:bidi w:val="0"/>
                    <w:rPr>
                      <w:rFonts w:hint="default"/>
                      <w:lang w:val="en-US" w:eastAsia="zh-CN"/>
                    </w:rPr>
                  </w:pPr>
                  <w:r>
                    <w:rPr>
                      <w:rFonts w:hint="eastAsia"/>
                      <w:lang w:eastAsia="zh-CN"/>
                    </w:rPr>
                    <w:t>频次</w:t>
                  </w:r>
                </w:p>
              </w:tc>
              <w:tc>
                <w:tcPr>
                  <w:tcW w:w="0" w:type="auto"/>
                  <w:tcBorders>
                    <w:tl2br w:val="nil"/>
                    <w:tr2bl w:val="nil"/>
                  </w:tcBorders>
                  <w:noWrap w:val="0"/>
                  <w:vAlign w:val="center"/>
                </w:tcPr>
                <w:p>
                  <w:pPr>
                    <w:pStyle w:val="10"/>
                    <w:bidi w:val="0"/>
                    <w:rPr>
                      <w:rFonts w:hint="default"/>
                    </w:rPr>
                  </w:pPr>
                  <w:r>
                    <w:rPr>
                      <w:rFonts w:hint="default"/>
                    </w:rPr>
                    <w:t>甲基叔丁基醚</w:t>
                  </w:r>
                </w:p>
                <w:p>
                  <w:pPr>
                    <w:pStyle w:val="10"/>
                    <w:bidi w:val="0"/>
                    <w:rPr>
                      <w:rFonts w:hint="default"/>
                      <w:lang w:val="en-US" w:eastAsia="zh-CN"/>
                    </w:rPr>
                  </w:pPr>
                  <w:r>
                    <w:rPr>
                      <w:rFonts w:hint="default"/>
                    </w:rPr>
                    <w:t>（μg/L）</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总石油烃</w:t>
                  </w:r>
                </w:p>
                <w:p>
                  <w:pPr>
                    <w:pStyle w:val="10"/>
                    <w:bidi w:val="0"/>
                    <w:rPr>
                      <w:rFonts w:hint="default"/>
                      <w:lang w:val="en-US" w:eastAsia="zh-CN"/>
                    </w:rPr>
                  </w:pPr>
                  <w:r>
                    <w:rPr>
                      <w:rFonts w:hint="default"/>
                      <w:lang w:val="en-US" w:eastAsia="zh-CN"/>
                    </w:rPr>
                    <w:t>(</w:t>
                  </w:r>
                  <w:r>
                    <w:rPr>
                      <w:rFonts w:hint="default"/>
                    </w:rPr>
                    <w:t>mg/L</w:t>
                  </w:r>
                  <w:r>
                    <w:rPr>
                      <w:rFonts w:hint="default"/>
                      <w:lang w:val="en-US" w:eastAsia="zh-CN"/>
                    </w:rPr>
                    <w:t>)</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C6-C9挥发性石油烃</w:t>
                  </w:r>
                </w:p>
                <w:p>
                  <w:pPr>
                    <w:pStyle w:val="10"/>
                    <w:bidi w:val="0"/>
                    <w:rPr>
                      <w:rFonts w:hint="default"/>
                      <w:lang w:val="en-US" w:eastAsia="zh-CN"/>
                    </w:rPr>
                  </w:pPr>
                  <w:r>
                    <w:rPr>
                      <w:rFonts w:hint="default"/>
                      <w:lang w:val="en-US" w:eastAsia="zh-CN"/>
                    </w:rPr>
                    <w:t>(</w:t>
                  </w:r>
                  <w:r>
                    <w:rPr>
                      <w:rFonts w:hint="default"/>
                    </w:rPr>
                    <w:t>mg/L</w:t>
                  </w:r>
                  <w:r>
                    <w:rPr>
                      <w:rFonts w:hint="default"/>
                      <w:lang w:val="en-US" w:eastAsia="zh-CN"/>
                    </w:rPr>
                    <w:t>)</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C10-C40可萃取性石油烃</w:t>
                  </w:r>
                </w:p>
                <w:p>
                  <w:pPr>
                    <w:pStyle w:val="10"/>
                    <w:bidi w:val="0"/>
                    <w:rPr>
                      <w:rFonts w:hint="default"/>
                      <w:lang w:val="en-US" w:eastAsia="zh-CN"/>
                    </w:rPr>
                  </w:pPr>
                  <w:r>
                    <w:rPr>
                      <w:rFonts w:hint="default"/>
                      <w:lang w:val="en-US" w:eastAsia="zh-CN"/>
                    </w:rPr>
                    <w:t>(</w:t>
                  </w:r>
                  <w:r>
                    <w:rPr>
                      <w:rFonts w:hint="default"/>
                    </w:rPr>
                    <w:t>mg/L</w:t>
                  </w:r>
                  <w:r>
                    <w:rPr>
                      <w:rFonts w:hint="default"/>
                      <w:lang w:val="en-US" w:eastAsia="zh-CN"/>
                    </w:rPr>
                    <w:t>)</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1,1-</w:t>
                  </w:r>
                  <w:r>
                    <w:rPr>
                      <w:rFonts w:hint="default"/>
                      <w:lang w:eastAsia="zh-CN"/>
                    </w:rPr>
                    <w:t>二氯乙烷（</w:t>
                  </w:r>
                  <w:r>
                    <w:rPr>
                      <w:rFonts w:hint="default"/>
                      <w:lang w:val="en-US" w:eastAsia="zh-CN"/>
                    </w:rPr>
                    <w:t>μg/L</w:t>
                  </w:r>
                  <w:r>
                    <w:rPr>
                      <w:rFonts w:hint="default"/>
                      <w:lang w:eastAsia="zh-CN"/>
                    </w:rPr>
                    <w:t>）</w:t>
                  </w:r>
                </w:p>
              </w:tc>
              <w:tc>
                <w:tcPr>
                  <w:tcW w:w="0" w:type="auto"/>
                  <w:tcBorders>
                    <w:tl2br w:val="nil"/>
                    <w:tr2bl w:val="nil"/>
                  </w:tcBorders>
                  <w:noWrap w:val="0"/>
                  <w:vAlign w:val="center"/>
                </w:tcPr>
                <w:p>
                  <w:pPr>
                    <w:pStyle w:val="10"/>
                    <w:bidi w:val="0"/>
                    <w:rPr>
                      <w:rFonts w:hint="default"/>
                      <w:lang w:val="en-US" w:eastAsia="zh-CN"/>
                    </w:rPr>
                  </w:pPr>
                  <w:r>
                    <w:rPr>
                      <w:rFonts w:hint="default"/>
                      <w:lang w:val="en-US" w:eastAsia="zh-CN"/>
                    </w:rPr>
                    <w:t>1,2-</w:t>
                  </w:r>
                  <w:r>
                    <w:rPr>
                      <w:rFonts w:hint="default"/>
                      <w:lang w:eastAsia="zh-CN"/>
                    </w:rPr>
                    <w:t>二氯乙烷（</w:t>
                  </w:r>
                  <w:r>
                    <w:rPr>
                      <w:rFonts w:hint="default"/>
                      <w:lang w:val="en-US" w:eastAsia="zh-CN"/>
                    </w:rPr>
                    <w:t>μg/L</w:t>
                  </w:r>
                  <w:r>
                    <w:rPr>
                      <w:rFonts w:hint="default"/>
                      <w:lang w:eastAsia="zh-CN"/>
                    </w:rPr>
                    <w:t>）</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10"/>
                    <w:bidi w:val="0"/>
                    <w:rPr>
                      <w:rFonts w:hint="default"/>
                    </w:rPr>
                  </w:pPr>
                </w:p>
              </w:tc>
              <w:tc>
                <w:tcPr>
                  <w:tcW w:w="0" w:type="auto"/>
                  <w:vMerge w:val="continue"/>
                  <w:tcBorders>
                    <w:tl2br w:val="nil"/>
                    <w:tr2bl w:val="nil"/>
                  </w:tcBorders>
                  <w:noWrap w:val="0"/>
                  <w:vAlign w:val="center"/>
                </w:tcPr>
                <w:p>
                  <w:pPr>
                    <w:pStyle w:val="10"/>
                    <w:bidi w:val="0"/>
                    <w:rPr>
                      <w:rFonts w:hint="default"/>
                      <w:lang w:eastAsia="zh-CN"/>
                    </w:rPr>
                  </w:pP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第1次</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0.02</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0" w:type="auto"/>
                  <w:vMerge w:val="continue"/>
                  <w:tcBorders>
                    <w:tl2br w:val="nil"/>
                    <w:tr2bl w:val="nil"/>
                  </w:tcBorders>
                  <w:noWrap w:val="0"/>
                  <w:vAlign w:val="center"/>
                </w:tcPr>
                <w:p>
                  <w:pPr>
                    <w:pStyle w:val="10"/>
                    <w:bidi w:val="0"/>
                    <w:rPr>
                      <w:rFonts w:hint="default"/>
                    </w:rPr>
                  </w:pPr>
                </w:p>
              </w:tc>
              <w:tc>
                <w:tcPr>
                  <w:tcW w:w="0" w:type="auto"/>
                  <w:vMerge w:val="continue"/>
                  <w:tcBorders>
                    <w:tl2br w:val="nil"/>
                    <w:tr2bl w:val="nil"/>
                  </w:tcBorders>
                  <w:noWrap w:val="0"/>
                  <w:vAlign w:val="center"/>
                </w:tcPr>
                <w:p>
                  <w:pPr>
                    <w:pStyle w:val="10"/>
                    <w:bidi w:val="0"/>
                    <w:rPr>
                      <w:rFonts w:hint="default"/>
                      <w:lang w:eastAsia="zh-CN"/>
                    </w:rPr>
                  </w:pP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第2次</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0.02</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eastAsia"/>
                      <w:lang w:val="en-US" w:eastAsia="zh-CN"/>
                    </w:rPr>
                  </w:pPr>
                  <w:r>
                    <w:rPr>
                      <w:rFonts w:hint="eastAsia"/>
                      <w:lang w:val="en-US" w:eastAsia="zh-CN"/>
                    </w:rPr>
                    <w:t>未检出</w:t>
                  </w:r>
                </w:p>
              </w:tc>
              <w:tc>
                <w:tcPr>
                  <w:tcW w:w="0" w:type="auto"/>
                  <w:tcBorders>
                    <w:tl2br w:val="nil"/>
                    <w:tr2bl w:val="nil"/>
                  </w:tcBorders>
                  <w:noWrap w:val="0"/>
                  <w:vAlign w:val="center"/>
                </w:tcPr>
                <w:p>
                  <w:pPr>
                    <w:pStyle w:val="10"/>
                    <w:bidi w:val="0"/>
                    <w:rPr>
                      <w:rFonts w:hint="default"/>
                      <w:lang w:val="en-US" w:eastAsia="zh-CN"/>
                    </w:rPr>
                  </w:pPr>
                  <w:r>
                    <w:rPr>
                      <w:rFonts w:hint="eastAsia"/>
                      <w:lang w:val="en-US" w:eastAsia="zh-CN"/>
                    </w:rPr>
                    <w:t>/</w:t>
                  </w:r>
                </w:p>
              </w:tc>
            </w:tr>
          </w:tbl>
          <w:p>
            <w:pPr>
              <w:spacing w:before="156" w:beforeLines="50" w:line="360" w:lineRule="auto"/>
              <w:ind w:firstLine="480" w:firstLineChars="200"/>
              <w:rPr>
                <w:rFonts w:ascii="Times New Roman" w:hAnsi="Times New Roman"/>
                <w:sz w:val="24"/>
              </w:rPr>
            </w:pPr>
            <w:r>
              <w:rPr>
                <w:rFonts w:hint="eastAsia" w:ascii="Times New Roman" w:hAnsi="Times New Roman"/>
                <w:sz w:val="24"/>
              </w:rPr>
              <w:t>根据</w:t>
            </w:r>
            <w:r>
              <w:rPr>
                <w:rFonts w:ascii="Times New Roman" w:hAnsi="Times New Roman"/>
                <w:sz w:val="24"/>
              </w:rPr>
              <w:t>表</w:t>
            </w:r>
            <w:r>
              <w:rPr>
                <w:rFonts w:hint="eastAsia" w:ascii="Times New Roman" w:hAnsi="Times New Roman"/>
                <w:sz w:val="24"/>
                <w:lang w:val="en-US" w:eastAsia="zh-CN"/>
              </w:rPr>
              <w:t>1</w:t>
            </w:r>
            <w:r>
              <w:rPr>
                <w:rFonts w:hint="eastAsia"/>
                <w:sz w:val="24"/>
                <w:lang w:val="en-US" w:eastAsia="zh-CN"/>
              </w:rPr>
              <w:t>2</w:t>
            </w:r>
            <w:r>
              <w:rPr>
                <w:rFonts w:hint="eastAsia" w:ascii="Times New Roman" w:hAnsi="Times New Roman"/>
                <w:sz w:val="24"/>
              </w:rPr>
              <w:t>可</w:t>
            </w:r>
            <w:r>
              <w:rPr>
                <w:rFonts w:ascii="Times New Roman" w:hAnsi="Times New Roman"/>
                <w:sz w:val="24"/>
              </w:rPr>
              <w:t>知，</w:t>
            </w:r>
            <w:r>
              <w:rPr>
                <w:rFonts w:hint="eastAsia" w:ascii="Times New Roman" w:hAnsi="Times New Roman"/>
                <w:sz w:val="24"/>
              </w:rPr>
              <w:t>项目区域内的地下水各项监测因子均能满足《地下水质量标准》（</w:t>
            </w:r>
            <w:r>
              <w:rPr>
                <w:rFonts w:hint="eastAsia" w:ascii="Times New Roman" w:hAnsi="Times New Roman"/>
                <w:sz w:val="24"/>
                <w:szCs w:val="22"/>
              </w:rPr>
              <w:t>GB/T14848-2017）Ⅲ类</w:t>
            </w:r>
            <w:r>
              <w:rPr>
                <w:rFonts w:hint="eastAsia" w:ascii="Times New Roman" w:hAnsi="Times New Roman"/>
                <w:sz w:val="24"/>
              </w:rPr>
              <w:t>标准限值的要求，拟建项目</w:t>
            </w:r>
            <w:r>
              <w:rPr>
                <w:rFonts w:ascii="Times New Roman" w:hAnsi="Times New Roman"/>
                <w:sz w:val="24"/>
              </w:rPr>
              <w:t>所在区域地下水环境质量</w:t>
            </w:r>
            <w:r>
              <w:rPr>
                <w:rFonts w:hint="eastAsia" w:ascii="Times New Roman" w:hAnsi="Times New Roman"/>
                <w:sz w:val="24"/>
              </w:rPr>
              <w:t>状况较好</w:t>
            </w:r>
            <w:r>
              <w:rPr>
                <w:rFonts w:ascii="Times New Roman" w:hAnsi="Times New Roman"/>
                <w:sz w:val="24"/>
              </w:rPr>
              <w:t>。</w:t>
            </w:r>
          </w:p>
          <w:p>
            <w:pPr>
              <w:spacing w:line="600" w:lineRule="exact"/>
              <w:ind w:firstLine="482" w:firstLineChars="200"/>
              <w:rPr>
                <w:rFonts w:ascii="Times New Roman" w:hAnsi="Times New Roman"/>
                <w:b/>
                <w:color w:val="000000"/>
                <w:sz w:val="24"/>
              </w:rPr>
            </w:pPr>
            <w:r>
              <w:rPr>
                <w:rFonts w:hint="eastAsia" w:ascii="Times New Roman" w:hAnsi="Times New Roman"/>
                <w:b/>
                <w:color w:val="000000"/>
                <w:sz w:val="24"/>
              </w:rPr>
              <w:t>4</w:t>
            </w:r>
            <w:r>
              <w:rPr>
                <w:rFonts w:ascii="Times New Roman" w:hAnsi="Times New Roman"/>
                <w:b/>
                <w:color w:val="000000"/>
                <w:sz w:val="24"/>
              </w:rPr>
              <w:t>、</w:t>
            </w:r>
            <w:r>
              <w:rPr>
                <w:rFonts w:ascii="Times New Roman" w:hAnsi="Times New Roman"/>
                <w:b/>
                <w:sz w:val="24"/>
              </w:rPr>
              <w:t>声环境</w:t>
            </w:r>
          </w:p>
          <w:p>
            <w:pPr>
              <w:spacing w:line="360" w:lineRule="auto"/>
              <w:ind w:firstLine="480" w:firstLineChars="200"/>
              <w:rPr>
                <w:rFonts w:hint="eastAsia" w:ascii="Times New Roman" w:hAnsi="Times New Roman" w:cs="宋体"/>
                <w:sz w:val="24"/>
                <w:szCs w:val="24"/>
              </w:rPr>
            </w:pPr>
            <w:r>
              <w:rPr>
                <w:rFonts w:ascii="Times New Roman" w:hAnsi="Times New Roman"/>
                <w:color w:val="000000"/>
                <w:sz w:val="24"/>
              </w:rPr>
              <w:t>根据《声环境功能区划分技术规范》</w:t>
            </w:r>
            <w:r>
              <w:rPr>
                <w:rFonts w:hint="eastAsia" w:ascii="Times New Roman" w:hAnsi="Times New Roman"/>
                <w:color w:val="000000"/>
                <w:sz w:val="24"/>
              </w:rPr>
              <w:t>（</w:t>
            </w:r>
            <w:r>
              <w:rPr>
                <w:rFonts w:ascii="Times New Roman" w:hAnsi="Times New Roman"/>
                <w:color w:val="000000"/>
                <w:sz w:val="24"/>
              </w:rPr>
              <w:t>GB/T15190-2014</w:t>
            </w:r>
            <w:r>
              <w:rPr>
                <w:rFonts w:hint="eastAsia" w:ascii="Times New Roman" w:hAnsi="Times New Roman"/>
                <w:color w:val="000000"/>
                <w:sz w:val="24"/>
              </w:rPr>
              <w:t>）</w:t>
            </w:r>
            <w:r>
              <w:rPr>
                <w:rFonts w:ascii="Times New Roman" w:hAnsi="Times New Roman"/>
                <w:color w:val="000000"/>
                <w:sz w:val="24"/>
              </w:rPr>
              <w:t>，本项目</w:t>
            </w:r>
            <w:r>
              <w:rPr>
                <w:rFonts w:hint="eastAsia" w:ascii="Times New Roman" w:hAnsi="Times New Roman" w:eastAsia="宋体"/>
                <w:color w:val="000000"/>
                <w:sz w:val="24"/>
                <w:lang w:eastAsia="zh-CN"/>
              </w:rPr>
              <w:t>为高速公路服务区加油站</w:t>
            </w:r>
            <w:r>
              <w:rPr>
                <w:rFonts w:ascii="Times New Roman" w:hAnsi="Times New Roman"/>
                <w:color w:val="000000"/>
                <w:sz w:val="24"/>
              </w:rPr>
              <w:t>，执行《声环境质量标准》</w:t>
            </w:r>
            <w:r>
              <w:rPr>
                <w:rFonts w:hint="eastAsia" w:ascii="Times New Roman" w:hAnsi="Times New Roman"/>
                <w:color w:val="000000"/>
                <w:sz w:val="24"/>
              </w:rPr>
              <w:t>（</w:t>
            </w:r>
            <w:r>
              <w:rPr>
                <w:rFonts w:ascii="Times New Roman" w:hAnsi="Times New Roman"/>
                <w:color w:val="000000"/>
                <w:sz w:val="24"/>
              </w:rPr>
              <w:t>GB3096－2008</w:t>
            </w:r>
            <w:r>
              <w:rPr>
                <w:rFonts w:hint="eastAsia" w:ascii="Times New Roman" w:hAnsi="Times New Roman"/>
                <w:color w:val="000000"/>
                <w:sz w:val="24"/>
              </w:rPr>
              <w:t>）</w:t>
            </w:r>
            <w:r>
              <w:rPr>
                <w:rFonts w:ascii="Times New Roman" w:hAnsi="Times New Roman"/>
                <w:color w:val="000000"/>
                <w:sz w:val="24"/>
              </w:rPr>
              <w:t>中</w:t>
            </w:r>
            <w:r>
              <w:rPr>
                <w:rFonts w:hint="eastAsia" w:ascii="Times New Roman" w:hAnsi="Times New Roman"/>
                <w:color w:val="000000"/>
                <w:sz w:val="24"/>
                <w:lang w:val="en-US" w:eastAsia="zh-CN"/>
              </w:rPr>
              <w:t>2类</w:t>
            </w:r>
            <w:r>
              <w:rPr>
                <w:rFonts w:hint="eastAsia" w:ascii="Times New Roman" w:hAnsi="Times New Roman" w:eastAsia="宋体"/>
                <w:color w:val="000000"/>
                <w:sz w:val="24"/>
                <w:lang w:val="en-US" w:eastAsia="zh-CN"/>
              </w:rPr>
              <w:t>4a</w:t>
            </w:r>
            <w:r>
              <w:rPr>
                <w:rFonts w:ascii="Times New Roman" w:hAnsi="Times New Roman"/>
                <w:color w:val="000000"/>
                <w:sz w:val="24"/>
              </w:rPr>
              <w:t>类标准，</w:t>
            </w:r>
            <w:r>
              <w:rPr>
                <w:rFonts w:hint="eastAsia" w:ascii="Times New Roman" w:hAnsi="Times New Roman" w:eastAsia="宋体"/>
                <w:color w:val="000000"/>
                <w:sz w:val="24"/>
                <w:lang w:eastAsia="zh-CN"/>
              </w:rPr>
              <w:t>通过对</w:t>
            </w:r>
            <w:r>
              <w:rPr>
                <w:rFonts w:hint="eastAsia" w:ascii="Times New Roman" w:hAnsi="Times New Roman" w:cs="宋体"/>
                <w:sz w:val="24"/>
                <w:szCs w:val="24"/>
              </w:rPr>
              <w:t>本项目四周</w:t>
            </w:r>
            <w:r>
              <w:rPr>
                <w:rFonts w:hint="eastAsia" w:ascii="Times New Roman" w:hAnsi="Times New Roman" w:eastAsia="宋体" w:cs="宋体"/>
                <w:sz w:val="24"/>
                <w:szCs w:val="24"/>
                <w:lang w:eastAsia="zh-CN"/>
              </w:rPr>
              <w:t>噪声实测</w:t>
            </w:r>
            <w:r>
              <w:rPr>
                <w:rFonts w:hint="eastAsia" w:ascii="Times New Roman" w:hAnsi="Times New Roman" w:cs="宋体"/>
                <w:sz w:val="24"/>
                <w:szCs w:val="24"/>
              </w:rPr>
              <w:t>，实测数据见表</w:t>
            </w:r>
            <w:r>
              <w:rPr>
                <w:rFonts w:hint="eastAsia" w:ascii="Times New Roman" w:hAnsi="Times New Roman" w:cs="宋体"/>
                <w:sz w:val="24"/>
                <w:szCs w:val="24"/>
                <w:lang w:val="en-US" w:eastAsia="zh-CN"/>
              </w:rPr>
              <w:t>1</w:t>
            </w:r>
            <w:r>
              <w:rPr>
                <w:rFonts w:hint="eastAsia" w:cs="宋体"/>
                <w:sz w:val="24"/>
                <w:szCs w:val="24"/>
                <w:lang w:val="en-US" w:eastAsia="zh-CN"/>
              </w:rPr>
              <w:t>3</w:t>
            </w:r>
            <w:r>
              <w:rPr>
                <w:rFonts w:hint="eastAsia" w:ascii="Times New Roman" w:hAnsi="Times New Roman" w:cs="宋体"/>
                <w:sz w:val="24"/>
                <w:szCs w:val="24"/>
              </w:rPr>
              <w:t>。</w:t>
            </w:r>
          </w:p>
          <w:p>
            <w:pPr>
              <w:bidi w:val="0"/>
              <w:jc w:val="center"/>
              <w:rPr>
                <w:rFonts w:hint="eastAsia" w:ascii="Times New Roman" w:hAnsi="Times New Roman"/>
              </w:rPr>
            </w:pPr>
            <w:r>
              <w:rPr>
                <w:rFonts w:hint="eastAsia"/>
              </w:rPr>
              <w:t>表</w:t>
            </w:r>
            <w:r>
              <w:rPr>
                <w:rFonts w:hint="eastAsia"/>
                <w:lang w:val="en-US" w:eastAsia="zh-CN"/>
              </w:rPr>
              <w:t xml:space="preserve">13 </w:t>
            </w:r>
            <w:r>
              <w:rPr>
                <w:rFonts w:hint="eastAsia"/>
              </w:rPr>
              <w:t xml:space="preserve"> </w:t>
            </w:r>
            <w:r>
              <w:rPr>
                <w:rFonts w:hint="eastAsia"/>
                <w:lang w:val="en-US" w:eastAsia="zh-CN"/>
              </w:rPr>
              <w:t xml:space="preserve">  </w:t>
            </w:r>
            <w:r>
              <w:rPr>
                <w:rFonts w:hint="eastAsia"/>
              </w:rPr>
              <w:t>厂界周围声环境现状监测结果</w:t>
            </w:r>
          </w:p>
          <w:tbl>
            <w:tblPr>
              <w:tblStyle w:val="20"/>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76"/>
              <w:gridCol w:w="2076"/>
              <w:gridCol w:w="1289"/>
              <w:gridCol w:w="1497"/>
              <w:gridCol w:w="136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1250" w:type="pct"/>
                  <w:vMerge w:val="restart"/>
                  <w:tcBorders>
                    <w:top w:val="single" w:color="auto" w:sz="4" w:space="0"/>
                    <w:left w:val="single" w:color="000000" w:sz="0" w:space="0"/>
                    <w:bottom w:val="single" w:color="auto" w:sz="4" w:space="0"/>
                    <w:right w:val="single" w:color="auto" w:sz="4" w:space="0"/>
                  </w:tcBorders>
                  <w:noWrap w:val="0"/>
                  <w:vAlign w:val="center"/>
                </w:tcPr>
                <w:p>
                  <w:pPr>
                    <w:pStyle w:val="10"/>
                    <w:bidi w:val="0"/>
                    <w:rPr>
                      <w:rFonts w:hint="eastAsia"/>
                    </w:rPr>
                  </w:pPr>
                  <w:r>
                    <w:rPr>
                      <w:rFonts w:hint="eastAsia"/>
                    </w:rPr>
                    <w:t>监测日期</w:t>
                  </w:r>
                </w:p>
              </w:tc>
              <w:tc>
                <w:tcPr>
                  <w:tcW w:w="1250" w:type="pct"/>
                  <w:vMerge w:val="restart"/>
                  <w:tcBorders>
                    <w:top w:val="single" w:color="auto" w:sz="4" w:space="0"/>
                    <w:left w:val="single" w:color="auto" w:sz="4" w:space="0"/>
                    <w:bottom w:val="single" w:color="auto" w:sz="4" w:space="0"/>
                    <w:right w:val="single" w:color="auto" w:sz="4" w:space="0"/>
                  </w:tcBorders>
                  <w:noWrap w:val="0"/>
                  <w:vAlign w:val="center"/>
                </w:tcPr>
                <w:p>
                  <w:pPr>
                    <w:pStyle w:val="10"/>
                    <w:bidi w:val="0"/>
                  </w:pPr>
                  <w:r>
                    <w:t>方位</w:t>
                  </w:r>
                </w:p>
              </w:tc>
              <w:tc>
                <w:tcPr>
                  <w:tcW w:w="1677" w:type="pct"/>
                  <w:gridSpan w:val="2"/>
                  <w:tcBorders>
                    <w:top w:val="single" w:color="auto" w:sz="4" w:space="0"/>
                    <w:left w:val="single" w:color="auto" w:sz="4" w:space="0"/>
                    <w:bottom w:val="single" w:color="auto" w:sz="4" w:space="0"/>
                    <w:right w:val="single" w:color="auto" w:sz="4" w:space="0"/>
                  </w:tcBorders>
                  <w:noWrap w:val="0"/>
                  <w:vAlign w:val="center"/>
                </w:tcPr>
                <w:p>
                  <w:pPr>
                    <w:pStyle w:val="10"/>
                    <w:bidi w:val="0"/>
                  </w:pPr>
                  <w:r>
                    <w:t>测量值</w:t>
                  </w:r>
                </w:p>
              </w:tc>
              <w:tc>
                <w:tcPr>
                  <w:tcW w:w="822" w:type="pct"/>
                  <w:vMerge w:val="restart"/>
                  <w:tcBorders>
                    <w:top w:val="single" w:color="auto" w:sz="4" w:space="0"/>
                    <w:left w:val="single" w:color="auto" w:sz="4" w:space="0"/>
                    <w:right w:val="single" w:color="auto" w:sz="4" w:space="0"/>
                  </w:tcBorders>
                  <w:noWrap w:val="0"/>
                  <w:vAlign w:val="center"/>
                </w:tcPr>
                <w:p>
                  <w:pPr>
                    <w:pStyle w:val="10"/>
                    <w:bidi w:val="0"/>
                  </w:pPr>
                  <w:r>
                    <w:rPr>
                      <w:rFonts w:hint="eastAsia"/>
                    </w:rPr>
                    <w:t>标准值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6" w:hRule="atLeast"/>
                <w:jc w:val="center"/>
              </w:trPr>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10"/>
                    <w:bidi w:val="0"/>
                  </w:pPr>
                </w:p>
              </w:tc>
              <w:tc>
                <w:tcPr>
                  <w:tcW w:w="1250" w:type="pct"/>
                  <w:vMerge w:val="continue"/>
                  <w:tcBorders>
                    <w:top w:val="single" w:color="auto" w:sz="4" w:space="0"/>
                    <w:left w:val="single" w:color="auto" w:sz="4" w:space="0"/>
                    <w:bottom w:val="single" w:color="auto" w:sz="4" w:space="0"/>
                    <w:right w:val="single" w:color="auto" w:sz="4" w:space="0"/>
                  </w:tcBorders>
                  <w:noWrap w:val="0"/>
                  <w:vAlign w:val="center"/>
                </w:tcPr>
                <w:p>
                  <w:pPr>
                    <w:pStyle w:val="10"/>
                    <w:bidi w:val="0"/>
                  </w:pP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pPr>
                  <w:r>
                    <w:t>昼间dB(A)</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pPr>
                  <w:r>
                    <w:rPr>
                      <w:rFonts w:hint="eastAsia"/>
                    </w:rPr>
                    <w:t>夜</w:t>
                  </w:r>
                  <w:r>
                    <w:t>间dB(A)</w:t>
                  </w:r>
                </w:p>
              </w:tc>
              <w:tc>
                <w:tcPr>
                  <w:tcW w:w="822" w:type="pct"/>
                  <w:vMerge w:val="continue"/>
                  <w:tcBorders>
                    <w:left w:val="single" w:color="auto" w:sz="4" w:space="0"/>
                    <w:bottom w:val="single" w:color="auto" w:sz="4" w:space="0"/>
                    <w:right w:val="single" w:color="auto" w:sz="4" w:space="0"/>
                  </w:tcBorders>
                  <w:noWrap w:val="0"/>
                  <w:vAlign w:val="center"/>
                </w:tcPr>
                <w:p>
                  <w:pPr>
                    <w:pStyle w:val="10"/>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top w:val="single" w:color="auto" w:sz="4" w:space="0"/>
                    <w:left w:val="single" w:color="auto" w:sz="4" w:space="0"/>
                    <w:right w:val="single" w:color="auto" w:sz="4" w:space="0"/>
                  </w:tcBorders>
                  <w:noWrap w:val="0"/>
                  <w:vAlign w:val="center"/>
                </w:tcPr>
                <w:p>
                  <w:pPr>
                    <w:pStyle w:val="10"/>
                    <w:bidi w:val="0"/>
                    <w:rPr>
                      <w:rFonts w:hint="eastAsia"/>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.28</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51</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42</w:t>
                  </w:r>
                </w:p>
              </w:tc>
              <w:tc>
                <w:tcPr>
                  <w:tcW w:w="822" w:type="pct"/>
                  <w:vMerge w:val="restart"/>
                  <w:tcBorders>
                    <w:top w:val="single" w:color="auto" w:sz="4" w:space="0"/>
                    <w:left w:val="single" w:color="auto" w:sz="4" w:space="0"/>
                    <w:right w:val="single" w:color="auto" w:sz="4" w:space="0"/>
                  </w:tcBorders>
                  <w:noWrap w:val="0"/>
                  <w:vAlign w:val="center"/>
                </w:tcPr>
                <w:p>
                  <w:pPr>
                    <w:pStyle w:val="10"/>
                    <w:bidi w:val="0"/>
                    <w:rPr>
                      <w:rFonts w:hint="eastAsia"/>
                      <w:lang w:val="en-US" w:eastAsia="zh-CN"/>
                    </w:rPr>
                  </w:pPr>
                  <w:r>
                    <w:rPr>
                      <w:rFonts w:hint="eastAsia"/>
                      <w:lang w:val="en-US" w:eastAsia="zh-CN"/>
                    </w:rPr>
                    <w:t>2类：昼间60</w:t>
                  </w:r>
                  <w:r>
                    <w:rPr>
                      <w:rFonts w:hint="eastAsia"/>
                    </w:rPr>
                    <w:t>dB(A)、</w:t>
                  </w:r>
                  <w:r>
                    <w:rPr>
                      <w:rFonts w:hint="eastAsia"/>
                      <w:lang w:val="en-US" w:eastAsia="zh-CN"/>
                    </w:rPr>
                    <w:t>夜间50</w:t>
                  </w:r>
                  <w:r>
                    <w:rPr>
                      <w:rFonts w:hint="eastAsia"/>
                    </w:rPr>
                    <w:t>dB(A)、</w:t>
                  </w:r>
                </w:p>
                <w:p>
                  <w:pPr>
                    <w:pStyle w:val="10"/>
                    <w:bidi w:val="0"/>
                    <w:rPr>
                      <w:rFonts w:hint="eastAsia"/>
                    </w:rPr>
                  </w:pPr>
                  <w:r>
                    <w:rPr>
                      <w:rFonts w:hint="eastAsia"/>
                    </w:rPr>
                    <w:t>4a类：昼间70dB(A)、夜间55dB(A)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0"/>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45</w:t>
                  </w:r>
                </w:p>
              </w:tc>
              <w:tc>
                <w:tcPr>
                  <w:tcW w:w="822" w:type="pct"/>
                  <w:vMerge w:val="continue"/>
                  <w:tcBorders>
                    <w:left w:val="single" w:color="auto" w:sz="4" w:space="0"/>
                    <w:right w:val="single" w:color="auto" w:sz="4" w:space="0"/>
                  </w:tcBorders>
                  <w:noWrap w:val="0"/>
                  <w:vAlign w:val="center"/>
                </w:tcPr>
                <w:p>
                  <w:pPr>
                    <w:pStyle w:val="10"/>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0"/>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0"/>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0"/>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0"/>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restart"/>
                  <w:tcBorders>
                    <w:left w:val="single" w:color="auto" w:sz="4" w:space="0"/>
                    <w:right w:val="single" w:color="auto" w:sz="4" w:space="0"/>
                  </w:tcBorders>
                  <w:noWrap w:val="0"/>
                  <w:vAlign w:val="center"/>
                </w:tcPr>
                <w:p>
                  <w:pPr>
                    <w:pStyle w:val="10"/>
                    <w:bidi w:val="0"/>
                    <w:rPr>
                      <w:rFonts w:hint="eastAsia"/>
                      <w:lang w:val="en-US" w:eastAsia="zh-CN"/>
                    </w:rPr>
                  </w:pPr>
                  <w:r>
                    <w:rPr>
                      <w:rFonts w:hint="eastAsia"/>
                    </w:rPr>
                    <w:t>20</w:t>
                  </w:r>
                  <w:r>
                    <w:rPr>
                      <w:rFonts w:hint="eastAsia"/>
                      <w:lang w:val="en-US" w:eastAsia="zh-CN"/>
                    </w:rPr>
                    <w:t>20</w:t>
                  </w:r>
                  <w:r>
                    <w:rPr>
                      <w:rFonts w:hint="eastAsia"/>
                    </w:rPr>
                    <w:t>.</w:t>
                  </w:r>
                  <w:r>
                    <w:rPr>
                      <w:rFonts w:hint="eastAsia"/>
                      <w:lang w:val="en-US" w:eastAsia="zh-CN"/>
                    </w:rPr>
                    <w:t>10</w:t>
                  </w:r>
                  <w:r>
                    <w:rPr>
                      <w:rFonts w:hint="eastAsia"/>
                    </w:rPr>
                    <w:t>.2</w:t>
                  </w:r>
                  <w:r>
                    <w:rPr>
                      <w:rFonts w:hint="eastAsia"/>
                      <w:lang w:val="en-US" w:eastAsia="zh-CN"/>
                    </w:rPr>
                    <w:t>9</w:t>
                  </w: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t>东厂界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50</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43</w:t>
                  </w:r>
                </w:p>
              </w:tc>
              <w:tc>
                <w:tcPr>
                  <w:tcW w:w="822" w:type="pct"/>
                  <w:vMerge w:val="continue"/>
                  <w:tcBorders>
                    <w:left w:val="single" w:color="auto" w:sz="4" w:space="0"/>
                    <w:right w:val="single" w:color="auto" w:sz="4" w:space="0"/>
                  </w:tcBorders>
                  <w:noWrap w:val="0"/>
                  <w:vAlign w:val="center"/>
                </w:tcPr>
                <w:p>
                  <w:pPr>
                    <w:pStyle w:val="10"/>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0"/>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eastAsia="宋体"/>
                      <w:lang w:eastAsia="zh-CN"/>
                    </w:rPr>
                  </w:pPr>
                  <w:r>
                    <w:rPr>
                      <w:rFonts w:hint="eastAsia"/>
                    </w:rPr>
                    <w:t>5</w:t>
                  </w:r>
                  <w:r>
                    <w:rPr>
                      <w:rFonts w:hint="eastAsia"/>
                      <w:lang w:val="en-US" w:eastAsia="zh-CN"/>
                    </w:rPr>
                    <w:t>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10"/>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right w:val="single" w:color="auto" w:sz="4" w:space="0"/>
                  </w:tcBorders>
                  <w:noWrap w:val="0"/>
                  <w:vAlign w:val="center"/>
                </w:tcPr>
                <w:p>
                  <w:pPr>
                    <w:pStyle w:val="10"/>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西</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52</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44</w:t>
                  </w:r>
                </w:p>
              </w:tc>
              <w:tc>
                <w:tcPr>
                  <w:tcW w:w="822" w:type="pct"/>
                  <w:vMerge w:val="continue"/>
                  <w:tcBorders>
                    <w:left w:val="single" w:color="auto" w:sz="4" w:space="0"/>
                    <w:right w:val="single" w:color="auto" w:sz="4" w:space="0"/>
                  </w:tcBorders>
                  <w:noWrap w:val="0"/>
                  <w:vAlign w:val="center"/>
                </w:tcPr>
                <w:p>
                  <w:pPr>
                    <w:pStyle w:val="10"/>
                    <w:bidi w:val="0"/>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9" w:hRule="atLeast"/>
                <w:jc w:val="center"/>
              </w:trPr>
              <w:tc>
                <w:tcPr>
                  <w:tcW w:w="1250" w:type="pct"/>
                  <w:vMerge w:val="continue"/>
                  <w:tcBorders>
                    <w:left w:val="single" w:color="auto" w:sz="4" w:space="0"/>
                    <w:bottom w:val="single" w:color="auto" w:sz="4" w:space="0"/>
                    <w:right w:val="single" w:color="auto" w:sz="4" w:space="0"/>
                  </w:tcBorders>
                  <w:noWrap w:val="0"/>
                  <w:vAlign w:val="center"/>
                </w:tcPr>
                <w:p>
                  <w:pPr>
                    <w:pStyle w:val="10"/>
                    <w:bidi w:val="0"/>
                  </w:pPr>
                </w:p>
              </w:tc>
              <w:tc>
                <w:tcPr>
                  <w:tcW w:w="125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北</w:t>
                  </w:r>
                  <w:r>
                    <w:t>厂界</w:t>
                  </w:r>
                </w:p>
              </w:tc>
              <w:tc>
                <w:tcPr>
                  <w:tcW w:w="776"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eastAsia="宋体"/>
                      <w:lang w:eastAsia="zh-CN"/>
                    </w:rPr>
                  </w:pPr>
                  <w:r>
                    <w:rPr>
                      <w:rFonts w:hint="eastAsia"/>
                    </w:rPr>
                    <w:t>5</w:t>
                  </w:r>
                  <w:r>
                    <w:rPr>
                      <w:rFonts w:hint="eastAsia"/>
                      <w:lang w:val="en-US" w:eastAsia="zh-CN"/>
                    </w:rPr>
                    <w:t>4</w:t>
                  </w:r>
                </w:p>
              </w:tc>
              <w:tc>
                <w:tcPr>
                  <w:tcW w:w="900" w:type="pct"/>
                  <w:tcBorders>
                    <w:top w:val="single" w:color="auto" w:sz="4" w:space="0"/>
                    <w:left w:val="single" w:color="auto" w:sz="4" w:space="0"/>
                    <w:bottom w:val="single" w:color="auto" w:sz="4" w:space="0"/>
                    <w:right w:val="single" w:color="auto" w:sz="4" w:space="0"/>
                  </w:tcBorders>
                  <w:noWrap w:val="0"/>
                  <w:vAlign w:val="center"/>
                </w:tcPr>
                <w:p>
                  <w:pPr>
                    <w:pStyle w:val="10"/>
                    <w:bidi w:val="0"/>
                    <w:rPr>
                      <w:rFonts w:hint="eastAsia"/>
                    </w:rPr>
                  </w:pPr>
                  <w:r>
                    <w:rPr>
                      <w:rFonts w:hint="eastAsia"/>
                    </w:rPr>
                    <w:t>43</w:t>
                  </w:r>
                </w:p>
              </w:tc>
              <w:tc>
                <w:tcPr>
                  <w:tcW w:w="822" w:type="pct"/>
                  <w:vMerge w:val="continue"/>
                  <w:tcBorders>
                    <w:left w:val="single" w:color="auto" w:sz="4" w:space="0"/>
                    <w:bottom w:val="single" w:color="auto" w:sz="4" w:space="0"/>
                    <w:right w:val="single" w:color="auto" w:sz="4" w:space="0"/>
                  </w:tcBorders>
                  <w:noWrap w:val="0"/>
                  <w:vAlign w:val="center"/>
                </w:tcPr>
                <w:p>
                  <w:pPr>
                    <w:pStyle w:val="10"/>
                    <w:bidi w:val="0"/>
                  </w:pPr>
                </w:p>
              </w:tc>
            </w:tr>
          </w:tbl>
          <w:p>
            <w:pPr>
              <w:tabs>
                <w:tab w:val="left" w:pos="6165"/>
              </w:tabs>
              <w:spacing w:line="600" w:lineRule="exact"/>
              <w:ind w:firstLine="480" w:firstLineChars="200"/>
              <w:rPr>
                <w:rFonts w:ascii="Times New Roman" w:hAnsi="Times New Roman"/>
                <w:sz w:val="24"/>
              </w:rPr>
            </w:pPr>
            <w:r>
              <w:rPr>
                <w:rFonts w:hint="eastAsia" w:ascii="Times New Roman" w:hAnsi="Times New Roman"/>
                <w:sz w:val="24"/>
              </w:rPr>
              <w:t>由上表可以看出，项目厂址</w:t>
            </w:r>
            <w:r>
              <w:rPr>
                <w:rFonts w:hint="eastAsia" w:ascii="Times New Roman" w:hAnsi="Times New Roman"/>
                <w:sz w:val="24"/>
                <w:lang w:eastAsia="zh-CN"/>
              </w:rPr>
              <w:t>南厂界</w:t>
            </w:r>
            <w:r>
              <w:rPr>
                <w:rFonts w:ascii="Times New Roman" w:hAnsi="Times New Roman"/>
                <w:sz w:val="24"/>
              </w:rPr>
              <w:t>满足《声环境质量标准》（GB3096-2008）</w:t>
            </w:r>
            <w:r>
              <w:rPr>
                <w:rFonts w:hint="eastAsia" w:ascii="Times New Roman" w:hAnsi="Times New Roman"/>
                <w:sz w:val="24"/>
              </w:rPr>
              <w:t>4a</w:t>
            </w:r>
            <w:r>
              <w:rPr>
                <w:rFonts w:ascii="Times New Roman" w:hAnsi="Times New Roman"/>
                <w:sz w:val="24"/>
              </w:rPr>
              <w:t>类标准（昼间</w:t>
            </w:r>
            <w:r>
              <w:rPr>
                <w:rFonts w:hint="eastAsia" w:ascii="Times New Roman" w:hAnsi="Times New Roman"/>
                <w:sz w:val="24"/>
              </w:rPr>
              <w:t>70</w:t>
            </w:r>
            <w:r>
              <w:rPr>
                <w:rFonts w:ascii="Times New Roman" w:hAnsi="Times New Roman"/>
                <w:sz w:val="24"/>
              </w:rPr>
              <w:t>dB(A)、夜间</w:t>
            </w:r>
            <w:r>
              <w:rPr>
                <w:rFonts w:hint="eastAsia" w:ascii="Times New Roman" w:hAnsi="Times New Roman"/>
                <w:sz w:val="24"/>
              </w:rPr>
              <w:t>55</w:t>
            </w:r>
            <w:r>
              <w:rPr>
                <w:rFonts w:ascii="Times New Roman" w:hAnsi="Times New Roman"/>
                <w:sz w:val="24"/>
              </w:rPr>
              <w:t>dB(A)）</w:t>
            </w:r>
            <w:r>
              <w:rPr>
                <w:rFonts w:hint="eastAsia" w:ascii="Times New Roman" w:hAnsi="Times New Roman"/>
                <w:sz w:val="24"/>
                <w:lang w:eastAsia="zh-CN"/>
              </w:rPr>
              <w:t>；</w:t>
            </w:r>
            <w:r>
              <w:rPr>
                <w:rFonts w:hint="eastAsia" w:ascii="Times New Roman" w:hAnsi="Times New Roman" w:eastAsia="宋体"/>
                <w:sz w:val="24"/>
                <w:lang w:eastAsia="zh-CN"/>
              </w:rPr>
              <w:t>东、南</w:t>
            </w:r>
            <w:r>
              <w:rPr>
                <w:rFonts w:hint="eastAsia" w:ascii="Times New Roman" w:hAnsi="Times New Roman"/>
                <w:sz w:val="24"/>
              </w:rPr>
              <w:t>、西、北厂界</w:t>
            </w:r>
            <w:r>
              <w:rPr>
                <w:rFonts w:ascii="Times New Roman" w:hAnsi="Times New Roman"/>
                <w:sz w:val="24"/>
              </w:rPr>
              <w:t>满足《声环境质量标准》（GB3096-2008）</w:t>
            </w:r>
            <w:r>
              <w:rPr>
                <w:rFonts w:hint="eastAsia" w:ascii="Times New Roman" w:hAnsi="Times New Roman"/>
                <w:sz w:val="24"/>
                <w:lang w:val="en-US" w:eastAsia="zh-CN"/>
              </w:rPr>
              <w:t>2</w:t>
            </w:r>
            <w:r>
              <w:rPr>
                <w:rFonts w:ascii="Times New Roman" w:hAnsi="Times New Roman"/>
                <w:sz w:val="24"/>
              </w:rPr>
              <w:t>类标准（昼间</w:t>
            </w:r>
            <w:r>
              <w:rPr>
                <w:rFonts w:hint="eastAsia" w:ascii="Times New Roman" w:hAnsi="Times New Roman"/>
                <w:sz w:val="24"/>
                <w:lang w:val="en-US" w:eastAsia="zh-CN"/>
              </w:rPr>
              <w:t>60</w:t>
            </w:r>
            <w:r>
              <w:rPr>
                <w:rFonts w:ascii="Times New Roman" w:hAnsi="Times New Roman"/>
                <w:sz w:val="24"/>
              </w:rPr>
              <w:t>dB(A)、夜间</w:t>
            </w:r>
            <w:r>
              <w:rPr>
                <w:rFonts w:hint="eastAsia" w:ascii="Times New Roman" w:hAnsi="Times New Roman"/>
                <w:sz w:val="24"/>
              </w:rPr>
              <w:t>5</w:t>
            </w:r>
            <w:r>
              <w:rPr>
                <w:rFonts w:hint="eastAsia" w:ascii="Times New Roman" w:hAnsi="Times New Roman"/>
                <w:sz w:val="24"/>
                <w:lang w:val="en-US" w:eastAsia="zh-CN"/>
              </w:rPr>
              <w:t>0</w:t>
            </w:r>
            <w:r>
              <w:rPr>
                <w:rFonts w:ascii="Times New Roman" w:hAnsi="Times New Roman"/>
                <w:sz w:val="24"/>
              </w:rPr>
              <w:t>dB(A)）。</w:t>
            </w:r>
          </w:p>
          <w:p>
            <w:pPr>
              <w:tabs>
                <w:tab w:val="left" w:pos="6165"/>
              </w:tabs>
              <w:spacing w:line="600" w:lineRule="exact"/>
              <w:ind w:firstLine="482" w:firstLineChars="200"/>
              <w:rPr>
                <w:rFonts w:ascii="Times New Roman" w:hAnsi="Times New Roman"/>
                <w:b/>
                <w:color w:val="000000"/>
                <w:sz w:val="24"/>
              </w:rPr>
            </w:pPr>
            <w:r>
              <w:rPr>
                <w:rFonts w:ascii="Times New Roman" w:hAnsi="Times New Roman"/>
                <w:b/>
                <w:color w:val="000000"/>
                <w:sz w:val="24"/>
              </w:rPr>
              <w:t>4、生态环境</w:t>
            </w:r>
          </w:p>
          <w:p>
            <w:pPr>
              <w:spacing w:line="600" w:lineRule="exact"/>
              <w:ind w:firstLine="480" w:firstLineChars="200"/>
              <w:rPr>
                <w:rFonts w:ascii="Times New Roman" w:hAnsi="Times New Roman"/>
                <w:color w:val="000000"/>
                <w:sz w:val="24"/>
              </w:rPr>
            </w:pPr>
            <w:r>
              <w:rPr>
                <w:rFonts w:ascii="Times New Roman" w:hAnsi="Times New Roman"/>
                <w:color w:val="000000"/>
                <w:sz w:val="24"/>
              </w:rPr>
              <w:t>由于长期人为活动和自然条件的影响，区域天然植被</w:t>
            </w:r>
            <w:r>
              <w:rPr>
                <w:rFonts w:hint="eastAsia" w:ascii="Times New Roman" w:hAnsi="Times New Roman"/>
                <w:color w:val="000000"/>
                <w:sz w:val="24"/>
              </w:rPr>
              <w:t>很少</w:t>
            </w:r>
            <w:r>
              <w:rPr>
                <w:rFonts w:ascii="Times New Roman" w:hAnsi="Times New Roman"/>
                <w:color w:val="000000"/>
                <w:sz w:val="24"/>
              </w:rPr>
              <w:t>，以人工种植植物为主，区域内未发现珍稀动物存在，附近无自然生态保护区。</w:t>
            </w:r>
          </w:p>
          <w:p>
            <w:pPr>
              <w:pStyle w:val="3"/>
              <w:rPr>
                <w:rFonts w:ascii="Times New Roman" w:hAnsi="Times New Roman"/>
                <w:color w:val="000000"/>
                <w:sz w:val="24"/>
              </w:rPr>
            </w:pPr>
          </w:p>
          <w:p>
            <w:pPr>
              <w:pStyle w:val="29"/>
              <w:rPr>
                <w:rFonts w:ascii="Times New Roman" w:hAnsi="Times New Roman"/>
              </w:rPr>
            </w:pPr>
          </w:p>
          <w:p>
            <w:pPr>
              <w:adjustRightInd w:val="0"/>
              <w:snapToGrid w:val="0"/>
              <w:spacing w:line="500" w:lineRule="exact"/>
              <w:ind w:firstLine="0" w:firstLineChars="0"/>
              <w:rPr>
                <w:rFonts w:ascii="Times New Roman" w:hAnsi="Times New Roman" w:eastAsia="宋体"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8" w:hRule="atLeast"/>
          <w:jc w:val="center"/>
        </w:trPr>
        <w:tc>
          <w:tcPr>
            <w:tcW w:w="8436" w:type="dxa"/>
          </w:tcPr>
          <w:p>
            <w:pPr>
              <w:adjustRightInd w:val="0"/>
              <w:snapToGrid w:val="0"/>
              <w:spacing w:line="500" w:lineRule="exact"/>
              <w:ind w:firstLine="0" w:firstLineChars="0"/>
              <w:rPr>
                <w:rFonts w:ascii="Times New Roman" w:hAnsi="Times New Roman" w:eastAsia="宋体" w:cs="Times New Roman"/>
                <w:b/>
                <w:bCs/>
                <w:sz w:val="24"/>
                <w:szCs w:val="24"/>
              </w:rPr>
            </w:pPr>
            <w:bookmarkStart w:id="10" w:name="_Toc168387859"/>
            <w:bookmarkStart w:id="11" w:name="_Toc257241226"/>
            <w:bookmarkStart w:id="12" w:name="_Toc256177431"/>
            <w:r>
              <w:rPr>
                <w:rFonts w:ascii="Times New Roman" w:hAnsi="Times New Roman" w:eastAsia="宋体" w:cs="Times New Roman"/>
                <w:b/>
                <w:bCs/>
                <w:sz w:val="24"/>
                <w:szCs w:val="24"/>
              </w:rPr>
              <w:t>主要环境保护目标（列出名单及保护级别）</w:t>
            </w:r>
            <w:r>
              <w:rPr>
                <w:rFonts w:hint="eastAsia" w:ascii="Times New Roman" w:hAnsi="Times New Roman" w:eastAsia="宋体" w:cs="Times New Roman"/>
                <w:b/>
                <w:bCs/>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
                <w:sz w:val="21"/>
                <w:szCs w:val="21"/>
              </w:rPr>
            </w:pPr>
            <w:r>
              <w:rPr>
                <w:rFonts w:ascii="Times New Roman" w:hAnsi="Times New Roman" w:eastAsia="宋体" w:cs="Times New Roman"/>
                <w:sz w:val="24"/>
                <w:szCs w:val="20"/>
              </w:rPr>
              <w:t>主要环境保护目标见表</w:t>
            </w:r>
            <w:r>
              <w:rPr>
                <w:rFonts w:hint="eastAsia" w:ascii="Times New Roman" w:hAnsi="Times New Roman" w:eastAsia="宋体" w:cs="Times New Roman"/>
                <w:sz w:val="24"/>
                <w:szCs w:val="20"/>
              </w:rPr>
              <w:t>1</w:t>
            </w:r>
            <w:r>
              <w:rPr>
                <w:rFonts w:hint="eastAsia" w:cs="Times New Roman"/>
                <w:sz w:val="24"/>
                <w:szCs w:val="20"/>
                <w:lang w:val="en-US" w:eastAsia="zh-CN"/>
              </w:rPr>
              <w:t>4</w:t>
            </w:r>
            <w:r>
              <w:rPr>
                <w:rFonts w:ascii="Times New Roman" w:hAnsi="Times New Roman" w:eastAsia="宋体" w:cs="Times New Roman"/>
                <w:sz w:val="24"/>
                <w:szCs w:val="20"/>
              </w:rPr>
              <w:t>所示。</w:t>
            </w:r>
          </w:p>
          <w:p>
            <w:pPr>
              <w:bidi w:val="0"/>
              <w:jc w:val="center"/>
              <w:rPr>
                <w:rFonts w:ascii="Times New Roman" w:hAnsi="Times New Roman" w:eastAsia="宋体" w:cs="Times New Roman"/>
                <w:b/>
                <w:szCs w:val="24"/>
              </w:rPr>
            </w:pPr>
            <w:r>
              <w:rPr>
                <w:rFonts w:hint="eastAsia"/>
                <w:lang w:val="en-US" w:eastAsia="zh-CN"/>
              </w:rPr>
              <w:t>表14   主要环境保护目标</w:t>
            </w:r>
          </w:p>
          <w:tbl>
            <w:tblPr>
              <w:tblStyle w:val="20"/>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80"/>
              <w:gridCol w:w="1194"/>
              <w:gridCol w:w="1122"/>
              <w:gridCol w:w="840"/>
              <w:gridCol w:w="38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180" w:type="dxa"/>
                  <w:tcBorders>
                    <w:top w:val="single" w:color="auto" w:sz="8" w:space="0"/>
                    <w:left w:val="single" w:color="auto" w:sz="0"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类  别</w:t>
                  </w:r>
                </w:p>
              </w:tc>
              <w:tc>
                <w:tcPr>
                  <w:tcW w:w="1194" w:type="dxa"/>
                  <w:tcBorders>
                    <w:top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保护目标</w:t>
                  </w:r>
                </w:p>
              </w:tc>
              <w:tc>
                <w:tcPr>
                  <w:tcW w:w="1122"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方位/规模</w:t>
                  </w:r>
                </w:p>
              </w:tc>
              <w:tc>
                <w:tcPr>
                  <w:tcW w:w="840" w:type="dxa"/>
                  <w:tcBorders>
                    <w:top w:val="single" w:color="auto" w:sz="8" w:space="0"/>
                  </w:tcBorders>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距离</w:t>
                  </w:r>
                </w:p>
              </w:tc>
              <w:tc>
                <w:tcPr>
                  <w:tcW w:w="3884" w:type="dxa"/>
                  <w:tcBorders>
                    <w:top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保护目的和级别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沙河</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N</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230</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《地表水环境质量标准》（GB3838-2002）</w:t>
                  </w:r>
                  <w:r>
                    <w:rPr>
                      <w:rFonts w:hint="eastAsia" w:ascii="宋体" w:hAnsi="宋体" w:eastAsia="宋体" w:cs="宋体"/>
                      <w:color w:val="000000" w:themeColor="text1"/>
                      <w:sz w:val="21"/>
                      <w:szCs w:val="21"/>
                      <w14:textFill>
                        <w14:solidFill>
                          <w14:schemeClr w14:val="tx1"/>
                        </w14:solidFill>
                      </w14:textFill>
                    </w:rPr>
                    <w:t>Ⅳ</w:t>
                  </w:r>
                  <w:r>
                    <w:rPr>
                      <w:rFonts w:ascii="Times New Roman" w:hAnsi="Times New Roman" w:eastAsia="宋体" w:cs="Times New Roman"/>
                      <w:color w:val="000000" w:themeColor="text1"/>
                      <w:sz w:val="21"/>
                      <w:szCs w:val="21"/>
                      <w14:textFill>
                        <w14:solidFill>
                          <w14:schemeClr w14:val="tx1"/>
                        </w14:solidFill>
                      </w14:textFill>
                    </w:rPr>
                    <w:t>类标</w:t>
                  </w:r>
                  <w:r>
                    <w:rPr>
                      <w:rFonts w:ascii="Times New Roman" w:hAnsi="Times New Roman" w:eastAsia="宋体" w:cs="Times New Roman"/>
                      <w:sz w:val="21"/>
                      <w:szCs w:val="21"/>
                    </w:rPr>
                    <w:t>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53" w:hRule="atLeast"/>
                <w:jc w:val="center"/>
              </w:trPr>
              <w:tc>
                <w:tcPr>
                  <w:tcW w:w="1180" w:type="dxa"/>
                  <w:vMerge w:val="restart"/>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环境空气</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cs="Times New Roman"/>
                      <w:sz w:val="21"/>
                      <w:szCs w:val="21"/>
                      <w:lang w:eastAsia="zh-CN"/>
                    </w:rPr>
                    <w:t>赵庄村</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SE</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328</w:t>
                  </w:r>
                </w:p>
              </w:tc>
              <w:tc>
                <w:tcPr>
                  <w:tcW w:w="3884" w:type="dxa"/>
                  <w:vMerge w:val="restart"/>
                  <w:tcBorders>
                    <w:right w:val="single" w:color="auto" w:sz="8" w:space="0"/>
                  </w:tcBorders>
                  <w:tcMar>
                    <w:top w:w="15" w:type="dxa"/>
                    <w:left w:w="15" w:type="dxa"/>
                    <w:bottom w:w="0" w:type="dxa"/>
                    <w:right w:w="15" w:type="dxa"/>
                  </w:tcMar>
                  <w:vAlign w:val="center"/>
                </w:tcPr>
                <w:p>
                  <w:pPr>
                    <w:keepNext w:val="0"/>
                    <w:keepLines w:val="0"/>
                    <w:pageBreakBefore w:val="0"/>
                    <w:widowControl w:val="0"/>
                    <w:kinsoku/>
                    <w:wordWrap/>
                    <w:overflowPunct/>
                    <w:topLinePunct w:val="0"/>
                    <w:autoSpaceDE/>
                    <w:autoSpaceDN/>
                    <w:bidi w:val="0"/>
                    <w:adjustRightInd/>
                    <w:snapToGrid w:val="0"/>
                    <w:spacing w:line="360" w:lineRule="auto"/>
                    <w:ind w:firstLine="0" w:firstLineChars="0"/>
                    <w:jc w:val="center"/>
                    <w:textAlignment w:val="auto"/>
                    <w:rPr>
                      <w:rFonts w:ascii="Times New Roman" w:hAnsi="Times New Roman" w:eastAsia="宋体" w:cs="Times New Roman"/>
                      <w:sz w:val="21"/>
                      <w:szCs w:val="21"/>
                    </w:rPr>
                  </w:pPr>
                  <w:r>
                    <w:rPr>
                      <w:rFonts w:ascii="Times New Roman" w:hAnsi="Times New Roman" w:eastAsia="宋体" w:cs="Times New Roman"/>
                      <w:color w:val="000000"/>
                      <w:spacing w:val="-4"/>
                      <w:sz w:val="21"/>
                      <w:szCs w:val="21"/>
                    </w:rPr>
                    <w:t>《环境空气质量标准》</w:t>
                  </w:r>
                  <w:r>
                    <w:rPr>
                      <w:rFonts w:ascii="Times New Roman" w:hAnsi="Times New Roman" w:eastAsia="宋体" w:cs="Times New Roman"/>
                      <w:color w:val="000000"/>
                      <w:sz w:val="21"/>
                      <w:szCs w:val="21"/>
                    </w:rPr>
                    <w:t>（GB3095-2012）</w:t>
                  </w:r>
                  <w:r>
                    <w:rPr>
                      <w:rFonts w:ascii="Times New Roman" w:hAnsi="Times New Roman" w:eastAsia="宋体" w:cs="Times New Roman"/>
                      <w:bCs/>
                      <w:sz w:val="21"/>
                      <w:szCs w:val="21"/>
                    </w:rPr>
                    <w:t>II</w:t>
                  </w:r>
                  <w:r>
                    <w:rPr>
                      <w:rFonts w:ascii="Times New Roman" w:hAnsi="Times New Roman" w:eastAsia="宋体" w:cs="Times New Roman"/>
                      <w:color w:val="000000"/>
                      <w:sz w:val="21"/>
                      <w:szCs w:val="21"/>
                    </w:rPr>
                    <w:t>级</w:t>
                  </w:r>
                  <w:r>
                    <w:rPr>
                      <w:rFonts w:hint="eastAsia" w:ascii="Times New Roman" w:hAnsi="Times New Roman" w:eastAsia="宋体" w:cs="Times New Roman"/>
                      <w:color w:val="000000"/>
                      <w:sz w:val="21"/>
                      <w:szCs w:val="21"/>
                      <w:lang w:eastAsia="zh-CN"/>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03" w:hRule="atLeast"/>
                <w:jc w:val="center"/>
              </w:trPr>
              <w:tc>
                <w:tcPr>
                  <w:tcW w:w="1180" w:type="dxa"/>
                  <w:vMerge w:val="continue"/>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上汤村</w:t>
                  </w:r>
                </w:p>
              </w:tc>
              <w:tc>
                <w:tcPr>
                  <w:tcW w:w="1122"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w:t>
                  </w:r>
                </w:p>
              </w:tc>
              <w:tc>
                <w:tcPr>
                  <w:tcW w:w="840" w:type="dxa"/>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1233</w:t>
                  </w:r>
                </w:p>
              </w:tc>
              <w:tc>
                <w:tcPr>
                  <w:tcW w:w="3884" w:type="dxa"/>
                  <w:vMerge w:val="continue"/>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声环境</w:t>
                  </w:r>
                </w:p>
              </w:tc>
              <w:tc>
                <w:tcPr>
                  <w:tcW w:w="1194" w:type="dxa"/>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iCs/>
                      <w:color w:val="000000" w:themeColor="text1"/>
                      <w:sz w:val="21"/>
                      <w:szCs w:val="21"/>
                      <w:lang w:eastAsia="zh-CN"/>
                      <w14:textFill>
                        <w14:solidFill>
                          <w14:schemeClr w14:val="tx1"/>
                        </w14:solidFill>
                      </w14:textFill>
                    </w:rPr>
                  </w:pPr>
                  <w:r>
                    <w:rPr>
                      <w:rFonts w:hint="eastAsia" w:cs="Times New Roman"/>
                      <w:iCs/>
                      <w:color w:val="000000" w:themeColor="text1"/>
                      <w:sz w:val="21"/>
                      <w:szCs w:val="21"/>
                      <w:lang w:eastAsia="zh-CN"/>
                      <w14:textFill>
                        <w14:solidFill>
                          <w14:schemeClr w14:val="tx1"/>
                        </w14:solidFill>
                      </w14:textFill>
                    </w:rPr>
                    <w:t>厂界</w:t>
                  </w:r>
                </w:p>
              </w:tc>
              <w:tc>
                <w:tcPr>
                  <w:tcW w:w="1962" w:type="dxa"/>
                  <w:gridSpan w:val="2"/>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default" w:ascii="Times New Roman" w:hAnsi="Times New Roman" w:eastAsia="宋体" w:cs="Times New Roman"/>
                      <w:color w:val="000000"/>
                      <w:sz w:val="21"/>
                      <w:szCs w:val="21"/>
                      <w:lang w:val="en-US" w:eastAsia="zh-CN"/>
                    </w:rPr>
                  </w:pPr>
                  <w:r>
                    <w:rPr>
                      <w:rFonts w:ascii="Times New Roman" w:hAnsi="Times New Roman" w:eastAsia="宋体" w:cs="Times New Roman"/>
                      <w:color w:val="000000"/>
                      <w:sz w:val="21"/>
                      <w:szCs w:val="21"/>
                    </w:rPr>
                    <w:t>《声环境质量标准》（GB3096-2008）</w:t>
                  </w:r>
                  <w:r>
                    <w:rPr>
                      <w:rFonts w:hint="eastAsia" w:ascii="Times New Roman" w:hAnsi="Times New Roman" w:eastAsia="宋体" w:cs="Times New Roman"/>
                      <w:color w:val="000000"/>
                      <w:sz w:val="21"/>
                      <w:szCs w:val="21"/>
                    </w:rPr>
                    <w:t>2</w:t>
                  </w:r>
                  <w:r>
                    <w:rPr>
                      <w:rFonts w:ascii="Times New Roman" w:hAnsi="Times New Roman" w:eastAsia="宋体" w:cs="Times New Roman"/>
                      <w:color w:val="000000"/>
                      <w:sz w:val="21"/>
                      <w:szCs w:val="21"/>
                    </w:rPr>
                    <w:t>类</w:t>
                  </w:r>
                  <w:r>
                    <w:rPr>
                      <w:rFonts w:hint="eastAsia" w:ascii="Times New Roman" w:hAnsi="Times New Roman" w:eastAsia="宋体" w:cs="Times New Roman"/>
                      <w:color w:val="000000"/>
                      <w:sz w:val="21"/>
                      <w:szCs w:val="21"/>
                      <w:lang w:eastAsia="zh-CN"/>
                    </w:rPr>
                    <w:t>和</w:t>
                  </w:r>
                  <w:r>
                    <w:rPr>
                      <w:rFonts w:hint="eastAsia" w:ascii="Times New Roman" w:hAnsi="Times New Roman" w:eastAsia="宋体" w:cs="Times New Roman"/>
                      <w:color w:val="000000"/>
                      <w:sz w:val="21"/>
                      <w:szCs w:val="21"/>
                      <w:lang w:val="en-US" w:eastAsia="zh-CN"/>
                    </w:rPr>
                    <w:t>4类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04" w:hRule="atLeast"/>
                <w:jc w:val="center"/>
              </w:trPr>
              <w:tc>
                <w:tcPr>
                  <w:tcW w:w="1180" w:type="dxa"/>
                  <w:tcBorders>
                    <w:left w:val="single" w:color="auto" w:sz="4" w:space="0"/>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地下水</w:t>
                  </w:r>
                </w:p>
              </w:tc>
              <w:tc>
                <w:tcPr>
                  <w:tcW w:w="1194" w:type="dxa"/>
                  <w:tcBorders>
                    <w:bottom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地下水</w:t>
                  </w:r>
                </w:p>
              </w:tc>
              <w:tc>
                <w:tcPr>
                  <w:tcW w:w="1122"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840" w:type="dxa"/>
                  <w:tcBorders>
                    <w:bottom w:val="single" w:color="auto" w:sz="8" w:space="0"/>
                  </w:tcBorders>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3884" w:type="dxa"/>
                  <w:tcBorders>
                    <w:bottom w:val="single" w:color="auto" w:sz="8" w:space="0"/>
                    <w:right w:val="single" w:color="auto" w:sz="8" w:space="0"/>
                  </w:tcBorders>
                  <w:tcMar>
                    <w:top w:w="15" w:type="dxa"/>
                    <w:left w:w="15" w:type="dxa"/>
                    <w:bottom w:w="0" w:type="dxa"/>
                    <w:right w:w="15" w:type="dxa"/>
                  </w:tcMar>
                  <w:vAlign w:val="center"/>
                </w:tcPr>
                <w:p>
                  <w:pPr>
                    <w:adjustRightInd w:val="0"/>
                    <w:snapToGrid w:val="0"/>
                    <w:spacing w:line="240" w:lineRule="auto"/>
                    <w:ind w:firstLine="0" w:firstLineChars="0"/>
                    <w:jc w:val="center"/>
                    <w:rPr>
                      <w:rFonts w:ascii="Times New Roman" w:hAnsi="Times New Roman" w:eastAsia="宋体" w:cs="Times New Roman"/>
                      <w:bCs/>
                      <w:sz w:val="21"/>
                      <w:szCs w:val="21"/>
                    </w:rPr>
                  </w:pPr>
                  <w:r>
                    <w:rPr>
                      <w:rFonts w:ascii="Times New Roman" w:hAnsi="Times New Roman" w:eastAsia="宋体" w:cs="Times New Roman"/>
                      <w:bCs/>
                      <w:sz w:val="21"/>
                      <w:szCs w:val="21"/>
                    </w:rPr>
                    <w:t>《地下水质量标准》（GB/T14848-</w:t>
                  </w:r>
                  <w:r>
                    <w:rPr>
                      <w:rFonts w:hint="eastAsia" w:ascii="Times New Roman" w:hAnsi="Times New Roman" w:eastAsia="宋体" w:cs="Times New Roman"/>
                      <w:bCs/>
                      <w:sz w:val="21"/>
                      <w:szCs w:val="21"/>
                    </w:rPr>
                    <w:t>2017</w:t>
                  </w:r>
                  <w:r>
                    <w:rPr>
                      <w:rFonts w:ascii="Times New Roman" w:hAnsi="Times New Roman" w:eastAsia="宋体" w:cs="Times New Roman"/>
                      <w:bCs/>
                      <w:sz w:val="21"/>
                      <w:szCs w:val="21"/>
                    </w:rPr>
                    <w:t>）III类标准</w:t>
                  </w:r>
                </w:p>
              </w:tc>
            </w:tr>
          </w:tbl>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ind w:left="0" w:leftChars="0" w:firstLine="0" w:firstLineChars="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p>
            <w:pPr>
              <w:widowControl w:val="0"/>
              <w:adjustRightInd w:val="0"/>
              <w:snapToGrid w:val="0"/>
              <w:spacing w:after="0"/>
              <w:jc w:val="both"/>
              <w:rPr>
                <w:rFonts w:ascii="Times New Roman" w:hAnsi="Times New Roman" w:eastAsia="宋体" w:cs="Times New Roman"/>
                <w:b/>
                <w:kern w:val="2"/>
                <w:sz w:val="21"/>
                <w:szCs w:val="21"/>
                <w:lang w:val="en-US" w:eastAsia="zh-CN" w:bidi="ar-SA"/>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评价适用标准</w:t>
      </w:r>
      <w:bookmarkEnd w:id="10"/>
      <w:bookmarkEnd w:id="11"/>
      <w:bookmarkEnd w:id="12"/>
    </w:p>
    <w:tbl>
      <w:tblPr>
        <w:tblStyle w:val="20"/>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7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76"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环境质量标准</w:t>
            </w:r>
          </w:p>
        </w:tc>
        <w:tc>
          <w:tcPr>
            <w:tcW w:w="7771" w:type="dxa"/>
            <w:vAlign w:val="center"/>
          </w:tcPr>
          <w:p>
            <w:pPr>
              <w:adjustRightInd w:val="0"/>
              <w:snapToGrid w:val="0"/>
              <w:spacing w:line="500" w:lineRule="exact"/>
              <w:ind w:firstLine="0" w:firstLineChars="0"/>
              <w:jc w:val="left"/>
              <w:textAlignment w:val="baseline"/>
            </w:pPr>
            <w:r>
              <w:rPr>
                <w:rFonts w:hint="eastAsia"/>
              </w:rPr>
              <w:t>1、</w:t>
            </w:r>
            <w:r>
              <w:t>大气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大气环境执行《环境空气质量标准》（GB3095-2012）的二级标准，详见表</w:t>
            </w:r>
            <w:r>
              <w:rPr>
                <w:rFonts w:hint="eastAsia"/>
              </w:rPr>
              <w:t>1</w:t>
            </w:r>
            <w:r>
              <w:rPr>
                <w:rFonts w:hint="eastAsia"/>
                <w:lang w:val="en-US" w:eastAsia="zh-CN"/>
              </w:rPr>
              <w:t>5</w:t>
            </w:r>
            <w:r>
              <w:rPr>
                <w:rFonts w:hint="eastAsia"/>
              </w:rPr>
              <w:t>非甲烷总烃参照《大气污染物综合排放标准详解》。</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表15 《环境空气质量标准》（GB3095-2012）二级     单位：μg/m</w:t>
            </w:r>
            <w:r>
              <w:rPr>
                <w:rFonts w:hint="eastAsia"/>
                <w:vertAlign w:val="superscript"/>
                <w:lang w:val="en-US" w:eastAsia="zh-CN"/>
              </w:rPr>
              <w:t>3</w:t>
            </w:r>
          </w:p>
          <w:tbl>
            <w:tblPr>
              <w:tblStyle w:val="20"/>
              <w:tblW w:w="754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470"/>
              <w:gridCol w:w="1518"/>
              <w:gridCol w:w="1532"/>
              <w:gridCol w:w="1582"/>
              <w:gridCol w:w="144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518"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SO2</w:t>
                  </w:r>
                </w:p>
              </w:tc>
              <w:tc>
                <w:tcPr>
                  <w:tcW w:w="153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NO2</w:t>
                  </w:r>
                </w:p>
              </w:tc>
              <w:tc>
                <w:tcPr>
                  <w:tcW w:w="1582"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PM10</w:t>
                  </w:r>
                </w:p>
              </w:tc>
              <w:tc>
                <w:tcPr>
                  <w:tcW w:w="1443" w:type="dxa"/>
                  <w:tcBorders>
                    <w:top w:val="single" w:color="auto" w:sz="8" w:space="0"/>
                    <w:right w:val="single" w:color="auto" w:sz="8" w:space="0"/>
                  </w:tcBorders>
                  <w:vAlign w:val="center"/>
                </w:tcPr>
                <w:p>
                  <w:pPr>
                    <w:adjustRightInd w:val="0"/>
                    <w:snapToGrid w:val="0"/>
                    <w:spacing w:line="240" w:lineRule="auto"/>
                    <w:ind w:firstLine="0" w:firstLineChars="0"/>
                    <w:jc w:val="center"/>
                    <w:rPr>
                      <w:rFonts w:hint="eastAsia" w:eastAsia="宋体"/>
                      <w:sz w:val="21"/>
                      <w:szCs w:val="21"/>
                      <w:lang w:val="en-US" w:eastAsia="zh-CN"/>
                    </w:rPr>
                  </w:pPr>
                  <w:r>
                    <w:rPr>
                      <w:rFonts w:hint="eastAsia"/>
                      <w:sz w:val="21"/>
                      <w:szCs w:val="21"/>
                    </w:rPr>
                    <w:t>TSP</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470"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日平均</w:t>
                  </w:r>
                </w:p>
              </w:tc>
              <w:tc>
                <w:tcPr>
                  <w:tcW w:w="1518"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532"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80</w:t>
                  </w:r>
                </w:p>
              </w:tc>
              <w:tc>
                <w:tcPr>
                  <w:tcW w:w="1582" w:type="dxa"/>
                  <w:tcBorders>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150</w:t>
                  </w:r>
                </w:p>
              </w:tc>
              <w:tc>
                <w:tcPr>
                  <w:tcW w:w="144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eastAsia="宋体"/>
                      <w:sz w:val="21"/>
                      <w:szCs w:val="21"/>
                      <w:lang w:val="en-US" w:eastAsia="zh-CN"/>
                    </w:rPr>
                  </w:pPr>
                  <w:r>
                    <w:rPr>
                      <w:rFonts w:hint="eastAsia"/>
                      <w:sz w:val="21"/>
                      <w:szCs w:val="21"/>
                      <w:lang w:val="en-US" w:eastAsia="zh-CN"/>
                    </w:rPr>
                    <w:t>300</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firstLine="480" w:firstLineChars="200"/>
              <w:jc w:val="left"/>
              <w:textAlignment w:val="baseline"/>
            </w:pPr>
            <w:r>
              <w:t>根据中国环境科学出版社出版的国家环境保护局科技标准司的《大气污染物综合排放标准详解》（P244）：“由于我国目前没有“非甲烷总烃”的环境质量标准，美国的同类标准已废除，故我国石化部门和若干地区通常采用以色列同类标准的短期平均值，为5mg/m</w:t>
            </w:r>
            <w:r>
              <w:rPr>
                <w:vertAlign w:val="superscript"/>
              </w:rPr>
              <w:t>3</w:t>
            </w:r>
            <w:r>
              <w:t>。但考虑到我国多数地区的实测值，“非甲烷总烃”的环境浓度一般不超过1.0mg/m</w:t>
            </w:r>
            <w:r>
              <w:rPr>
                <w:vertAlign w:val="superscript"/>
              </w:rPr>
              <w:t>3</w:t>
            </w:r>
            <w:r>
              <w:t>，因此在制定本标准时选用2mg/m</w:t>
            </w:r>
            <w:r>
              <w:rPr>
                <w:vertAlign w:val="superscript"/>
              </w:rPr>
              <w:t>3</w:t>
            </w:r>
            <w:r>
              <w:t>”，因此本次评价非甲烷总烃质量标准采用2mg/m</w:t>
            </w:r>
            <w:r>
              <w:rPr>
                <w:vertAlign w:val="superscript"/>
              </w:rPr>
              <w:t>3</w:t>
            </w:r>
            <w:r>
              <w:t>。</w:t>
            </w:r>
          </w:p>
          <w:p>
            <w:pPr>
              <w:adjustRightInd w:val="0"/>
              <w:snapToGrid w:val="0"/>
              <w:spacing w:line="500" w:lineRule="exact"/>
              <w:ind w:firstLine="0" w:firstLineChars="0"/>
              <w:jc w:val="left"/>
              <w:textAlignment w:val="baseline"/>
            </w:pPr>
            <w:r>
              <w:t>2</w:t>
            </w:r>
            <w:r>
              <w:rPr>
                <w:rFonts w:hint="eastAsia"/>
              </w:rPr>
              <w:t>、地表水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textAlignment w:val="auto"/>
            </w:pPr>
            <w:r>
              <w:rPr>
                <w:rFonts w:hint="eastAsia"/>
              </w:rPr>
              <w:t>河</w:t>
            </w:r>
            <w:r>
              <w:t>执行</w:t>
            </w:r>
            <w:r>
              <w:rPr>
                <w:rFonts w:hint="eastAsia"/>
              </w:rPr>
              <w:t>《地表水环境质量标准》（GB3838-2002）中Ⅳ类标准</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表16 《地表水环境质量标准》（GB3838-2002）中Ⅳ类标准  单位：mg/L</w:t>
            </w:r>
          </w:p>
          <w:tbl>
            <w:tblPr>
              <w:tblStyle w:val="20"/>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25"/>
              <w:gridCol w:w="1423"/>
              <w:gridCol w:w="1894"/>
              <w:gridCol w:w="20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top w:val="single" w:color="auto" w:sz="8" w:space="0"/>
                    <w:left w:val="single" w:color="auto" w:sz="0" w:space="0"/>
                  </w:tcBorders>
                  <w:vAlign w:val="center"/>
                </w:tcPr>
                <w:p>
                  <w:pPr>
                    <w:adjustRightInd w:val="0"/>
                    <w:snapToGrid w:val="0"/>
                    <w:spacing w:line="240" w:lineRule="auto"/>
                    <w:ind w:firstLine="0" w:firstLineChars="0"/>
                    <w:jc w:val="center"/>
                    <w:rPr>
                      <w:sz w:val="21"/>
                      <w:szCs w:val="21"/>
                    </w:rPr>
                  </w:pPr>
                  <w:r>
                    <w:rPr>
                      <w:sz w:val="21"/>
                      <w:szCs w:val="21"/>
                    </w:rPr>
                    <w:t>污染物名称</w:t>
                  </w:r>
                </w:p>
              </w:tc>
              <w:tc>
                <w:tcPr>
                  <w:tcW w:w="1423" w:type="dxa"/>
                  <w:tcBorders>
                    <w:top w:val="single" w:color="auto" w:sz="8" w:space="0"/>
                  </w:tcBorders>
                  <w:vAlign w:val="center"/>
                </w:tcPr>
                <w:p>
                  <w:pPr>
                    <w:adjustRightInd w:val="0"/>
                    <w:snapToGrid w:val="0"/>
                    <w:spacing w:line="240" w:lineRule="auto"/>
                    <w:ind w:firstLine="0" w:firstLineChars="0"/>
                    <w:jc w:val="center"/>
                    <w:rPr>
                      <w:sz w:val="21"/>
                      <w:szCs w:val="21"/>
                    </w:rPr>
                  </w:pPr>
                  <w:r>
                    <w:rPr>
                      <w:sz w:val="21"/>
                      <w:szCs w:val="21"/>
                    </w:rPr>
                    <w:t>pH</w:t>
                  </w:r>
                </w:p>
              </w:tc>
              <w:tc>
                <w:tcPr>
                  <w:tcW w:w="1894" w:type="dxa"/>
                  <w:tcBorders>
                    <w:top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CO</w:t>
                  </w:r>
                  <w:r>
                    <w:rPr>
                      <w:sz w:val="21"/>
                      <w:szCs w:val="21"/>
                    </w:rPr>
                    <w:t>D</w:t>
                  </w:r>
                </w:p>
              </w:tc>
              <w:tc>
                <w:tcPr>
                  <w:tcW w:w="2013" w:type="dxa"/>
                  <w:tcBorders>
                    <w:top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225" w:type="dxa"/>
                  <w:tcBorders>
                    <w:left w:val="single" w:color="auto" w:sz="4" w:space="0"/>
                    <w:bottom w:val="single" w:color="auto" w:sz="8" w:space="0"/>
                  </w:tcBorders>
                  <w:vAlign w:val="center"/>
                </w:tcPr>
                <w:p>
                  <w:pPr>
                    <w:adjustRightInd w:val="0"/>
                    <w:snapToGrid w:val="0"/>
                    <w:spacing w:line="240" w:lineRule="auto"/>
                    <w:ind w:firstLine="0" w:firstLineChars="0"/>
                    <w:jc w:val="center"/>
                    <w:rPr>
                      <w:sz w:val="21"/>
                      <w:szCs w:val="21"/>
                    </w:rPr>
                  </w:pPr>
                  <w:r>
                    <w:rPr>
                      <w:sz w:val="21"/>
                      <w:szCs w:val="21"/>
                    </w:rPr>
                    <w:t>标准值</w:t>
                  </w:r>
                </w:p>
              </w:tc>
              <w:tc>
                <w:tcPr>
                  <w:tcW w:w="1423" w:type="dxa"/>
                  <w:tcBorders>
                    <w:bottom w:val="single" w:color="auto" w:sz="8" w:space="0"/>
                  </w:tcBorders>
                  <w:vAlign w:val="center"/>
                </w:tcPr>
                <w:p>
                  <w:pPr>
                    <w:tabs>
                      <w:tab w:val="left" w:pos="763"/>
                    </w:tabs>
                    <w:adjustRightInd w:val="0"/>
                    <w:snapToGrid w:val="0"/>
                    <w:spacing w:line="240" w:lineRule="auto"/>
                    <w:ind w:firstLine="0" w:firstLineChars="0"/>
                    <w:jc w:val="center"/>
                    <w:rPr>
                      <w:sz w:val="21"/>
                      <w:szCs w:val="21"/>
                    </w:rPr>
                  </w:pPr>
                  <w:r>
                    <w:rPr>
                      <w:sz w:val="21"/>
                      <w:szCs w:val="21"/>
                    </w:rPr>
                    <w:t>6~9</w:t>
                  </w:r>
                </w:p>
              </w:tc>
              <w:tc>
                <w:tcPr>
                  <w:tcW w:w="1894" w:type="dxa"/>
                  <w:tcBorders>
                    <w:bottom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30</w:t>
                  </w:r>
                </w:p>
              </w:tc>
              <w:tc>
                <w:tcPr>
                  <w:tcW w:w="2013" w:type="dxa"/>
                  <w:tcBorders>
                    <w:bottom w:val="single" w:color="auto" w:sz="8" w:space="0"/>
                    <w:right w:val="single" w:color="auto" w:sz="8" w:space="0"/>
                  </w:tcBorders>
                  <w:vAlign w:val="center"/>
                </w:tcPr>
                <w:p>
                  <w:pPr>
                    <w:adjustRightInd w:val="0"/>
                    <w:snapToGrid w:val="0"/>
                    <w:spacing w:line="240" w:lineRule="auto"/>
                    <w:ind w:firstLine="0" w:firstLineChars="0"/>
                    <w:jc w:val="center"/>
                    <w:rPr>
                      <w:sz w:val="21"/>
                      <w:szCs w:val="21"/>
                    </w:rPr>
                  </w:pPr>
                  <w:r>
                    <w:rPr>
                      <w:rFonts w:hint="eastAsia"/>
                      <w:sz w:val="21"/>
                      <w:szCs w:val="21"/>
                    </w:rPr>
                    <w:t>1.5</w:t>
                  </w:r>
                </w:p>
              </w:tc>
            </w:tr>
          </w:tbl>
          <w:p>
            <w:pPr>
              <w:adjustRightInd w:val="0"/>
              <w:snapToGrid w:val="0"/>
              <w:spacing w:line="500" w:lineRule="exact"/>
              <w:ind w:firstLine="0" w:firstLineChars="0"/>
              <w:jc w:val="left"/>
              <w:textAlignment w:val="baseline"/>
            </w:pPr>
            <w:r>
              <w:t>3</w:t>
            </w:r>
            <w:r>
              <w:rPr>
                <w:rFonts w:hint="eastAsia"/>
              </w:rPr>
              <w:t>、</w:t>
            </w:r>
            <w:r>
              <w:t>地</w:t>
            </w:r>
            <w:r>
              <w:rPr>
                <w:rFonts w:hint="eastAsia"/>
              </w:rPr>
              <w:t>下</w:t>
            </w:r>
            <w:r>
              <w:t>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lang w:eastAsia="zh-CN"/>
              </w:rPr>
            </w:pPr>
            <w:r>
              <w:t>地</w:t>
            </w:r>
            <w:r>
              <w:rPr>
                <w:rFonts w:hint="eastAsia"/>
              </w:rPr>
              <w:t>下</w:t>
            </w:r>
            <w:r>
              <w:t>水环境执行《地下水质量标准》（GB/T14848-</w:t>
            </w:r>
            <w:r>
              <w:rPr>
                <w:rFonts w:hint="eastAsia"/>
              </w:rPr>
              <w:t>2017</w:t>
            </w:r>
            <w:r>
              <w:t>）III类标准</w:t>
            </w:r>
            <w:r>
              <w:rPr>
                <w:rFonts w:hint="eastAsia"/>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表17    《地下水质量标准》（GB/T14848-2017）III类标准</w:t>
            </w:r>
          </w:p>
          <w:tbl>
            <w:tblPr>
              <w:tblStyle w:val="21"/>
              <w:tblW w:w="75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3150"/>
              <w:gridCol w:w="2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eastAsia"/>
                      <w:lang w:eastAsia="zh-CN"/>
                    </w:rPr>
                  </w:pPr>
                  <w:r>
                    <w:rPr>
                      <w:rFonts w:hint="eastAsia"/>
                      <w:lang w:eastAsia="zh-CN"/>
                    </w:rPr>
                    <w:t>序号</w:t>
                  </w:r>
                </w:p>
              </w:tc>
              <w:tc>
                <w:tcPr>
                  <w:tcW w:w="3150" w:type="dxa"/>
                  <w:vAlign w:val="center"/>
                </w:tcPr>
                <w:p>
                  <w:pPr>
                    <w:pStyle w:val="10"/>
                    <w:bidi w:val="0"/>
                    <w:ind w:firstLine="0" w:firstLineChars="0"/>
                    <w:jc w:val="center"/>
                    <w:rPr>
                      <w:rFonts w:hint="eastAsia"/>
                      <w:lang w:val="en-US" w:eastAsia="zh-CN"/>
                    </w:rPr>
                  </w:pPr>
                  <w:r>
                    <w:rPr>
                      <w:rFonts w:hint="eastAsia"/>
                      <w:lang w:eastAsia="zh-CN"/>
                    </w:rPr>
                    <w:t>检测因子</w:t>
                  </w:r>
                </w:p>
              </w:tc>
              <w:tc>
                <w:tcPr>
                  <w:tcW w:w="2701" w:type="dxa"/>
                  <w:vAlign w:val="center"/>
                </w:tcPr>
                <w:p>
                  <w:pPr>
                    <w:pStyle w:val="10"/>
                    <w:bidi w:val="0"/>
                    <w:ind w:firstLine="0" w:firstLineChars="0"/>
                    <w:jc w:val="center"/>
                    <w:rPr>
                      <w:rFonts w:hint="eastAsia"/>
                      <w:lang w:val="en-US" w:eastAsia="zh-CN"/>
                    </w:rPr>
                  </w:pPr>
                  <w:r>
                    <w:rPr>
                      <w:rFonts w:hint="eastAsia"/>
                      <w:lang w:eastAsia="zh-CN"/>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1</w:t>
                  </w:r>
                </w:p>
              </w:tc>
              <w:tc>
                <w:tcPr>
                  <w:tcW w:w="3150" w:type="dxa"/>
                  <w:vAlign w:val="center"/>
                </w:tcPr>
                <w:p>
                  <w:pPr>
                    <w:pStyle w:val="10"/>
                    <w:bidi w:val="0"/>
                    <w:ind w:firstLine="0" w:firstLineChars="0"/>
                    <w:jc w:val="center"/>
                    <w:rPr>
                      <w:rFonts w:hint="eastAsia"/>
                      <w:lang w:val="en-US" w:eastAsia="zh-CN"/>
                    </w:rPr>
                  </w:pPr>
                  <w:r>
                    <w:rPr>
                      <w:rFonts w:hint="eastAsia"/>
                      <w:lang w:val="en-US" w:eastAsia="zh-CN"/>
                    </w:rPr>
                    <w:t>pH</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6.5~8.5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2</w:t>
                  </w:r>
                </w:p>
              </w:tc>
              <w:tc>
                <w:tcPr>
                  <w:tcW w:w="3150" w:type="dxa"/>
                  <w:vAlign w:val="center"/>
                </w:tcPr>
                <w:p>
                  <w:pPr>
                    <w:pStyle w:val="10"/>
                    <w:bidi w:val="0"/>
                    <w:ind w:firstLine="0" w:firstLineChars="0"/>
                    <w:jc w:val="center"/>
                    <w:rPr>
                      <w:rFonts w:hint="eastAsia"/>
                      <w:lang w:val="en-US" w:eastAsia="zh-CN"/>
                    </w:rPr>
                  </w:pPr>
                  <w:r>
                    <w:rPr>
                      <w:rFonts w:hint="eastAsia"/>
                      <w:lang w:eastAsia="zh-CN"/>
                    </w:rPr>
                    <w:t>色度（度）</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3</w:t>
                  </w:r>
                </w:p>
              </w:tc>
              <w:tc>
                <w:tcPr>
                  <w:tcW w:w="3150" w:type="dxa"/>
                  <w:vAlign w:val="center"/>
                </w:tcPr>
                <w:p>
                  <w:pPr>
                    <w:pStyle w:val="10"/>
                    <w:bidi w:val="0"/>
                    <w:ind w:firstLine="0" w:firstLineChars="0"/>
                    <w:jc w:val="center"/>
                    <w:rPr>
                      <w:rFonts w:hint="eastAsia"/>
                      <w:lang w:val="en-US" w:eastAsia="zh-CN"/>
                    </w:rPr>
                  </w:pPr>
                  <w:r>
                    <w:rPr>
                      <w:rFonts w:hint="eastAsia"/>
                      <w:lang w:eastAsia="zh-CN"/>
                    </w:rPr>
                    <w:t>嗅和味</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4</w:t>
                  </w:r>
                </w:p>
              </w:tc>
              <w:tc>
                <w:tcPr>
                  <w:tcW w:w="3150" w:type="dxa"/>
                  <w:vAlign w:val="center"/>
                </w:tcPr>
                <w:p>
                  <w:pPr>
                    <w:pStyle w:val="10"/>
                    <w:bidi w:val="0"/>
                    <w:ind w:firstLine="0" w:firstLineChars="0"/>
                    <w:jc w:val="center"/>
                    <w:rPr>
                      <w:rFonts w:hint="eastAsia"/>
                      <w:lang w:val="en-US" w:eastAsia="zh-CN"/>
                    </w:rPr>
                  </w:pPr>
                  <w:r>
                    <w:rPr>
                      <w:rFonts w:hint="eastAsia"/>
                      <w:lang w:eastAsia="zh-CN"/>
                    </w:rPr>
                    <w:t>浑浊度（</w:t>
                  </w:r>
                  <w:r>
                    <w:rPr>
                      <w:rFonts w:hint="eastAsia"/>
                      <w:lang w:val="en-US" w:eastAsia="zh-CN"/>
                    </w:rPr>
                    <w:t>NTU</w:t>
                  </w:r>
                  <w:r>
                    <w:rPr>
                      <w:rFonts w:hint="eastAsia"/>
                      <w:lang w:eastAsia="zh-CN"/>
                    </w:rPr>
                    <w:t>）</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5</w:t>
                  </w:r>
                </w:p>
              </w:tc>
              <w:tc>
                <w:tcPr>
                  <w:tcW w:w="3150" w:type="dxa"/>
                  <w:vAlign w:val="center"/>
                </w:tcPr>
                <w:p>
                  <w:pPr>
                    <w:pStyle w:val="10"/>
                    <w:bidi w:val="0"/>
                    <w:ind w:firstLine="0" w:firstLineChars="0"/>
                    <w:jc w:val="center"/>
                    <w:rPr>
                      <w:rFonts w:hint="eastAsia"/>
                      <w:lang w:val="en-US" w:eastAsia="zh-CN"/>
                    </w:rPr>
                  </w:pPr>
                  <w:r>
                    <w:rPr>
                      <w:rFonts w:hint="eastAsia"/>
                      <w:lang w:eastAsia="zh-CN"/>
                    </w:rPr>
                    <w:t>萘</w:t>
                  </w:r>
                  <w:r>
                    <w:rPr>
                      <w:rFonts w:hint="eastAsia"/>
                      <w:lang w:val="en-US" w:eastAsia="zh-CN"/>
                    </w:rPr>
                    <w:t>（μg/L）</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6</w:t>
                  </w:r>
                </w:p>
              </w:tc>
              <w:tc>
                <w:tcPr>
                  <w:tcW w:w="3150" w:type="dxa"/>
                  <w:vAlign w:val="center"/>
                </w:tcPr>
                <w:p>
                  <w:pPr>
                    <w:pStyle w:val="10"/>
                    <w:bidi w:val="0"/>
                    <w:ind w:firstLine="0" w:firstLineChars="0"/>
                    <w:jc w:val="center"/>
                    <w:rPr>
                      <w:rFonts w:hint="eastAsia"/>
                      <w:lang w:val="en-US" w:eastAsia="zh-CN"/>
                    </w:rPr>
                  </w:pPr>
                  <w:r>
                    <w:rPr>
                      <w:rFonts w:hint="eastAsia"/>
                      <w:lang w:eastAsia="zh-CN"/>
                    </w:rPr>
                    <w:t>苯</w:t>
                  </w:r>
                  <w:r>
                    <w:rPr>
                      <w:rFonts w:hint="eastAsia"/>
                      <w:lang w:val="en-US" w:eastAsia="zh-CN"/>
                    </w:rPr>
                    <w:t>（μg/L）</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7</w:t>
                  </w:r>
                </w:p>
              </w:tc>
              <w:tc>
                <w:tcPr>
                  <w:tcW w:w="3150" w:type="dxa"/>
                  <w:vAlign w:val="center"/>
                </w:tcPr>
                <w:p>
                  <w:pPr>
                    <w:pStyle w:val="10"/>
                    <w:bidi w:val="0"/>
                    <w:ind w:firstLine="0" w:firstLineChars="0"/>
                    <w:jc w:val="center"/>
                    <w:rPr>
                      <w:rFonts w:hint="eastAsia"/>
                      <w:lang w:val="en-US" w:eastAsia="zh-CN"/>
                    </w:rPr>
                  </w:pPr>
                  <w:r>
                    <w:rPr>
                      <w:rFonts w:hint="eastAsia"/>
                      <w:lang w:eastAsia="zh-CN"/>
                    </w:rPr>
                    <w:t>甲苯</w:t>
                  </w:r>
                  <w:r>
                    <w:rPr>
                      <w:rFonts w:hint="eastAsia"/>
                      <w:lang w:val="en-US" w:eastAsia="zh-CN"/>
                    </w:rPr>
                    <w:t>（μg/L）</w:t>
                  </w:r>
                </w:p>
              </w:tc>
              <w:tc>
                <w:tcPr>
                  <w:tcW w:w="2701" w:type="dxa"/>
                  <w:vAlign w:val="center"/>
                </w:tcPr>
                <w:p>
                  <w:pPr>
                    <w:pStyle w:val="10"/>
                    <w:bidi w:val="0"/>
                    <w:ind w:firstLine="0" w:firstLineChars="0"/>
                    <w:jc w:val="center"/>
                    <w:rPr>
                      <w:rFonts w:hint="eastAsia"/>
                      <w:lang w:val="en-US" w:eastAsia="zh-CN"/>
                    </w:rPr>
                  </w:pPr>
                  <w:r>
                    <w:rPr>
                      <w:rFonts w:hint="eastAsia"/>
                      <w:lang w:eastAsia="zh-CN"/>
                    </w:rPr>
                    <w:t>≤</w:t>
                  </w:r>
                  <w:r>
                    <w:rPr>
                      <w:rFonts w:hint="eastAsia"/>
                      <w:lang w:val="en-US" w:eastAsia="zh-CN"/>
                    </w:rPr>
                    <w:t>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8</w:t>
                  </w:r>
                </w:p>
              </w:tc>
              <w:tc>
                <w:tcPr>
                  <w:tcW w:w="3150" w:type="dxa"/>
                  <w:vAlign w:val="center"/>
                </w:tcPr>
                <w:p>
                  <w:pPr>
                    <w:pStyle w:val="10"/>
                    <w:bidi w:val="0"/>
                    <w:ind w:firstLine="0" w:firstLineChars="0"/>
                    <w:jc w:val="center"/>
                    <w:rPr>
                      <w:rFonts w:hint="eastAsia"/>
                      <w:lang w:val="en-US" w:eastAsia="zh-CN"/>
                    </w:rPr>
                  </w:pPr>
                  <w:r>
                    <w:rPr>
                      <w:rFonts w:hint="eastAsia"/>
                      <w:lang w:eastAsia="zh-CN"/>
                    </w:rPr>
                    <w:t>乙苯</w:t>
                  </w:r>
                  <w:r>
                    <w:rPr>
                      <w:rFonts w:hint="eastAsia"/>
                      <w:lang w:val="en-US" w:eastAsia="zh-CN"/>
                    </w:rPr>
                    <w:t>（μg/L）</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9</w:t>
                  </w:r>
                </w:p>
              </w:tc>
              <w:tc>
                <w:tcPr>
                  <w:tcW w:w="3150" w:type="dxa"/>
                  <w:vAlign w:val="center"/>
                </w:tcPr>
                <w:p>
                  <w:pPr>
                    <w:pStyle w:val="10"/>
                    <w:bidi w:val="0"/>
                    <w:ind w:firstLine="0" w:firstLineChars="0"/>
                    <w:jc w:val="center"/>
                    <w:rPr>
                      <w:rFonts w:hint="eastAsia"/>
                      <w:lang w:val="en-US" w:eastAsia="zh-CN"/>
                    </w:rPr>
                  </w:pPr>
                  <w:r>
                    <w:rPr>
                      <w:rFonts w:hint="eastAsia"/>
                      <w:lang w:eastAsia="zh-CN"/>
                    </w:rPr>
                    <w:t>邻二甲苯</w:t>
                  </w:r>
                  <w:r>
                    <w:rPr>
                      <w:rFonts w:hint="eastAsia"/>
                      <w:lang w:val="en-US" w:eastAsia="zh-CN"/>
                    </w:rPr>
                    <w:t>（μg/L）</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10</w:t>
                  </w:r>
                </w:p>
              </w:tc>
              <w:tc>
                <w:tcPr>
                  <w:tcW w:w="3150" w:type="dxa"/>
                  <w:vAlign w:val="center"/>
                </w:tcPr>
                <w:p>
                  <w:pPr>
                    <w:pStyle w:val="10"/>
                    <w:bidi w:val="0"/>
                    <w:ind w:firstLine="0" w:firstLineChars="0"/>
                    <w:jc w:val="center"/>
                    <w:rPr>
                      <w:rFonts w:hint="eastAsia"/>
                      <w:lang w:val="en-US" w:eastAsia="zh-CN"/>
                    </w:rPr>
                  </w:pPr>
                  <w:r>
                    <w:rPr>
                      <w:rFonts w:hint="eastAsia"/>
                      <w:lang w:eastAsia="zh-CN"/>
                    </w:rPr>
                    <w:t>间（对）二甲苯</w:t>
                  </w:r>
                  <w:r>
                    <w:rPr>
                      <w:rFonts w:hint="eastAsia"/>
                      <w:lang w:val="en-US" w:eastAsia="zh-CN"/>
                    </w:rPr>
                    <w:t>（μg/L）</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11</w:t>
                  </w:r>
                </w:p>
              </w:tc>
              <w:tc>
                <w:tcPr>
                  <w:tcW w:w="3150" w:type="dxa"/>
                  <w:vAlign w:val="center"/>
                </w:tcPr>
                <w:p>
                  <w:pPr>
                    <w:pStyle w:val="10"/>
                    <w:bidi w:val="0"/>
                    <w:ind w:firstLine="0" w:firstLineChars="0"/>
                    <w:jc w:val="center"/>
                    <w:rPr>
                      <w:rFonts w:hint="eastAsia"/>
                      <w:lang w:val="en-US" w:eastAsia="zh-CN"/>
                    </w:rPr>
                  </w:pPr>
                  <w:r>
                    <w:rPr>
                      <w:rFonts w:hint="eastAsia"/>
                      <w:lang w:eastAsia="zh-CN"/>
                    </w:rPr>
                    <w:t>铅</w:t>
                  </w:r>
                  <w:r>
                    <w:rPr>
                      <w:rFonts w:hint="eastAsia"/>
                      <w:lang w:val="en-US" w:eastAsia="zh-CN"/>
                    </w:rPr>
                    <w:t>（μg/L）</w:t>
                  </w:r>
                </w:p>
              </w:tc>
              <w:tc>
                <w:tcPr>
                  <w:tcW w:w="2701" w:type="dxa"/>
                  <w:vAlign w:val="center"/>
                </w:tcPr>
                <w:p>
                  <w:pPr>
                    <w:pStyle w:val="10"/>
                    <w:bidi w:val="0"/>
                    <w:ind w:firstLine="0" w:firstLineChars="0"/>
                    <w:jc w:val="center"/>
                    <w:rPr>
                      <w:rFonts w:hint="eastAsia"/>
                      <w:lang w:val="en-US" w:eastAsia="zh-CN"/>
                    </w:rPr>
                  </w:pPr>
                  <w:r>
                    <w:rPr>
                      <w:rFonts w:hint="eastAsia"/>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3" w:type="dxa"/>
                  <w:vAlign w:val="center"/>
                </w:tcPr>
                <w:p>
                  <w:pPr>
                    <w:pStyle w:val="10"/>
                    <w:bidi w:val="0"/>
                    <w:ind w:firstLine="0" w:firstLineChars="0"/>
                    <w:jc w:val="center"/>
                    <w:rPr>
                      <w:rFonts w:hint="default"/>
                      <w:lang w:val="en-US" w:eastAsia="zh-CN"/>
                    </w:rPr>
                  </w:pPr>
                  <w:r>
                    <w:rPr>
                      <w:rFonts w:hint="eastAsia"/>
                      <w:lang w:val="en-US" w:eastAsia="zh-CN"/>
                    </w:rPr>
                    <w:t>12</w:t>
                  </w:r>
                </w:p>
              </w:tc>
              <w:tc>
                <w:tcPr>
                  <w:tcW w:w="3150" w:type="dxa"/>
                  <w:vAlign w:val="center"/>
                </w:tcPr>
                <w:p>
                  <w:pPr>
                    <w:pStyle w:val="10"/>
                    <w:bidi w:val="0"/>
                    <w:ind w:firstLine="0" w:firstLineChars="0"/>
                    <w:jc w:val="center"/>
                    <w:rPr>
                      <w:rFonts w:hint="eastAsia"/>
                      <w:lang w:val="en-US" w:eastAsia="zh-CN"/>
                    </w:rPr>
                  </w:pPr>
                  <w:r>
                    <w:rPr>
                      <w:rFonts w:hint="eastAsia"/>
                      <w:lang w:val="en-US" w:eastAsia="zh-CN"/>
                    </w:rPr>
                    <w:t>二氯乙烷（μg/L）</w:t>
                  </w:r>
                </w:p>
              </w:tc>
              <w:tc>
                <w:tcPr>
                  <w:tcW w:w="2701" w:type="dxa"/>
                  <w:vAlign w:val="center"/>
                </w:tcPr>
                <w:p>
                  <w:pPr>
                    <w:pStyle w:val="10"/>
                    <w:bidi w:val="0"/>
                    <w:ind w:firstLine="0" w:firstLineChars="0"/>
                    <w:jc w:val="center"/>
                    <w:rPr>
                      <w:rFonts w:hint="eastAsia"/>
                      <w:lang w:val="en-US" w:eastAsia="zh-CN"/>
                    </w:rPr>
                  </w:pPr>
                  <w:r>
                    <w:rPr>
                      <w:rFonts w:hint="eastAsia"/>
                      <w:lang w:eastAsia="zh-CN"/>
                    </w:rPr>
                    <w:t>≤</w:t>
                  </w:r>
                  <w:r>
                    <w:rPr>
                      <w:rFonts w:hint="eastAsia"/>
                      <w:lang w:val="en-US" w:eastAsia="zh-CN"/>
                    </w:rPr>
                    <w:t>30</w:t>
                  </w:r>
                </w:p>
              </w:tc>
            </w:tr>
          </w:tbl>
          <w:p>
            <w:pPr>
              <w:spacing w:line="500" w:lineRule="exact"/>
              <w:ind w:firstLine="0" w:firstLineChars="0"/>
              <w:jc w:val="left"/>
            </w:pPr>
            <w:r>
              <w:t>4</w:t>
            </w:r>
            <w:r>
              <w:rPr>
                <w:rFonts w:hint="eastAsia"/>
              </w:rPr>
              <w:t>、</w:t>
            </w:r>
            <w:r>
              <w:t>声环境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t>执行《声环境质量标准》（GB309</w:t>
            </w:r>
            <w:r>
              <w:rPr>
                <w:rFonts w:hint="eastAsia"/>
              </w:rPr>
              <w:t>6</w:t>
            </w:r>
            <w:r>
              <w:t>-2008）2类</w:t>
            </w:r>
            <w:r>
              <w:rPr>
                <w:rFonts w:hint="eastAsia"/>
                <w:lang w:eastAsia="zh-CN"/>
              </w:rPr>
              <w:t>和</w:t>
            </w:r>
            <w:r>
              <w:rPr>
                <w:rFonts w:hint="eastAsia"/>
                <w:lang w:val="en-US" w:eastAsia="zh-CN"/>
              </w:rPr>
              <w:t>4a类</w:t>
            </w:r>
            <w:r>
              <w:t>，详见表1</w:t>
            </w:r>
            <w:r>
              <w:rPr>
                <w:rFonts w:hint="eastAsia"/>
                <w:lang w:val="en-US" w:eastAsia="zh-CN"/>
              </w:rPr>
              <w:t>7</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表18  《声环境质量标准》（GB3096-2008）2类  单位：dB﹙A﹚</w:t>
            </w:r>
          </w:p>
          <w:tbl>
            <w:tblPr>
              <w:tblStyle w:val="20"/>
              <w:tblW w:w="755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82"/>
              <w:gridCol w:w="2154"/>
              <w:gridCol w:w="251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top w:val="single" w:color="auto" w:sz="8" w:space="0"/>
                    <w:left w:val="single" w:color="auto" w:sz="0" w:space="0"/>
                  </w:tcBorders>
                  <w:vAlign w:val="center"/>
                </w:tcPr>
                <w:p>
                  <w:pPr>
                    <w:adjustRightInd w:val="0"/>
                    <w:snapToGrid w:val="0"/>
                    <w:spacing w:line="240" w:lineRule="auto"/>
                    <w:ind w:firstLine="0" w:firstLineChars="0"/>
                    <w:jc w:val="center"/>
                  </w:pPr>
                  <w:r>
                    <w:t>类别</w:t>
                  </w:r>
                </w:p>
              </w:tc>
              <w:tc>
                <w:tcPr>
                  <w:tcW w:w="2154" w:type="dxa"/>
                  <w:tcBorders>
                    <w:top w:val="single" w:color="auto" w:sz="8" w:space="0"/>
                  </w:tcBorders>
                  <w:vAlign w:val="center"/>
                </w:tcPr>
                <w:p>
                  <w:pPr>
                    <w:adjustRightInd w:val="0"/>
                    <w:snapToGrid w:val="0"/>
                    <w:spacing w:line="240" w:lineRule="auto"/>
                    <w:ind w:firstLine="0" w:firstLineChars="0"/>
                    <w:jc w:val="center"/>
                  </w:pPr>
                  <w:r>
                    <w:t>昼间</w:t>
                  </w:r>
                </w:p>
              </w:tc>
              <w:tc>
                <w:tcPr>
                  <w:tcW w:w="2519" w:type="dxa"/>
                  <w:tcBorders>
                    <w:top w:val="single" w:color="auto" w:sz="8" w:space="0"/>
                    <w:right w:val="single" w:color="auto" w:sz="8" w:space="0"/>
                  </w:tcBorders>
                  <w:vAlign w:val="center"/>
                </w:tcPr>
                <w:p>
                  <w:pPr>
                    <w:adjustRightInd w:val="0"/>
                    <w:snapToGrid w:val="0"/>
                    <w:spacing w:line="240" w:lineRule="auto"/>
                    <w:ind w:firstLine="0" w:firstLineChars="0"/>
                    <w:jc w:val="center"/>
                  </w:pPr>
                  <w: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tcBorders>
                  <w:vAlign w:val="center"/>
                </w:tcPr>
                <w:p>
                  <w:pPr>
                    <w:adjustRightInd w:val="0"/>
                    <w:snapToGrid w:val="0"/>
                    <w:spacing w:line="240" w:lineRule="auto"/>
                    <w:ind w:firstLine="0" w:firstLineChars="0"/>
                    <w:jc w:val="center"/>
                  </w:pPr>
                  <w:r>
                    <w:t>2类</w:t>
                  </w:r>
                </w:p>
              </w:tc>
              <w:tc>
                <w:tcPr>
                  <w:tcW w:w="2154" w:type="dxa"/>
                  <w:vAlign w:val="center"/>
                </w:tcPr>
                <w:p>
                  <w:pPr>
                    <w:adjustRightInd w:val="0"/>
                    <w:snapToGrid w:val="0"/>
                    <w:spacing w:line="240" w:lineRule="auto"/>
                    <w:ind w:firstLine="0" w:firstLineChars="0"/>
                    <w:jc w:val="center"/>
                  </w:pPr>
                  <w:r>
                    <w:t>60</w:t>
                  </w:r>
                </w:p>
              </w:tc>
              <w:tc>
                <w:tcPr>
                  <w:tcW w:w="2519" w:type="dxa"/>
                  <w:tcBorders>
                    <w:right w:val="single" w:color="auto" w:sz="8" w:space="0"/>
                  </w:tcBorders>
                  <w:vAlign w:val="center"/>
                </w:tcPr>
                <w:p>
                  <w:pPr>
                    <w:adjustRightInd w:val="0"/>
                    <w:snapToGrid w:val="0"/>
                    <w:spacing w:line="240" w:lineRule="auto"/>
                    <w:ind w:firstLine="0" w:firstLineChars="0"/>
                    <w:jc w:val="center"/>
                  </w:pPr>
                  <w: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882" w:type="dxa"/>
                  <w:tcBorders>
                    <w:left w:val="single" w:color="auto" w:sz="4" w:space="0"/>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4a类</w:t>
                  </w:r>
                </w:p>
              </w:tc>
              <w:tc>
                <w:tcPr>
                  <w:tcW w:w="2154" w:type="dxa"/>
                  <w:tcBorders>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70</w:t>
                  </w:r>
                </w:p>
              </w:tc>
              <w:tc>
                <w:tcPr>
                  <w:tcW w:w="2519"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55</w:t>
                  </w:r>
                </w:p>
              </w:tc>
            </w:tr>
          </w:tbl>
          <w:p>
            <w:pPr>
              <w:pStyle w:val="2"/>
              <w:ind w:left="0" w:leftChars="0" w:right="6" w:rightChars="0" w:firstLine="0" w:firstLineChars="0"/>
              <w:jc w:val="center"/>
              <w:rPr>
                <w:rFonts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3"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污染物排放标准</w:t>
            </w:r>
          </w:p>
        </w:tc>
        <w:tc>
          <w:tcPr>
            <w:tcW w:w="7771" w:type="dxa"/>
            <w:vAlign w:val="center"/>
          </w:tcPr>
          <w:p>
            <w:pPr>
              <w:adjustRightInd w:val="0"/>
              <w:snapToGrid w:val="0"/>
              <w:spacing w:line="500" w:lineRule="exact"/>
              <w:ind w:firstLine="0" w:firstLineChars="0"/>
              <w:jc w:val="left"/>
            </w:pPr>
            <w:r>
              <w:rPr>
                <w:rFonts w:hint="eastAsia"/>
              </w:rPr>
              <w:t>1、废气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pPr>
            <w:r>
              <w:rPr>
                <w:rFonts w:hint="eastAsia"/>
              </w:rPr>
              <w:t>项目营运期</w:t>
            </w:r>
            <w:r>
              <w:t>在</w:t>
            </w:r>
            <w:r>
              <w:rPr>
                <w:rFonts w:hint="eastAsia"/>
              </w:rPr>
              <w:t>油罐进发油</w:t>
            </w:r>
            <w:r>
              <w:t>过程中有少量</w:t>
            </w:r>
            <w:r>
              <w:rPr>
                <w:rFonts w:hint="eastAsia"/>
              </w:rPr>
              <w:t>油蒸气，排放标准详见</w:t>
            </w:r>
            <w:r>
              <w:t>表</w:t>
            </w:r>
            <w:r>
              <w:rPr>
                <w:rFonts w:hint="eastAsia"/>
                <w:lang w:val="en-US" w:eastAsia="zh-CN"/>
              </w:rPr>
              <w:t>19</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表19  项目营运期油罐废气执行标准</w:t>
            </w:r>
          </w:p>
          <w:tbl>
            <w:tblPr>
              <w:tblStyle w:val="20"/>
              <w:tblW w:w="4998" w:type="pct"/>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3"/>
              <w:gridCol w:w="1535"/>
              <w:gridCol w:w="17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top w:val="single" w:color="auto" w:sz="8" w:space="0"/>
                    <w:left w:val="single" w:color="auto" w:sz="0" w:space="0"/>
                  </w:tcBorders>
                  <w:vAlign w:val="center"/>
                </w:tcPr>
                <w:p>
                  <w:pPr>
                    <w:pStyle w:val="10"/>
                    <w:bidi w:val="0"/>
                  </w:pPr>
                  <w:r>
                    <w:t>执行标准名称及级别</w:t>
                  </w:r>
                </w:p>
              </w:tc>
              <w:tc>
                <w:tcPr>
                  <w:tcW w:w="1016" w:type="pct"/>
                  <w:tcBorders>
                    <w:top w:val="single" w:color="auto" w:sz="8" w:space="0"/>
                  </w:tcBorders>
                  <w:vAlign w:val="center"/>
                </w:tcPr>
                <w:p>
                  <w:pPr>
                    <w:pStyle w:val="10"/>
                    <w:bidi w:val="0"/>
                  </w:pPr>
                  <w:r>
                    <w:t>项目</w:t>
                  </w:r>
                </w:p>
              </w:tc>
              <w:tc>
                <w:tcPr>
                  <w:tcW w:w="1174" w:type="pct"/>
                  <w:tcBorders>
                    <w:top w:val="single" w:color="auto" w:sz="8" w:space="0"/>
                    <w:right w:val="single" w:color="auto" w:sz="8" w:space="0"/>
                  </w:tcBorders>
                  <w:vAlign w:val="center"/>
                </w:tcPr>
                <w:p>
                  <w:pPr>
                    <w:pStyle w:val="10"/>
                    <w:bidi w:val="0"/>
                  </w:pPr>
                  <w:r>
                    <w:t>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10"/>
                    <w:bidi w:val="0"/>
                    <w:rPr>
                      <w:lang w:val="zh-CN" w:eastAsia="zh-CN"/>
                    </w:rPr>
                  </w:pPr>
                  <w:r>
                    <w:rPr>
                      <w:lang w:val="zh-CN" w:eastAsia="zh-CN"/>
                    </w:rPr>
                    <w:t>《加油站大气污染</w:t>
                  </w:r>
                  <w:r>
                    <w:rPr>
                      <w:rFonts w:hint="eastAsia"/>
                      <w:lang w:val="zh-CN" w:eastAsia="zh-CN"/>
                    </w:rPr>
                    <w:t>物</w:t>
                  </w:r>
                  <w:r>
                    <w:rPr>
                      <w:lang w:val="zh-CN" w:eastAsia="zh-CN"/>
                    </w:rPr>
                    <w:t>排放标准》（GB20952-2007）</w:t>
                  </w:r>
                </w:p>
              </w:tc>
              <w:tc>
                <w:tcPr>
                  <w:tcW w:w="1016" w:type="pct"/>
                  <w:vMerge w:val="restart"/>
                  <w:vAlign w:val="center"/>
                </w:tcPr>
                <w:p>
                  <w:pPr>
                    <w:pStyle w:val="10"/>
                    <w:bidi w:val="0"/>
                  </w:pPr>
                  <w:r>
                    <w:rPr>
                      <w:rFonts w:hint="eastAsia"/>
                    </w:rPr>
                    <w:t>非甲烷总烃</w:t>
                  </w:r>
                </w:p>
              </w:tc>
              <w:tc>
                <w:tcPr>
                  <w:tcW w:w="1174" w:type="pct"/>
                  <w:tcBorders>
                    <w:right w:val="single" w:color="auto" w:sz="8" w:space="0"/>
                  </w:tcBorders>
                  <w:vAlign w:val="center"/>
                </w:tcPr>
                <w:p>
                  <w:pPr>
                    <w:pStyle w:val="10"/>
                    <w:bidi w:val="0"/>
                  </w:pPr>
                  <w:r>
                    <w:t>≦25g/m3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tcBorders>
                    <w:left w:val="single" w:color="auto" w:sz="4" w:space="0"/>
                  </w:tcBorders>
                  <w:vAlign w:val="center"/>
                </w:tcPr>
                <w:p>
                  <w:pPr>
                    <w:pStyle w:val="10"/>
                    <w:bidi w:val="0"/>
                    <w:rPr>
                      <w:lang w:val="zh-CN" w:eastAsia="zh-CN"/>
                    </w:rPr>
                  </w:pPr>
                  <w:r>
                    <w:rPr>
                      <w:lang w:val="zh-CN" w:eastAsia="zh-CN"/>
                    </w:rPr>
                    <w:t>《大气污染物综合排放标准》（GB16297-1996）表 2 中无组织排放标准的限值</w:t>
                  </w:r>
                </w:p>
              </w:tc>
              <w:tc>
                <w:tcPr>
                  <w:tcW w:w="1016" w:type="pct"/>
                  <w:vMerge w:val="continue"/>
                  <w:vAlign w:val="center"/>
                </w:tcPr>
                <w:p>
                  <w:pPr>
                    <w:pStyle w:val="10"/>
                    <w:bidi w:val="0"/>
                  </w:pPr>
                </w:p>
              </w:tc>
              <w:tc>
                <w:tcPr>
                  <w:tcW w:w="1174" w:type="pct"/>
                  <w:tcBorders>
                    <w:right w:val="single" w:color="auto" w:sz="8" w:space="0"/>
                  </w:tcBorders>
                  <w:vAlign w:val="center"/>
                </w:tcPr>
                <w:p>
                  <w:pPr>
                    <w:pStyle w:val="10"/>
                    <w:bidi w:val="0"/>
                  </w:pPr>
                  <w:r>
                    <w:t>4.0mg/m3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restart"/>
                  <w:tcBorders>
                    <w:left w:val="single" w:color="auto" w:sz="4" w:space="0"/>
                  </w:tcBorders>
                  <w:vAlign w:val="center"/>
                </w:tcPr>
                <w:p>
                  <w:pPr>
                    <w:pStyle w:val="10"/>
                    <w:bidi w:val="0"/>
                  </w:pPr>
                  <w:r>
                    <w:t>《关于全省开展工业企业挥发性有机物专项治理工作中排放建议值的通知》（豫环攻坚办[2017]162 号）</w:t>
                  </w:r>
                </w:p>
              </w:tc>
              <w:tc>
                <w:tcPr>
                  <w:tcW w:w="1016" w:type="pct"/>
                  <w:vMerge w:val="continue"/>
                  <w:vAlign w:val="center"/>
                </w:tcPr>
                <w:p>
                  <w:pPr>
                    <w:pStyle w:val="10"/>
                    <w:bidi w:val="0"/>
                  </w:pPr>
                </w:p>
              </w:tc>
              <w:tc>
                <w:tcPr>
                  <w:tcW w:w="1174" w:type="pct"/>
                  <w:tcBorders>
                    <w:right w:val="single" w:color="auto" w:sz="8" w:space="0"/>
                  </w:tcBorders>
                  <w:vAlign w:val="center"/>
                </w:tcPr>
                <w:p>
                  <w:pPr>
                    <w:pStyle w:val="10"/>
                    <w:bidi w:val="0"/>
                  </w:pPr>
                  <w:r>
                    <w:t>≦80g/m3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right"/>
              </w:trPr>
              <w:tc>
                <w:tcPr>
                  <w:tcW w:w="2809" w:type="pct"/>
                  <w:vMerge w:val="continue"/>
                  <w:tcBorders>
                    <w:left w:val="single" w:color="auto" w:sz="4" w:space="0"/>
                    <w:bottom w:val="single" w:color="auto" w:sz="8" w:space="0"/>
                  </w:tcBorders>
                  <w:vAlign w:val="center"/>
                </w:tcPr>
                <w:p>
                  <w:pPr>
                    <w:pStyle w:val="10"/>
                    <w:bidi w:val="0"/>
                  </w:pPr>
                </w:p>
              </w:tc>
              <w:tc>
                <w:tcPr>
                  <w:tcW w:w="1016" w:type="pct"/>
                  <w:vMerge w:val="continue"/>
                  <w:tcBorders>
                    <w:bottom w:val="single" w:color="auto" w:sz="8" w:space="0"/>
                  </w:tcBorders>
                  <w:vAlign w:val="center"/>
                </w:tcPr>
                <w:p>
                  <w:pPr>
                    <w:pStyle w:val="10"/>
                    <w:bidi w:val="0"/>
                  </w:pPr>
                </w:p>
              </w:tc>
              <w:tc>
                <w:tcPr>
                  <w:tcW w:w="1174" w:type="pct"/>
                  <w:tcBorders>
                    <w:bottom w:val="single" w:color="auto" w:sz="8" w:space="0"/>
                    <w:right w:val="single" w:color="auto" w:sz="8" w:space="0"/>
                  </w:tcBorders>
                  <w:vAlign w:val="center"/>
                </w:tcPr>
                <w:p>
                  <w:pPr>
                    <w:pStyle w:val="10"/>
                    <w:bidi w:val="0"/>
                  </w:pPr>
                  <w:r>
                    <w:t>企业边界 2.0mg/m3</w:t>
                  </w:r>
                </w:p>
              </w:tc>
            </w:tr>
          </w:tbl>
          <w:p>
            <w:pPr>
              <w:adjustRightInd w:val="0"/>
              <w:snapToGrid w:val="0"/>
              <w:spacing w:line="500" w:lineRule="exact"/>
              <w:ind w:firstLine="480" w:firstLineChars="200"/>
              <w:jc w:val="left"/>
            </w:pPr>
            <w:r>
              <w:rPr>
                <w:rFonts w:hint="eastAsia"/>
              </w:rPr>
              <w:t>根据</w:t>
            </w:r>
            <w:r>
              <w:t>《加油站大气污染物排放标准》(GB20952-2007)中的相关规定</w:t>
            </w:r>
            <w:r>
              <w:rPr>
                <w:rFonts w:hint="eastAsia"/>
              </w:rPr>
              <w:t>排放口距地平面高度应不低于4m。</w:t>
            </w:r>
          </w:p>
          <w:p>
            <w:pPr>
              <w:adjustRightInd w:val="0"/>
              <w:snapToGrid w:val="0"/>
              <w:spacing w:line="500" w:lineRule="exact"/>
              <w:ind w:firstLine="0" w:firstLineChars="0"/>
              <w:jc w:val="left"/>
            </w:pPr>
            <w:r>
              <w:t>2</w:t>
            </w:r>
            <w:r>
              <w:rPr>
                <w:rFonts w:hint="eastAsia"/>
              </w:rPr>
              <w:t>、</w:t>
            </w:r>
            <w:r>
              <w:t>噪声</w:t>
            </w:r>
          </w:p>
          <w:p>
            <w:pPr>
              <w:keepNext w:val="0"/>
              <w:keepLines w:val="0"/>
              <w:pageBreakBefore w:val="0"/>
              <w:widowControl w:val="0"/>
              <w:tabs>
                <w:tab w:val="left" w:pos="5790"/>
              </w:tabs>
              <w:kinsoku/>
              <w:wordWrap/>
              <w:overflowPunct/>
              <w:topLinePunct w:val="0"/>
              <w:autoSpaceDE/>
              <w:autoSpaceDN/>
              <w:bidi w:val="0"/>
              <w:adjustRightInd/>
              <w:snapToGrid/>
              <w:spacing w:line="360" w:lineRule="auto"/>
              <w:ind w:firstLine="480" w:firstLineChars="200"/>
              <w:jc w:val="left"/>
              <w:textAlignment w:val="auto"/>
            </w:pPr>
            <w:r>
              <w:t>营运期</w:t>
            </w:r>
            <w:r>
              <w:rPr>
                <w:rFonts w:hint="eastAsia"/>
              </w:rPr>
              <w:t>噪声</w:t>
            </w:r>
            <w:r>
              <w:t>执行《工业企业厂界环境噪声排放标准》（GB12348-2008）2类</w:t>
            </w:r>
            <w:r>
              <w:rPr>
                <w:rFonts w:hint="eastAsia"/>
                <w:lang w:eastAsia="zh-CN"/>
              </w:rPr>
              <w:t>和</w:t>
            </w:r>
            <w:r>
              <w:rPr>
                <w:rFonts w:hint="eastAsia"/>
                <w:lang w:val="en-US" w:eastAsia="zh-CN"/>
              </w:rPr>
              <w:t>4类</w:t>
            </w:r>
            <w:r>
              <w:t>标准限值，详见表</w:t>
            </w:r>
            <w:r>
              <w:rPr>
                <w:rFonts w:hint="eastAsia"/>
                <w:lang w:val="en-US" w:eastAsia="zh-CN"/>
              </w:rPr>
              <w:t>20</w:t>
            </w:r>
            <w: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lang w:val="en-US" w:eastAsia="zh-CN"/>
              </w:rPr>
            </w:pPr>
            <w:r>
              <w:rPr>
                <w:rFonts w:hint="eastAsia"/>
                <w:lang w:val="en-US" w:eastAsia="zh-CN"/>
              </w:rPr>
              <w:t>表20 《工业企业厂界环境噪声排放标准》（GB12348-2008）单位：dB（A）</w:t>
            </w:r>
          </w:p>
          <w:tbl>
            <w:tblPr>
              <w:tblStyle w:val="20"/>
              <w:tblW w:w="75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3"/>
              <w:gridCol w:w="1483"/>
              <w:gridCol w:w="251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top w:val="single" w:color="auto" w:sz="8" w:space="0"/>
                    <w:left w:val="single" w:color="auto" w:sz="0" w:space="0"/>
                  </w:tcBorders>
                  <w:vAlign w:val="center"/>
                </w:tcPr>
                <w:p>
                  <w:pPr>
                    <w:spacing w:line="240" w:lineRule="auto"/>
                    <w:ind w:firstLine="0" w:firstLineChars="0"/>
                    <w:jc w:val="center"/>
                    <w:textAlignment w:val="baseline"/>
                  </w:pPr>
                  <w:r>
                    <w:t>边界外声环境功能区类别</w:t>
                  </w:r>
                </w:p>
              </w:tc>
              <w:tc>
                <w:tcPr>
                  <w:tcW w:w="1483" w:type="dxa"/>
                  <w:tcBorders>
                    <w:top w:val="single" w:color="auto" w:sz="8" w:space="0"/>
                  </w:tcBorders>
                  <w:vAlign w:val="center"/>
                </w:tcPr>
                <w:p>
                  <w:pPr>
                    <w:spacing w:line="240" w:lineRule="auto"/>
                    <w:ind w:firstLine="0" w:firstLineChars="0"/>
                    <w:jc w:val="center"/>
                    <w:textAlignment w:val="baseline"/>
                  </w:pPr>
                  <w:r>
                    <w:t>昼间</w:t>
                  </w:r>
                </w:p>
              </w:tc>
              <w:tc>
                <w:tcPr>
                  <w:tcW w:w="2519" w:type="dxa"/>
                  <w:tcBorders>
                    <w:top w:val="single" w:color="auto" w:sz="8" w:space="0"/>
                    <w:right w:val="single" w:color="auto" w:sz="8" w:space="0"/>
                  </w:tcBorders>
                  <w:vAlign w:val="center"/>
                </w:tcPr>
                <w:p>
                  <w:pPr>
                    <w:spacing w:line="240" w:lineRule="auto"/>
                    <w:ind w:firstLine="0" w:firstLineChars="0"/>
                    <w:jc w:val="center"/>
                    <w:textAlignment w:val="baseline"/>
                  </w:pPr>
                  <w: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tcBorders>
                  <w:vAlign w:val="center"/>
                </w:tcPr>
                <w:p>
                  <w:pPr>
                    <w:spacing w:line="240" w:lineRule="auto"/>
                    <w:ind w:firstLine="0" w:firstLineChars="0"/>
                    <w:jc w:val="center"/>
                    <w:textAlignment w:val="baseline"/>
                  </w:pPr>
                  <w:r>
                    <w:t>2类</w:t>
                  </w:r>
                </w:p>
              </w:tc>
              <w:tc>
                <w:tcPr>
                  <w:tcW w:w="1483" w:type="dxa"/>
                  <w:vAlign w:val="center"/>
                </w:tcPr>
                <w:p>
                  <w:pPr>
                    <w:spacing w:line="240" w:lineRule="auto"/>
                    <w:ind w:firstLine="0" w:firstLineChars="0"/>
                    <w:jc w:val="center"/>
                    <w:textAlignment w:val="baseline"/>
                  </w:pPr>
                  <w:r>
                    <w:t>60</w:t>
                  </w:r>
                </w:p>
              </w:tc>
              <w:tc>
                <w:tcPr>
                  <w:tcW w:w="2519" w:type="dxa"/>
                  <w:tcBorders>
                    <w:right w:val="single" w:color="auto" w:sz="8" w:space="0"/>
                  </w:tcBorders>
                  <w:vAlign w:val="center"/>
                </w:tcPr>
                <w:p>
                  <w:pPr>
                    <w:spacing w:line="240" w:lineRule="auto"/>
                    <w:ind w:firstLine="0" w:firstLineChars="0"/>
                    <w:jc w:val="center"/>
                    <w:textAlignment w:val="baseline"/>
                  </w:pPr>
                  <w: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3" w:type="dxa"/>
                  <w:tcBorders>
                    <w:left w:val="single" w:color="auto" w:sz="4" w:space="0"/>
                    <w:bottom w:val="single" w:color="auto" w:sz="8" w:space="0"/>
                  </w:tcBorders>
                  <w:vAlign w:val="center"/>
                </w:tcPr>
                <w:p>
                  <w:pPr>
                    <w:spacing w:line="240" w:lineRule="auto"/>
                    <w:ind w:firstLine="0" w:firstLineChars="0"/>
                    <w:jc w:val="center"/>
                    <w:textAlignment w:val="baseline"/>
                    <w:rPr>
                      <w:rFonts w:hint="eastAsia"/>
                      <w:lang w:val="en-US" w:eastAsia="zh-CN"/>
                    </w:rPr>
                  </w:pPr>
                  <w:r>
                    <w:rPr>
                      <w:rFonts w:hint="eastAsia"/>
                      <w:lang w:val="en-US" w:eastAsia="zh-CN"/>
                    </w:rPr>
                    <w:t>4类</w:t>
                  </w:r>
                </w:p>
              </w:tc>
              <w:tc>
                <w:tcPr>
                  <w:tcW w:w="1483" w:type="dxa"/>
                  <w:tcBorders>
                    <w:bottom w:val="single" w:color="auto" w:sz="8" w:space="0"/>
                  </w:tcBorders>
                  <w:vAlign w:val="center"/>
                </w:tcPr>
                <w:p>
                  <w:pPr>
                    <w:spacing w:line="240" w:lineRule="auto"/>
                    <w:ind w:firstLine="0" w:firstLineChars="0"/>
                    <w:jc w:val="center"/>
                    <w:textAlignment w:val="baseline"/>
                    <w:rPr>
                      <w:rFonts w:hint="default"/>
                      <w:lang w:val="en-US" w:eastAsia="zh-CN"/>
                    </w:rPr>
                  </w:pPr>
                  <w:r>
                    <w:rPr>
                      <w:rFonts w:hint="eastAsia"/>
                      <w:lang w:val="en-US" w:eastAsia="zh-CN"/>
                    </w:rPr>
                    <w:t>70</w:t>
                  </w:r>
                </w:p>
              </w:tc>
              <w:tc>
                <w:tcPr>
                  <w:tcW w:w="2519" w:type="dxa"/>
                  <w:tcBorders>
                    <w:bottom w:val="single" w:color="auto" w:sz="8" w:space="0"/>
                    <w:right w:val="single" w:color="auto" w:sz="8" w:space="0"/>
                  </w:tcBorders>
                  <w:vAlign w:val="center"/>
                </w:tcPr>
                <w:p>
                  <w:pPr>
                    <w:spacing w:line="240" w:lineRule="auto"/>
                    <w:ind w:firstLine="0" w:firstLineChars="0"/>
                    <w:jc w:val="center"/>
                    <w:textAlignment w:val="baseline"/>
                    <w:rPr>
                      <w:rFonts w:hint="default"/>
                      <w:lang w:val="en-US" w:eastAsia="zh-CN"/>
                    </w:rPr>
                  </w:pPr>
                  <w:r>
                    <w:rPr>
                      <w:rFonts w:hint="eastAsia"/>
                      <w:lang w:val="en-US" w:eastAsia="zh-CN"/>
                    </w:rPr>
                    <w:t>55</w:t>
                  </w:r>
                </w:p>
              </w:tc>
            </w:tr>
          </w:tbl>
          <w:p>
            <w:pPr>
              <w:adjustRightInd w:val="0"/>
              <w:snapToGrid w:val="0"/>
              <w:spacing w:line="500" w:lineRule="exact"/>
              <w:ind w:firstLine="0" w:firstLineChars="0"/>
              <w:jc w:val="left"/>
            </w:pPr>
            <w:r>
              <w:rPr>
                <w:rFonts w:hint="eastAsia"/>
              </w:rPr>
              <w:t>3、</w:t>
            </w:r>
            <w:r>
              <w:t>固体废物</w:t>
            </w:r>
          </w:p>
          <w:p>
            <w:pPr>
              <w:tabs>
                <w:tab w:val="left" w:pos="5790"/>
              </w:tabs>
              <w:adjustRightInd w:val="0"/>
              <w:snapToGrid w:val="0"/>
              <w:spacing w:line="500" w:lineRule="exact"/>
              <w:ind w:firstLine="480" w:firstLineChars="200"/>
              <w:jc w:val="left"/>
            </w:pPr>
            <w:r>
              <w:t>一般固体废物执行《一般工业固体废物贮存、处置场污染物控制标准》（GB18599-2001）</w:t>
            </w:r>
            <w:r>
              <w:rPr>
                <w:rFonts w:hint="eastAsia"/>
              </w:rPr>
              <w:t>及2013修改单。</w:t>
            </w:r>
          </w:p>
          <w:p>
            <w:pPr>
              <w:tabs>
                <w:tab w:val="left" w:pos="5790"/>
              </w:tabs>
              <w:adjustRightInd w:val="0"/>
              <w:snapToGrid w:val="0"/>
              <w:spacing w:line="500" w:lineRule="exact"/>
              <w:ind w:firstLine="480" w:firstLineChars="200"/>
              <w:jc w:val="left"/>
              <w:rPr>
                <w:rFonts w:ascii="Times New Roman" w:hAnsi="Times New Roman" w:eastAsia="宋体" w:cs="Times New Roman"/>
                <w:sz w:val="24"/>
                <w:szCs w:val="20"/>
              </w:rPr>
            </w:pPr>
            <w:r>
              <w:rPr>
                <w:rFonts w:hint="eastAsia"/>
              </w:rPr>
              <w:t>危险</w:t>
            </w:r>
            <w:r>
              <w:t>废物执行</w:t>
            </w:r>
            <w:r>
              <w:rPr>
                <w:rFonts w:hint="eastAsia"/>
              </w:rPr>
              <w:t>《危险废物贮存污染控制标准》（GB18597-2001）及2013年修改单。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1" w:hRule="atLeast"/>
          <w:jc w:val="center"/>
        </w:trPr>
        <w:tc>
          <w:tcPr>
            <w:tcW w:w="665" w:type="dxa"/>
            <w:vAlign w:val="center"/>
          </w:tcPr>
          <w:p>
            <w:pPr>
              <w:spacing w:line="240" w:lineRule="auto"/>
              <w:ind w:firstLine="0" w:firstLineChars="0"/>
              <w:jc w:val="center"/>
              <w:rPr>
                <w:rFonts w:ascii="Times New Roman" w:hAnsi="Times New Roman" w:eastAsia="宋体" w:cs="Times New Roman"/>
                <w:b/>
                <w:bCs/>
                <w:sz w:val="24"/>
                <w:szCs w:val="24"/>
              </w:rPr>
            </w:pPr>
            <w:r>
              <w:rPr>
                <w:rFonts w:ascii="Times New Roman" w:hAnsi="Times New Roman" w:eastAsia="宋体" w:cs="Times New Roman"/>
                <w:b/>
                <w:bCs/>
                <w:sz w:val="24"/>
                <w:szCs w:val="24"/>
              </w:rPr>
              <w:t>总量控制指标</w:t>
            </w:r>
          </w:p>
        </w:tc>
        <w:tc>
          <w:tcPr>
            <w:tcW w:w="7771" w:type="dxa"/>
            <w:vAlign w:val="center"/>
          </w:tcPr>
          <w:p>
            <w:pPr>
              <w:pStyle w:val="2"/>
              <w:ind w:left="0" w:leftChars="0" w:firstLine="0" w:firstLineChars="0"/>
              <w:jc w:val="left"/>
              <w:rPr>
                <w:rFonts w:hint="eastAsia" w:ascii="Times New Roman" w:hAnsi="宋体" w:eastAsia="宋体" w:cs="Times New Roman"/>
                <w:sz w:val="24"/>
                <w:szCs w:val="24"/>
              </w:rPr>
            </w:pPr>
            <w:r>
              <w:rPr>
                <w:rFonts w:hint="eastAsia" w:ascii="Times New Roman" w:hAnsi="宋体" w:eastAsia="宋体" w:cs="Times New Roman"/>
                <w:sz w:val="24"/>
                <w:szCs w:val="24"/>
              </w:rPr>
              <w:t>本项目</w:t>
            </w:r>
            <w:r>
              <w:rPr>
                <w:rFonts w:ascii="Times New Roman" w:hAnsi="Times New Roman" w:eastAsia="宋体" w:cs="Times New Roman"/>
                <w:sz w:val="24"/>
                <w:szCs w:val="24"/>
              </w:rPr>
              <w:t>无</w:t>
            </w:r>
            <w:r>
              <w:rPr>
                <w:rFonts w:hint="eastAsia" w:ascii="Times New Roman" w:hAnsi="Times New Roman" w:eastAsia="宋体" w:cs="Times New Roman"/>
                <w:sz w:val="24"/>
                <w:szCs w:val="24"/>
              </w:rPr>
              <w:t>COD</w:t>
            </w:r>
            <w:r>
              <w:rPr>
                <w:rFonts w:ascii="Times New Roman" w:hAnsi="Times New Roman" w:eastAsia="宋体" w:cs="Times New Roman"/>
                <w:sz w:val="24"/>
                <w:szCs w:val="24"/>
              </w:rPr>
              <w:t>、氨氮、SO</w:t>
            </w:r>
            <w:r>
              <w:rPr>
                <w:rFonts w:ascii="Times New Roman" w:hAnsi="Times New Roman" w:eastAsia="宋体" w:cs="Times New Roman"/>
                <w:sz w:val="24"/>
                <w:szCs w:val="24"/>
                <w:vertAlign w:val="subscript"/>
              </w:rPr>
              <w:t>2</w:t>
            </w:r>
            <w:r>
              <w:rPr>
                <w:rFonts w:ascii="Times New Roman" w:hAnsi="Times New Roman" w:eastAsia="宋体" w:cs="Times New Roman"/>
                <w:sz w:val="24"/>
                <w:szCs w:val="24"/>
              </w:rPr>
              <w:t>、NO</w:t>
            </w:r>
            <w:r>
              <w:rPr>
                <w:rFonts w:ascii="Times New Roman" w:hAnsi="Times New Roman" w:eastAsia="宋体" w:cs="Times New Roman"/>
                <w:sz w:val="24"/>
                <w:szCs w:val="24"/>
                <w:vertAlign w:val="subscript"/>
              </w:rPr>
              <w:t>X</w:t>
            </w:r>
            <w:r>
              <w:rPr>
                <w:rFonts w:hint="eastAsia" w:ascii="Times New Roman" w:hAnsi="Times New Roman" w:eastAsia="宋体" w:cs="Times New Roman"/>
                <w:sz w:val="24"/>
                <w:szCs w:val="24"/>
              </w:rPr>
              <w:t>排放，</w:t>
            </w:r>
            <w:r>
              <w:rPr>
                <w:rFonts w:hint="eastAsia" w:ascii="Times New Roman" w:hAnsi="宋体" w:eastAsia="宋体" w:cs="Times New Roman"/>
                <w:sz w:val="24"/>
                <w:szCs w:val="24"/>
              </w:rPr>
              <w:t>建议本项目不设置污染物</w:t>
            </w:r>
            <w:r>
              <w:rPr>
                <w:rFonts w:ascii="Times New Roman" w:hAnsi="宋体" w:eastAsia="宋体" w:cs="Times New Roman"/>
                <w:sz w:val="24"/>
                <w:szCs w:val="24"/>
              </w:rPr>
              <w:t>总量控制指标</w:t>
            </w:r>
            <w:r>
              <w:rPr>
                <w:rFonts w:hint="eastAsia" w:ascii="Times New Roman" w:hAnsi="宋体" w:eastAsia="宋体" w:cs="Times New Roman"/>
                <w:sz w:val="24"/>
                <w:szCs w:val="24"/>
              </w:rPr>
              <w:t>。</w:t>
            </w:r>
          </w:p>
          <w:p>
            <w:pPr>
              <w:pStyle w:val="2"/>
              <w:ind w:left="0" w:leftChars="0" w:right="6" w:rightChars="0" w:firstLine="0" w:firstLineChars="0"/>
              <w:jc w:val="left"/>
              <w:rPr>
                <w:rFonts w:ascii="Times New Roman" w:hAnsi="Times New Roman" w:eastAsia="宋体" w:cs="Times New Roman"/>
                <w:sz w:val="24"/>
                <w:szCs w:val="20"/>
              </w:rPr>
            </w:pPr>
          </w:p>
        </w:tc>
      </w:tr>
    </w:tbl>
    <w:p>
      <w:pPr>
        <w:rPr>
          <w:rFonts w:ascii="Times New Roman" w:hAnsi="Times New Roman" w:eastAsia="宋体" w:cs="Times New Roman"/>
          <w:b/>
          <w:bCs/>
          <w:kern w:val="44"/>
          <w:sz w:val="30"/>
          <w:szCs w:val="30"/>
        </w:rPr>
      </w:pPr>
      <w:bookmarkStart w:id="13" w:name="_Toc168387860"/>
      <w:bookmarkStart w:id="14" w:name="_Toc256177432"/>
      <w:bookmarkStart w:id="15" w:name="_Toc257241227"/>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建设项目工程分析</w:t>
      </w:r>
      <w:bookmarkEnd w:id="13"/>
      <w:bookmarkEnd w:id="14"/>
      <w:bookmarkEnd w:id="15"/>
    </w:p>
    <w:tbl>
      <w:tblPr>
        <w:tblStyle w:val="20"/>
        <w:tblW w:w="84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85" w:type="dxa"/>
          <w:bottom w:w="0" w:type="dxa"/>
          <w:right w:w="85" w:type="dxa"/>
        </w:tblCellMar>
      </w:tblPr>
      <w:tblGrid>
        <w:gridCol w:w="84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13024" w:hRule="atLeast"/>
          <w:jc w:val="center"/>
        </w:trPr>
        <w:tc>
          <w:tcPr>
            <w:tcW w:w="8450" w:type="dxa"/>
          </w:tcPr>
          <w:p>
            <w:pPr>
              <w:adjustRightInd w:val="0"/>
              <w:snapToGrid w:val="0"/>
              <w:spacing w:line="360" w:lineRule="auto"/>
              <w:ind w:firstLine="0" w:firstLineChars="0"/>
              <w:rPr>
                <w:rFonts w:ascii="Times New Roman" w:hAnsi="Times New Roman" w:eastAsia="宋体" w:cs="Times New Roman"/>
                <w:b/>
                <w:sz w:val="24"/>
                <w:szCs w:val="20"/>
              </w:rPr>
            </w:pPr>
            <w:r>
              <w:rPr>
                <w:rFonts w:hint="eastAsia" w:cs="Times New Roman"/>
                <w:b/>
                <w:sz w:val="24"/>
                <w:szCs w:val="20"/>
                <w:lang w:val="en-US" w:eastAsia="zh-CN"/>
              </w:rPr>
              <w:t>1、</w:t>
            </w:r>
            <w:r>
              <w:rPr>
                <w:rFonts w:hint="eastAsia" w:ascii="Times New Roman" w:hAnsi="Times New Roman" w:eastAsia="宋体" w:cs="Times New Roman"/>
                <w:b/>
                <w:sz w:val="24"/>
                <w:szCs w:val="20"/>
              </w:rPr>
              <w:t>工艺</w:t>
            </w:r>
            <w:r>
              <w:rPr>
                <w:rFonts w:ascii="Times New Roman" w:hAnsi="Times New Roman" w:eastAsia="宋体" w:cs="Times New Roman"/>
                <w:b/>
                <w:sz w:val="24"/>
                <w:szCs w:val="20"/>
              </w:rPr>
              <w:t>流程简述</w:t>
            </w:r>
          </w:p>
          <w:p>
            <w:pPr>
              <w:spacing w:line="360" w:lineRule="auto"/>
              <w:ind w:firstLine="480" w:firstLineChars="200"/>
              <w:rPr>
                <w:rFonts w:hint="default" w:ascii="Times New Roman" w:hAnsi="Times New Roman" w:eastAsia="宋体" w:cs="Times New Roman"/>
                <w:sz w:val="24"/>
              </w:rPr>
            </w:pPr>
            <w:r>
              <w:rPr>
                <w:rFonts w:hint="eastAsia"/>
                <w:sz w:val="24"/>
              </w:rPr>
              <w:t>本项目为加油站整体改建项目，</w:t>
            </w:r>
            <w:r>
              <w:rPr>
                <w:sz w:val="24"/>
              </w:rPr>
              <w:t>将原加油站上的建筑全部拆除</w:t>
            </w:r>
            <w:r>
              <w:rPr>
                <w:rFonts w:hint="eastAsia"/>
                <w:sz w:val="24"/>
              </w:rPr>
              <w:t>，将新建</w:t>
            </w:r>
            <w:r>
              <w:rPr>
                <w:rFonts w:hint="eastAsia"/>
                <w:sz w:val="24"/>
                <w:lang w:eastAsia="zh-CN"/>
              </w:rPr>
              <w:t>站房、</w:t>
            </w:r>
            <w:r>
              <w:rPr>
                <w:rFonts w:hint="eastAsia"/>
                <w:sz w:val="24"/>
              </w:rPr>
              <w:t>储罐区、罩棚等设施</w:t>
            </w:r>
            <w:r>
              <w:rPr>
                <w:rFonts w:hint="default" w:ascii="Times New Roman" w:hAnsi="Times New Roman" w:eastAsia="宋体" w:cs="Times New Roman"/>
                <w:color w:val="auto"/>
                <w:sz w:val="24"/>
                <w:szCs w:val="24"/>
                <w:lang w:eastAsia="zh-CN"/>
              </w:rPr>
              <w:t>。项目建设对周围环境的影响分为施工期和运营期。</w:t>
            </w:r>
            <w:r>
              <w:rPr>
                <w:rFonts w:hint="default" w:ascii="Times New Roman" w:hAnsi="Times New Roman" w:eastAsia="宋体" w:cs="Times New Roman"/>
                <w:color w:val="auto"/>
                <w:sz w:val="24"/>
              </w:rPr>
              <w:t>根据建设单位提供资料，施工期共计约</w:t>
            </w:r>
            <w:r>
              <w:rPr>
                <w:rFonts w:hint="eastAsia"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个月（合</w:t>
            </w:r>
            <w:r>
              <w:rPr>
                <w:rFonts w:hint="eastAsia" w:ascii="Times New Roman" w:hAnsi="Times New Roman" w:eastAsia="宋体" w:cs="Times New Roman"/>
                <w:color w:val="auto"/>
                <w:sz w:val="24"/>
                <w:lang w:val="en-US" w:eastAsia="zh-CN"/>
              </w:rPr>
              <w:t>30</w:t>
            </w:r>
            <w:r>
              <w:rPr>
                <w:rFonts w:hint="default" w:ascii="Times New Roman" w:hAnsi="Times New Roman" w:eastAsia="宋体" w:cs="Times New Roman"/>
                <w:color w:val="auto"/>
                <w:sz w:val="24"/>
              </w:rPr>
              <w:t>天），</w:t>
            </w:r>
            <w:r>
              <w:rPr>
                <w:rFonts w:hint="eastAsia" w:ascii="Times New Roman" w:hAnsi="Times New Roman"/>
                <w:sz w:val="24"/>
              </w:rPr>
              <w:t>项目施工期工艺流程及产污工序，见图1</w:t>
            </w:r>
            <w:r>
              <w:rPr>
                <w:rFonts w:ascii="Times New Roman" w:hAnsi="Times New Roman"/>
                <w:sz w:val="24"/>
              </w:rPr>
              <w:t>。</w:t>
            </w:r>
          </w:p>
          <w:p>
            <w:pPr>
              <w:spacing w:line="360" w:lineRule="auto"/>
              <w:ind w:left="0" w:leftChars="0" w:firstLine="0" w:firstLineChars="0"/>
              <w:rPr>
                <w:rFonts w:hint="eastAsia" w:ascii="Times New Roman" w:hAnsi="Times New Roman"/>
                <w:sz w:val="24"/>
                <w:szCs w:val="22"/>
              </w:rPr>
            </w:pPr>
            <w:r>
              <w:rPr>
                <w:rFonts w:hint="eastAsia" w:ascii="Times New Roman" w:hAnsi="Times New Roman"/>
                <w:b/>
                <w:bCs/>
                <w:sz w:val="24"/>
                <w:szCs w:val="22"/>
              </w:rPr>
              <w:t>1</w:t>
            </w:r>
            <w:r>
              <w:rPr>
                <w:rFonts w:hint="eastAsia"/>
                <w:b/>
                <w:bCs/>
                <w:sz w:val="24"/>
                <w:szCs w:val="22"/>
                <w:lang w:val="en-US" w:eastAsia="zh-CN"/>
              </w:rPr>
              <w:t>.1</w:t>
            </w:r>
            <w:r>
              <w:rPr>
                <w:rFonts w:hint="eastAsia" w:ascii="Times New Roman" w:hAnsi="Times New Roman"/>
                <w:b/>
                <w:bCs/>
                <w:sz w:val="24"/>
                <w:szCs w:val="22"/>
              </w:rPr>
              <w:t>、工艺流程及产污环节</w:t>
            </w:r>
          </w:p>
          <w:p>
            <w:pPr>
              <w:spacing w:line="360" w:lineRule="auto"/>
              <w:ind w:left="0" w:leftChars="0" w:firstLine="0" w:firstLineChars="0"/>
              <w:rPr>
                <w:rFonts w:hint="eastAsia" w:ascii="Times New Roman" w:hAnsi="Times New Roman"/>
                <w:b/>
                <w:bCs/>
                <w:sz w:val="24"/>
                <w:szCs w:val="32"/>
              </w:rPr>
            </w:pPr>
            <w:r>
              <w:rPr>
                <w:rFonts w:hint="eastAsia" w:ascii="Times New Roman" w:hAnsi="Times New Roman"/>
                <w:b/>
                <w:bCs/>
                <w:sz w:val="24"/>
                <w:szCs w:val="32"/>
              </w:rPr>
              <w:t>施工期：</w:t>
            </w:r>
          </w:p>
          <w:p>
            <w:pPr>
              <w:adjustRightInd w:val="0"/>
              <w:snapToGrid w:val="0"/>
              <w:spacing w:line="360" w:lineRule="auto"/>
              <w:ind w:left="0" w:leftChars="0" w:firstLine="0" w:firstLineChars="0"/>
              <w:jc w:val="both"/>
              <w:rPr>
                <w:rFonts w:ascii="Times New Roman" w:hAnsi="Times New Roman"/>
                <w:b/>
                <w:color w:val="0070C0"/>
                <w:sz w:val="24"/>
              </w:rPr>
            </w:pPr>
            <w:r>
              <w:rPr>
                <w:rFonts w:ascii="Times New Roman" w:hAnsi="Times New Roman"/>
                <w:b/>
                <w:sz w:val="24"/>
                <w:szCs w:val="20"/>
              </w:rPr>
              <mc:AlternateContent>
                <mc:Choice Requires="wpc">
                  <w:drawing>
                    <wp:inline distT="0" distB="0" distL="114300" distR="114300">
                      <wp:extent cx="5171440" cy="1772920"/>
                      <wp:effectExtent l="0" t="0" r="0" b="0"/>
                      <wp:docPr id="70" name="画布 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 name="文本框 51"/>
                              <wps:cNvSpPr txBox="1">
                                <a:spLocks noChangeArrowheads="1"/>
                              </wps:cNvSpPr>
                              <wps:spPr bwMode="auto">
                                <a:xfrm>
                                  <a:off x="334010" y="21590"/>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52" name="直接箭头连接符 52"/>
                              <wps:cNvCnPr>
                                <a:cxnSpLocks noChangeShapeType="1"/>
                              </wps:cNvCnPr>
                              <wps:spPr bwMode="auto">
                                <a:xfrm flipV="1">
                                  <a:off x="665480" y="1041400"/>
                                  <a:ext cx="635" cy="205740"/>
                                </a:xfrm>
                                <a:prstGeom prst="straightConnector1">
                                  <a:avLst/>
                                </a:prstGeom>
                                <a:noFill/>
                                <a:ln w="9525">
                                  <a:solidFill>
                                    <a:srgbClr val="000000"/>
                                  </a:solidFill>
                                  <a:prstDash val="dashDot"/>
                                  <a:round/>
                                  <a:tailEnd type="stealth" w="med" len="med"/>
                                </a:ln>
                                <a:effectLst/>
                              </wps:spPr>
                              <wps:bodyPr/>
                            </wps:wsp>
                            <wps:wsp>
                              <wps:cNvPr id="53" name="文本框 53"/>
                              <wps:cNvSpPr txBox="1">
                                <a:spLocks noChangeArrowheads="1"/>
                              </wps:cNvSpPr>
                              <wps:spPr bwMode="auto">
                                <a:xfrm>
                                  <a:off x="381635" y="1289685"/>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基础工程</w:t>
                                    </w:r>
                                  </w:p>
                                </w:txbxContent>
                              </wps:txbx>
                              <wps:bodyPr rot="0" vert="horz" wrap="square" lIns="91440" tIns="45720" rIns="91440" bIns="45720" anchor="t" anchorCtr="0" upright="1">
                                <a:noAutofit/>
                              </wps:bodyPr>
                            </wps:wsp>
                            <wps:wsp>
                              <wps:cNvPr id="54" name="直接箭头连接符 54"/>
                              <wps:cNvCnPr>
                                <a:cxnSpLocks noChangeShapeType="1"/>
                              </wps:cNvCnPr>
                              <wps:spPr bwMode="auto">
                                <a:xfrm flipV="1">
                                  <a:off x="1776730" y="1046480"/>
                                  <a:ext cx="635" cy="205740"/>
                                </a:xfrm>
                                <a:prstGeom prst="straightConnector1">
                                  <a:avLst/>
                                </a:prstGeom>
                                <a:noFill/>
                                <a:ln w="9525">
                                  <a:solidFill>
                                    <a:srgbClr val="000000"/>
                                  </a:solidFill>
                                  <a:prstDash val="dashDot"/>
                                  <a:round/>
                                  <a:tailEnd type="stealth" w="med" len="med"/>
                                </a:ln>
                                <a:effectLst/>
                              </wps:spPr>
                              <wps:bodyPr/>
                            </wps:wsp>
                            <wps:wsp>
                              <wps:cNvPr id="55" name="文本框 55"/>
                              <wps:cNvSpPr txBox="1">
                                <a:spLocks noChangeArrowheads="1"/>
                              </wps:cNvSpPr>
                              <wps:spPr bwMode="auto">
                                <a:xfrm>
                                  <a:off x="1416685" y="126619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主体工程</w:t>
                                    </w:r>
                                  </w:p>
                                </w:txbxContent>
                              </wps:txbx>
                              <wps:bodyPr rot="0" vert="horz" wrap="square" lIns="91440" tIns="45720" rIns="91440" bIns="45720" anchor="t" anchorCtr="0" upright="1">
                                <a:noAutofit/>
                              </wps:bodyPr>
                            </wps:wsp>
                            <wps:wsp>
                              <wps:cNvPr id="56" name="直接箭头连接符 56"/>
                              <wps:cNvCnPr>
                                <a:cxnSpLocks noChangeShapeType="1"/>
                              </wps:cNvCnPr>
                              <wps:spPr bwMode="auto">
                                <a:xfrm flipV="1">
                                  <a:off x="986790" y="1432560"/>
                                  <a:ext cx="204470" cy="1905"/>
                                </a:xfrm>
                                <a:prstGeom prst="straightConnector1">
                                  <a:avLst/>
                                </a:prstGeom>
                                <a:noFill/>
                                <a:ln>
                                  <a:noFill/>
                                </a:ln>
                                <a:effectLst/>
                              </wps:spPr>
                              <wps:bodyPr/>
                            </wps:wsp>
                            <wps:wsp>
                              <wps:cNvPr id="57" name="直接箭头连接符 57"/>
                              <wps:cNvCnPr>
                                <a:cxnSpLocks noChangeShapeType="1"/>
                              </wps:cNvCnPr>
                              <wps:spPr bwMode="auto">
                                <a:xfrm flipV="1">
                                  <a:off x="986790" y="1432560"/>
                                  <a:ext cx="204470" cy="1905"/>
                                </a:xfrm>
                                <a:prstGeom prst="straightConnector1">
                                  <a:avLst/>
                                </a:prstGeom>
                                <a:noFill/>
                                <a:ln>
                                  <a:noFill/>
                                </a:ln>
                                <a:effectLst/>
                              </wps:spPr>
                              <wps:bodyPr/>
                            </wps:wsp>
                            <wps:wsp>
                              <wps:cNvPr id="58" name="直接箭头连接符 58"/>
                              <wps:cNvCnPr>
                                <a:cxnSpLocks noChangeShapeType="1"/>
                              </wps:cNvCnPr>
                              <wps:spPr bwMode="auto">
                                <a:xfrm>
                                  <a:off x="1174115" y="1431290"/>
                                  <a:ext cx="204470" cy="635"/>
                                </a:xfrm>
                                <a:prstGeom prst="straightConnector1">
                                  <a:avLst/>
                                </a:prstGeom>
                                <a:noFill/>
                                <a:ln w="9525">
                                  <a:solidFill>
                                    <a:srgbClr val="000000"/>
                                  </a:solidFill>
                                  <a:round/>
                                  <a:tailEnd type="stealth" w="med" len="med"/>
                                </a:ln>
                                <a:effectLst/>
                              </wps:spPr>
                              <wps:bodyPr/>
                            </wps:wsp>
                            <wps:wsp>
                              <wps:cNvPr id="59" name="直接箭头连接符 59"/>
                              <wps:cNvCnPr>
                                <a:cxnSpLocks noChangeShapeType="1"/>
                              </wps:cNvCnPr>
                              <wps:spPr bwMode="auto">
                                <a:xfrm flipV="1">
                                  <a:off x="2764790" y="1036955"/>
                                  <a:ext cx="635" cy="205740"/>
                                </a:xfrm>
                                <a:prstGeom prst="straightConnector1">
                                  <a:avLst/>
                                </a:prstGeom>
                                <a:noFill/>
                                <a:ln w="9525">
                                  <a:solidFill>
                                    <a:srgbClr val="000000"/>
                                  </a:solidFill>
                                  <a:prstDash val="dashDot"/>
                                  <a:round/>
                                  <a:tailEnd type="stealth" w="med" len="med"/>
                                </a:ln>
                                <a:effectLst/>
                              </wps:spPr>
                              <wps:bodyPr/>
                            </wps:wsp>
                            <wps:wsp>
                              <wps:cNvPr id="60" name="文本框 60"/>
                              <wps:cNvSpPr txBox="1">
                                <a:spLocks noChangeArrowheads="1"/>
                              </wps:cNvSpPr>
                              <wps:spPr bwMode="auto">
                                <a:xfrm>
                                  <a:off x="2376170" y="128524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设备安装</w:t>
                                    </w:r>
                                  </w:p>
                                </w:txbxContent>
                              </wps:txbx>
                              <wps:bodyPr rot="0" vert="horz" wrap="square" lIns="91440" tIns="45720" rIns="91440" bIns="45720" anchor="t" anchorCtr="0" upright="1">
                                <a:noAutofit/>
                              </wps:bodyPr>
                            </wps:wsp>
                            <wps:wsp>
                              <wps:cNvPr id="61" name="直接箭头连接符 61"/>
                              <wps:cNvCnPr>
                                <a:cxnSpLocks noChangeShapeType="1"/>
                              </wps:cNvCnPr>
                              <wps:spPr bwMode="auto">
                                <a:xfrm>
                                  <a:off x="2171700" y="1450340"/>
                                  <a:ext cx="204470" cy="635"/>
                                </a:xfrm>
                                <a:prstGeom prst="straightConnector1">
                                  <a:avLst/>
                                </a:prstGeom>
                                <a:noFill/>
                                <a:ln w="9525">
                                  <a:solidFill>
                                    <a:srgbClr val="000000"/>
                                  </a:solidFill>
                                  <a:round/>
                                  <a:tailEnd type="stealth" w="med" len="med"/>
                                </a:ln>
                                <a:effectLst/>
                              </wps:spPr>
                              <wps:bodyPr/>
                            </wps:wsp>
                            <wps:wsp>
                              <wps:cNvPr id="62" name="直接箭头连接符 62"/>
                              <wps:cNvCnPr>
                                <a:cxnSpLocks noChangeShapeType="1"/>
                              </wps:cNvCnPr>
                              <wps:spPr bwMode="auto">
                                <a:xfrm flipV="1">
                                  <a:off x="3752215" y="1051560"/>
                                  <a:ext cx="635" cy="205740"/>
                                </a:xfrm>
                                <a:prstGeom prst="straightConnector1">
                                  <a:avLst/>
                                </a:prstGeom>
                                <a:noFill/>
                                <a:ln w="9525">
                                  <a:solidFill>
                                    <a:srgbClr val="000000"/>
                                  </a:solidFill>
                                  <a:prstDash val="dashDot"/>
                                  <a:round/>
                                  <a:tailEnd type="stealth" w="med" len="med"/>
                                </a:ln>
                                <a:effectLst/>
                              </wps:spPr>
                              <wps:bodyPr/>
                            </wps:wsp>
                            <wps:wsp>
                              <wps:cNvPr id="63" name="文本框 63"/>
                              <wps:cNvSpPr txBox="1">
                                <a:spLocks noChangeArrowheads="1"/>
                              </wps:cNvSpPr>
                              <wps:spPr bwMode="auto">
                                <a:xfrm>
                                  <a:off x="3363595" y="1290320"/>
                                  <a:ext cx="74485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装饰工程</w:t>
                                    </w:r>
                                  </w:p>
                                </w:txbxContent>
                              </wps:txbx>
                              <wps:bodyPr rot="0" vert="horz" wrap="square" lIns="91440" tIns="45720" rIns="91440" bIns="45720" anchor="t" anchorCtr="0" upright="1">
                                <a:noAutofit/>
                              </wps:bodyPr>
                            </wps:wsp>
                            <wps:wsp>
                              <wps:cNvPr id="64" name="直接箭头连接符 64"/>
                              <wps:cNvCnPr>
                                <a:cxnSpLocks noChangeShapeType="1"/>
                              </wps:cNvCnPr>
                              <wps:spPr bwMode="auto">
                                <a:xfrm>
                                  <a:off x="3140075" y="1417320"/>
                                  <a:ext cx="204470" cy="635"/>
                                </a:xfrm>
                                <a:prstGeom prst="straightConnector1">
                                  <a:avLst/>
                                </a:prstGeom>
                                <a:noFill/>
                                <a:ln w="9525">
                                  <a:solidFill>
                                    <a:srgbClr val="000000"/>
                                  </a:solidFill>
                                  <a:round/>
                                  <a:tailEnd type="stealth" w="med" len="med"/>
                                </a:ln>
                                <a:effectLst/>
                              </wps:spPr>
                              <wps:bodyPr/>
                            </wps:wsp>
                            <wps:wsp>
                              <wps:cNvPr id="65" name="文本框 65"/>
                              <wps:cNvSpPr txBox="1">
                                <a:spLocks noChangeArrowheads="1"/>
                              </wps:cNvSpPr>
                              <wps:spPr bwMode="auto">
                                <a:xfrm>
                                  <a:off x="4363720" y="1276350"/>
                                  <a:ext cx="498475" cy="323215"/>
                                </a:xfrm>
                                <a:prstGeom prst="rect">
                                  <a:avLst/>
                                </a:prstGeom>
                                <a:noFill/>
                                <a:ln w="9525">
                                  <a:solidFill>
                                    <a:srgbClr val="000000"/>
                                  </a:solidFill>
                                  <a:miter lim="800000"/>
                                </a:ln>
                                <a:effectLst/>
                              </wps:spPr>
                              <wps:txbx>
                                <w:txbxContent>
                                  <w:p>
                                    <w:pPr>
                                      <w:spacing w:line="240" w:lineRule="auto"/>
                                      <w:ind w:firstLine="0" w:firstLineChars="0"/>
                                      <w:rPr>
                                        <w:b/>
                                        <w:sz w:val="21"/>
                                        <w:szCs w:val="21"/>
                                      </w:rPr>
                                    </w:pPr>
                                    <w:r>
                                      <w:rPr>
                                        <w:rFonts w:hint="eastAsia"/>
                                        <w:b/>
                                        <w:sz w:val="21"/>
                                        <w:szCs w:val="21"/>
                                      </w:rPr>
                                      <w:t>竣工</w:t>
                                    </w:r>
                                  </w:p>
                                </w:txbxContent>
                              </wps:txbx>
                              <wps:bodyPr rot="0" vert="horz" wrap="square" lIns="91440" tIns="45720" rIns="91440" bIns="45720" anchor="t" anchorCtr="0" upright="1">
                                <a:noAutofit/>
                              </wps:bodyPr>
                            </wps:wsp>
                            <wps:wsp>
                              <wps:cNvPr id="66" name="直接箭头连接符 66"/>
                              <wps:cNvCnPr>
                                <a:cxnSpLocks noChangeShapeType="1"/>
                              </wps:cNvCnPr>
                              <wps:spPr bwMode="auto">
                                <a:xfrm>
                                  <a:off x="4140200" y="1450975"/>
                                  <a:ext cx="204470" cy="635"/>
                                </a:xfrm>
                                <a:prstGeom prst="straightConnector1">
                                  <a:avLst/>
                                </a:prstGeom>
                                <a:noFill/>
                                <a:ln w="9525">
                                  <a:solidFill>
                                    <a:srgbClr val="000000"/>
                                  </a:solidFill>
                                  <a:round/>
                                  <a:tailEnd type="stealth" w="med" len="med"/>
                                </a:ln>
                                <a:effectLst/>
                              </wps:spPr>
                              <wps:bodyPr/>
                            </wps:wsp>
                            <wps:wsp>
                              <wps:cNvPr id="67" name="文本框 67"/>
                              <wps:cNvSpPr txBox="1">
                                <a:spLocks noChangeArrowheads="1"/>
                              </wps:cNvSpPr>
                              <wps:spPr bwMode="auto">
                                <a:xfrm>
                                  <a:off x="2455545" y="347980"/>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8" name="文本框 68"/>
                              <wps:cNvSpPr txBox="1">
                                <a:spLocks noChangeArrowheads="1"/>
                              </wps:cNvSpPr>
                              <wps:spPr bwMode="auto">
                                <a:xfrm>
                                  <a:off x="3354070" y="334645"/>
                                  <a:ext cx="744855" cy="66929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s:wsp>
                              <wps:cNvPr id="69" name="文本框 69"/>
                              <wps:cNvSpPr txBox="1">
                                <a:spLocks noChangeArrowheads="1"/>
                              </wps:cNvSpPr>
                              <wps:spPr bwMode="auto">
                                <a:xfrm>
                                  <a:off x="1397635" y="132715"/>
                                  <a:ext cx="744855" cy="882650"/>
                                </a:xfrm>
                                <a:prstGeom prst="rect">
                                  <a:avLst/>
                                </a:prstGeom>
                                <a:noFill/>
                                <a:ln>
                                  <a:noFill/>
                                </a:ln>
                                <a:effectLst/>
                              </wps:spPr>
                              <wps:txb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wps:txbx>
                              <wps:bodyPr rot="0" vert="horz" wrap="square" lIns="91440" tIns="45720" rIns="91440" bIns="45720" anchor="t" anchorCtr="0" upright="1">
                                <a:noAutofit/>
                              </wps:bodyPr>
                            </wps:wsp>
                          </wpc:wpc>
                        </a:graphicData>
                      </a:graphic>
                    </wp:inline>
                  </w:drawing>
                </mc:Choice>
                <mc:Fallback>
                  <w:pict>
                    <v:group id="_x0000_s1026" o:spid="_x0000_s1026" o:spt="203" style="height:139.6pt;width:407.2pt;" coordsize="5171440,1772920" editas="canvas"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">
                      <o:lock v:ext="edit" aspectratio="f"/>
                      <v:shape id="_x0000_s1026" o:spid="_x0000_s1026" style="position:absolute;left:0;top:0;height:1772920;width:5171440;" filled="f" stroked="f" coordsize="21600,21600" o:gfxdata="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">
                        <v:fill on="f" focussize="0,0"/>
                        <v:stroke on="f"/>
                        <v:imagedata o:title=""/>
                        <o:lock v:ext="edit" aspectratio="t"/>
                      </v:shape>
                      <v:shape id="_x0000_s1026" o:spid="_x0000_s1026" o:spt="202" type="#_x0000_t202" style="position:absolute;left:334010;top:21590;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JkvMK1AAAAAUBAAAPAAAAAAAAAAEAIAAAACIAAABk&#10;cnMvZG93bnJldi54bWxQSwECFAAUAAAACACHTuJATukeNwoCAADfAwAADgAAAAAAAAABACAAAAAj&#10;AQAAZHJzL2Uyb0RvYy54bWxQSwUGAAAAAAYABgBZAQAAnwU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32" type="#_x0000_t32" style="position:absolute;left:665480;top:104140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X9yHWAAAABQEAAA8A&#10;AAAAAAAAAQAgAAAAIgAAAGRycy9kb3ducmV2LnhtbFBLAQIUABQAAAAIAIdO4kDE0XUOGQIAAN4D&#10;AAAOAAAAAAAAAAEAIAAAACUBAABkcnMvZTJvRG9jLnhtbFBLBQYAAAAABgAGAFkBAACwBQAAAAA=&#10;">
                        <v:fill on="f" focussize="0,0"/>
                        <v:stroke color="#000000" joinstyle="round" dashstyle="dashDot" endarrow="classic"/>
                        <v:imagedata o:title=""/>
                        <o:lock v:ext="edit" aspectratio="f"/>
                      </v:shape>
                      <v:shape id="_x0000_s1026" o:spid="_x0000_s1026" o:spt="202" type="#_x0000_t202" style="position:absolute;left:381635;top:1289685;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M8Gd51AAAAAUBAAAPAAAAAAAAAAEAIAAAACIAAABkcnMvZG93bnJldi54bWxQ&#10;SwECFAAUAAAACACHTuJAweuREDQCAAAqBAAADgAAAAAAAAABACAAAAAjAQAAZHJzL2Uyb0RvYy54&#10;bWxQSwUGAAAAAAYABgBZAQAAyQ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基础工程</w:t>
                              </w:r>
                            </w:p>
                          </w:txbxContent>
                        </v:textbox>
                      </v:shape>
                      <v:shape id="_x0000_s1026" o:spid="_x0000_s1026" o:spt="32" type="#_x0000_t32" style="position:absolute;left:1776730;top:104648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1f3IdYAAAAFAQAA&#10;DwAAAAAAAAABACAAAAAiAAAAZHJzL2Rvd25yZXYueG1sUEsBAhQAFAAAAAgAh07iQMxKqK8bAgAA&#10;3wMAAA4AAAAAAAAAAQAgAAAAJQEAAGRycy9lMm9Eb2MueG1sUEsFBgAAAAAGAAYAWQEAALIFAAAA&#10;AA==&#10;">
                        <v:fill on="f" focussize="0,0"/>
                        <v:stroke color="#000000" joinstyle="round" dashstyle="dashDot" endarrow="classic"/>
                        <v:imagedata o:title=""/>
                        <o:lock v:ext="edit" aspectratio="f"/>
                      </v:shape>
                      <v:shape id="_x0000_s1026" o:spid="_x0000_s1026" o:spt="202" type="#_x0000_t202" style="position:absolute;left:1416685;top:126619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TPBnedQAAAAFAQAADwAAAAAAAAABACAAAAAiAAAAZHJzL2Rvd25yZXYueG1sUEsB&#10;AhQAFAAAAAgAh07iQDUKrHoyAgAAKwQAAA4AAAAAAAAAAQAgAAAAIwEAAGRycy9lMm9Eb2MueG1s&#10;UEsFBgAAAAAGAAYAWQEAAMcFA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主体工程</w:t>
                              </w:r>
                            </w:p>
                          </w:txbxContent>
                        </v:textbox>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LU9cX0wAAAAUBAAAPAAAAAAAAAAEAIAAAACIAAABk&#10;cnMvZG93bnJldi54bWxQSwECFAAUAAAACACHTuJAXE5DvdIBAABbAwAADgAAAAAAAAABACAAAAAi&#10;AQAAZHJzL2Uyb0RvYy54bWxQSwUGAAAAAAYABgBZAQAAZgUAAAAA&#10;">
                        <v:fill on="f" focussize="0,0"/>
                        <v:stroke on="f"/>
                        <v:imagedata o:title=""/>
                        <o:lock v:ext="edit" aspectratio="f"/>
                      </v:shape>
                      <v:shape id="_x0000_s1026" o:spid="_x0000_s1026" o:spt="32" type="#_x0000_t32" style="position:absolute;left:986790;top:1432560;flip:y;height:1905;width:204470;" filled="f" stroked="f" coordsize="21600,21600" o:gfxdata="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&#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LU9cX0wAAAAUBAAAPAAAAAAAAAAEAIAAAACIAAABk&#10;cnMvZG93bnJldi54bWxQSwECFAAUAAAACACHTuJAC37QkdIBAABbAwAADgAAAAAAAAABACAAAAAi&#10;AQAAZHJzL2Uyb0RvYy54bWxQSwUGAAAAAAYABgBZAQAAZgUAAAAA&#10;">
                        <v:fill on="f" focussize="0,0"/>
                        <v:stroke on="f"/>
                        <v:imagedata o:title=""/>
                        <o:lock v:ext="edit" aspectratio="f"/>
                      </v:shape>
                      <v:shape id="_x0000_s1026" o:spid="_x0000_s1026" o:spt="32" type="#_x0000_t32" style="position:absolute;left:1174115;top:143129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6UUUNUAAAAFAQAADwAAAAAAAAABACAAAAAiAAAAZHJz&#10;L2Rvd25yZXYueG1sUEsBAhQAFAAAAAgAh07iQNJ0Rk4HAgAAugMAAA4AAAAAAAAAAQAgAAAAJAEA&#10;AGRycy9lMm9Eb2MueG1sUEsFBgAAAAAGAAYAWQEAAJ0FAAAAAA==&#10;">
                        <v:fill on="f" focussize="0,0"/>
                        <v:stroke color="#000000" joinstyle="round" endarrow="classic"/>
                        <v:imagedata o:title=""/>
                        <o:lock v:ext="edit" aspectratio="f"/>
                      </v:shape>
                      <v:shape id="_x0000_s1026" o:spid="_x0000_s1026" o:spt="32" type="#_x0000_t32" style="position:absolute;left:2764790;top:1036955;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X9yHWAAAABQEA&#10;AA8AAAAAAAAAAQAgAAAAIgAAAGRycy9kb3ducmV2LnhtbFBLAQIUABQAAAAIAIdO4kBPwTzoHAIA&#10;AN8DAAAOAAAAAAAAAAEAIAAAACUBAABkcnMvZTJvRG9jLnhtbFBLBQYAAAAABgAGAFkBAACzBQAA&#10;AAA=&#10;">
                        <v:fill on="f" focussize="0,0"/>
                        <v:stroke color="#000000" joinstyle="round" dashstyle="dashDot" endarrow="classic"/>
                        <v:imagedata o:title=""/>
                        <o:lock v:ext="edit" aspectratio="f"/>
                      </v:shape>
                      <v:shape id="_x0000_s1026" o:spid="_x0000_s1026" o:spt="202" type="#_x0000_t202" style="position:absolute;left:2376170;top:128524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M8Gd51AAAAAUBAAAPAAAAAAAAAAEAIAAAACIAAABkcnMvZG93bnJldi54bWxQ&#10;SwECFAAUAAAACACHTuJAsRr0gTQCAAArBAAADgAAAAAAAAABACAAAAAjAQAAZHJzL2Uyb0RvYy54&#10;bWxQSwUGAAAAAAYABgBZAQAAyQ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设备安装</w:t>
                              </w:r>
                            </w:p>
                          </w:txbxContent>
                        </v:textbox>
                      </v:shape>
                      <v:shape id="_x0000_s1026" o:spid="_x0000_s1026" o:spt="32" type="#_x0000_t32" style="position:absolute;left:2171700;top:145034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vpRRQ1QAAAAUBAAAPAAAAAAAAAAEAIAAAACIAAABkcnMv&#10;ZG93bnJldi54bWxQSwECFAAUAAAACACHTuJAthHeuAYCAAC6AwAADgAAAAAAAAABACAAAAAkAQAA&#10;ZHJzL2Uyb0RvYy54bWxQSwUGAAAAAAYABgBZAQAAnAUAAAAA&#10;">
                        <v:fill on="f" focussize="0,0"/>
                        <v:stroke color="#000000" joinstyle="round" endarrow="classic"/>
                        <v:imagedata o:title=""/>
                        <o:lock v:ext="edit" aspectratio="f"/>
                      </v:shape>
                      <v:shape id="_x0000_s1026" o:spid="_x0000_s1026" o:spt="32" type="#_x0000_t32" style="position:absolute;left:3752215;top:1051560;flip:y;height:205740;width:635;" filled="f" stroked="t" coordsize="21600,21600" o:gfxdata="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X9yHWAAAABQEAAA8A&#10;AAAAAAAAAQAgAAAAIgAAAGRycy9kb3ducmV2LnhtbFBLAQIUABQAAAAIAIdO4kCBp86/GQIAAN8D&#10;AAAOAAAAAAAAAAEAIAAAACUBAABkcnMvZTJvRG9jLnhtbFBLBQYAAAAABgAGAFkBAACwBQAAAAA=&#10;">
                        <v:fill on="f" focussize="0,0"/>
                        <v:stroke color="#000000" joinstyle="round" dashstyle="dashDot" endarrow="classic"/>
                        <v:imagedata o:title=""/>
                        <o:lock v:ext="edit" aspectratio="f"/>
                      </v:shape>
                      <v:shape id="_x0000_s1026" o:spid="_x0000_s1026" o:spt="202" type="#_x0000_t202" style="position:absolute;left:3363595;top:1290320;height:323215;width:74485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M8Gd51AAAAAUBAAAPAAAAAAAAAAEAIAAAACIAAABkcnMvZG93bnJldi54bWxQ&#10;SwECFAAUAAAACACHTuJAntmxVTQCAAArBAAADgAAAAAAAAABACAAAAAjAQAAZHJzL2Uyb0RvYy54&#10;bWxQSwUGAAAAAAYABgBZAQAAyQ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装饰工程</w:t>
                              </w:r>
                            </w:p>
                          </w:txbxContent>
                        </v:textbox>
                      </v:shape>
                      <v:shape id="_x0000_s1026" o:spid="_x0000_s1026" o:spt="32" type="#_x0000_t32" style="position:absolute;left:3140075;top:1417320;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6UUUNUAAAAFAQAADwAAAAAAAAABACAAAAAiAAAAZHJz&#10;L2Rvd25yZXYueG1sUEsBAhQAFAAAAAgAh07iQII4DnAHAgAAugMAAA4AAAAAAAAAAQAgAAAAJAEA&#10;AGRycy9lMm9Eb2MueG1sUEsFBgAAAAAGAAYAWQEAAJ0FAAAAAA==&#10;">
                        <v:fill on="f" focussize="0,0"/>
                        <v:stroke color="#000000" joinstyle="round" endarrow="classic"/>
                        <v:imagedata o:title=""/>
                        <o:lock v:ext="edit" aspectratio="f"/>
                      </v:shape>
                      <v:shape id="_x0000_s1026" o:spid="_x0000_s1026" o:spt="202" type="#_x0000_t202" style="position:absolute;left:4363720;top:1276350;height:323215;width:498475;" filled="f" stroked="t" coordsize="21600,21600" o:gfxdata="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M8Gd51AAAAAUBAAAPAAAAAAAAAAEAIAAAACIAAABkcnMvZG93bnJldi54bWxQSwEC&#10;FAAUAAAACACHTuJANwdL3jECAAArBAAADgAAAAAAAAABACAAAAAjAQAAZHJzL2Uyb0RvYy54bWxQ&#10;SwUGAAAAAAYABgBZAQAAxgUAAAAA&#10;">
                        <v:fill on="f" focussize="0,0"/>
                        <v:stroke color="#000000" miterlimit="8" joinstyle="miter"/>
                        <v:imagedata o:title=""/>
                        <o:lock v:ext="edit" aspectratio="f"/>
                        <v:textbox>
                          <w:txbxContent>
                            <w:p>
                              <w:pPr>
                                <w:spacing w:line="240" w:lineRule="auto"/>
                                <w:ind w:firstLine="0" w:firstLineChars="0"/>
                                <w:rPr>
                                  <w:b/>
                                  <w:sz w:val="21"/>
                                  <w:szCs w:val="21"/>
                                </w:rPr>
                              </w:pPr>
                              <w:r>
                                <w:rPr>
                                  <w:rFonts w:hint="eastAsia"/>
                                  <w:b/>
                                  <w:sz w:val="21"/>
                                  <w:szCs w:val="21"/>
                                </w:rPr>
                                <w:t>竣工</w:t>
                              </w:r>
                            </w:p>
                          </w:txbxContent>
                        </v:textbox>
                      </v:shape>
                      <v:shape id="_x0000_s1026" o:spid="_x0000_s1026" o:spt="32" type="#_x0000_t32" style="position:absolute;left:4140200;top:1450975;height:635;width:204470;" filled="f" stroked="t" coordsize="21600,21600" o:gfxdata="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&#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lFFDVAAAABQEAAA8AAAAAAAAAAQAgAAAAIgAAAGRy&#10;cy9kb3ducmV2LnhtbFBLAQIUABQAAAAIAIdO4kAnbz8eCAIAALoDAAAOAAAAAAAAAAEAIAAAACQB&#10;AABkcnMvZTJvRG9jLnhtbFBLBQYAAAAABgAGAFkBAACeBQAAAAA=&#10;">
                        <v:fill on="f" focussize="0,0"/>
                        <v:stroke color="#000000" joinstyle="round" endarrow="classic"/>
                        <v:imagedata o:title=""/>
                        <o:lock v:ext="edit" aspectratio="f"/>
                      </v:shape>
                      <v:shape id="_x0000_s1026" o:spid="_x0000_s1026" o:spt="202" type="#_x0000_t202" style="position:absolute;left:2455545;top:347980;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mS8wrUAAAABQEAAA8AAAAAAAAAAQAgAAAAIgAA&#10;AGRycy9kb3ducmV2LnhtbFBLAQIUABQAAAAIAIdO4kBwqHG4DAIAAOEDAAAOAAAAAAAAAAEAIAAA&#10;ACMBAABkcnMvZTJvRG9jLnhtbFBLBQYAAAAABgAGAFkBAAChBQ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3354070;top:334645;height:66929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mS8wrUAAAABQEAAA8AAAAAAAAAAQAgAAAAIgAA&#10;AGRycy9kb3ducmV2LnhtbFBLAQIUABQAAAAIAIdO4kDUk0MeDAIAAOEDAAAOAAAAAAAAAAEAIAAA&#10;ACMBAABkcnMvZTJvRG9jLnhtbFBLBQYAAAAABgAGAFkBAAChBQ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v:shape id="_x0000_s1026" o:spid="_x0000_s1026" o:spt="202" type="#_x0000_t202" style="position:absolute;left:1397635;top:132715;height:882650;width:744855;" filled="f" stroked="f" coordsize="21600,21600" o:gfxdata="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ZLzCtQAAAAFAQAADwAAAAAAAAABACAAAAAiAAAA&#10;ZHJzL2Rvd25yZXYueG1sUEsBAhQAFAAAAAgAh07iQAUu368LAgAA4QMAAA4AAAAAAAAAAQAgAAAA&#10;IwEAAGRycy9lMm9Eb2MueG1sUEsFBgAAAAAGAAYAWQEAAKAFAAAAAA==&#10;">
                        <v:fill on="f" focussize="0,0"/>
                        <v:stroke on="f"/>
                        <v:imagedata o:title=""/>
                        <o:lock v:ext="edit" aspectratio="f"/>
                        <v:textbox>
                          <w:txbxContent>
                            <w:p>
                              <w:pPr>
                                <w:spacing w:line="240" w:lineRule="auto"/>
                                <w:ind w:firstLine="0" w:firstLineChars="0"/>
                                <w:jc w:val="center"/>
                                <w:rPr>
                                  <w:b/>
                                  <w:sz w:val="21"/>
                                  <w:szCs w:val="21"/>
                                </w:rPr>
                              </w:pPr>
                              <w:r>
                                <w:rPr>
                                  <w:rFonts w:hint="eastAsia"/>
                                  <w:b/>
                                  <w:sz w:val="21"/>
                                  <w:szCs w:val="21"/>
                                </w:rPr>
                                <w:t>扬尘、</w:t>
                              </w:r>
                            </w:p>
                            <w:p>
                              <w:pPr>
                                <w:spacing w:line="240" w:lineRule="auto"/>
                                <w:ind w:firstLine="0" w:firstLineChars="0"/>
                                <w:jc w:val="center"/>
                                <w:rPr>
                                  <w:b/>
                                  <w:sz w:val="21"/>
                                  <w:szCs w:val="21"/>
                                </w:rPr>
                              </w:pPr>
                              <w:r>
                                <w:rPr>
                                  <w:rFonts w:hint="eastAsia"/>
                                  <w:b/>
                                  <w:sz w:val="21"/>
                                  <w:szCs w:val="21"/>
                                </w:rPr>
                                <w:t>废气、</w:t>
                              </w:r>
                            </w:p>
                            <w:p>
                              <w:pPr>
                                <w:spacing w:line="240" w:lineRule="auto"/>
                                <w:ind w:firstLine="0" w:firstLineChars="0"/>
                                <w:jc w:val="center"/>
                                <w:rPr>
                                  <w:b/>
                                  <w:sz w:val="21"/>
                                  <w:szCs w:val="21"/>
                                </w:rPr>
                              </w:pPr>
                              <w:r>
                                <w:rPr>
                                  <w:rFonts w:hint="eastAsia"/>
                                  <w:b/>
                                  <w:sz w:val="21"/>
                                  <w:szCs w:val="21"/>
                                </w:rPr>
                                <w:t>噪声、</w:t>
                              </w:r>
                            </w:p>
                            <w:p>
                              <w:pPr>
                                <w:spacing w:line="240" w:lineRule="auto"/>
                                <w:ind w:firstLine="0" w:firstLineChars="0"/>
                                <w:jc w:val="center"/>
                                <w:rPr>
                                  <w:b/>
                                  <w:sz w:val="21"/>
                                  <w:szCs w:val="21"/>
                                </w:rPr>
                              </w:pPr>
                              <w:r>
                                <w:rPr>
                                  <w:rFonts w:hint="eastAsia"/>
                                  <w:b/>
                                  <w:sz w:val="21"/>
                                  <w:szCs w:val="21"/>
                                </w:rPr>
                                <w:t>固体废物</w:t>
                              </w:r>
                            </w:p>
                          </w:txbxContent>
                        </v:textbox>
                      </v:shape>
                      <w10:wrap type="none"/>
                      <w10:anchorlock/>
                    </v:group>
                  </w:pict>
                </mc:Fallback>
              </mc:AlternateContent>
            </w:r>
          </w:p>
          <w:p>
            <w:pPr>
              <w:pStyle w:val="10"/>
              <w:bidi w:val="0"/>
              <w:jc w:val="center"/>
            </w:pPr>
            <w:r>
              <w:t>图</w:t>
            </w:r>
            <w:r>
              <w:rPr>
                <w:rFonts w:hint="eastAsia"/>
              </w:rPr>
              <w:t>1</w:t>
            </w:r>
            <w:r>
              <w:t xml:space="preserve">  项目施工流程及</w:t>
            </w:r>
            <w:r>
              <w:rPr>
                <w:rFonts w:hint="eastAsia"/>
              </w:rPr>
              <w:t>产</w:t>
            </w:r>
            <w:r>
              <w:t>污</w:t>
            </w:r>
            <w:r>
              <w:rPr>
                <w:rFonts w:hint="eastAsia"/>
              </w:rPr>
              <w:t>环节</w:t>
            </w:r>
          </w:p>
          <w:p>
            <w:pPr>
              <w:adjustRightInd w:val="0"/>
              <w:snapToGrid w:val="0"/>
              <w:spacing w:line="360" w:lineRule="auto"/>
              <w:ind w:firstLine="0" w:firstLineChars="0"/>
              <w:rPr>
                <w:rFonts w:hint="eastAsia" w:ascii="Times New Roman" w:hAnsi="Times New Roman" w:eastAsia="宋体" w:cs="Times New Roman"/>
                <w:b/>
                <w:sz w:val="24"/>
                <w:szCs w:val="24"/>
                <w:lang w:eastAsia="zh-CN"/>
              </w:rPr>
            </w:pPr>
            <w:r>
              <w:rPr>
                <w:rFonts w:hint="eastAsia" w:cs="Times New Roman"/>
                <w:b/>
                <w:sz w:val="24"/>
                <w:szCs w:val="24"/>
                <w:lang w:eastAsia="zh-CN"/>
              </w:rPr>
              <w:t>项目运营流程</w:t>
            </w:r>
          </w:p>
          <w:p>
            <w:pPr>
              <w:keepNext w:val="0"/>
              <w:keepLines w:val="0"/>
              <w:suppressLineNumbers w:val="0"/>
              <w:adjustRightInd w:val="0"/>
              <w:snapToGrid w:val="0"/>
              <w:spacing w:before="0" w:beforeAutospacing="0" w:after="0" w:afterAutospacing="0" w:line="360" w:lineRule="auto"/>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Cs w:val="20"/>
              </w:rPr>
              <mc:AlternateContent>
                <mc:Choice Requires="wpc">
                  <w:drawing>
                    <wp:inline distT="0" distB="0" distL="114300" distR="114300">
                      <wp:extent cx="5257800" cy="1983740"/>
                      <wp:effectExtent l="0" t="0" r="0" b="0"/>
                      <wp:docPr id="88" name="画布 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文本框 31"/>
                              <wps:cNvSpPr txBox="1"/>
                              <wps:spPr>
                                <a:xfrm>
                                  <a:off x="114649" y="1188348"/>
                                  <a:ext cx="57105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wps:txbx>
                              <wps:bodyPr upright="1"/>
                            </wps:wsp>
                            <wps:wsp>
                              <wps:cNvPr id="2" name="文本框 32"/>
                              <wps:cNvSpPr txBox="1"/>
                              <wps:spPr>
                                <a:xfrm>
                                  <a:off x="1028922" y="1188348"/>
                                  <a:ext cx="571056" cy="29963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wps:txbx>
                              <wps:bodyPr upright="1"/>
                            </wps:wsp>
                            <wps:wsp>
                              <wps:cNvPr id="3" name="文本框 33"/>
                              <wps:cNvSpPr txBox="1"/>
                              <wps:spPr>
                                <a:xfrm>
                                  <a:off x="2057114" y="1188348"/>
                                  <a:ext cx="571056" cy="30109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wps:txbx>
                              <wps:bodyPr upright="1"/>
                            </wps:wsp>
                            <wps:wsp>
                              <wps:cNvPr id="4" name="文本框 34"/>
                              <wps:cNvSpPr txBox="1"/>
                              <wps:spPr>
                                <a:xfrm>
                                  <a:off x="3314605" y="1188348"/>
                                  <a:ext cx="571786" cy="29891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wps:txbx>
                              <wps:bodyPr upright="1"/>
                            </wps:wsp>
                            <wps:wsp>
                              <wps:cNvPr id="5" name="文本框 35"/>
                              <wps:cNvSpPr txBox="1"/>
                              <wps:spPr>
                                <a:xfrm>
                                  <a:off x="4343527" y="1188348"/>
                                  <a:ext cx="57178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wps:txbx>
                              <wps:bodyPr upright="1"/>
                            </wps:wsp>
                            <wps:wsp>
                              <wps:cNvPr id="6" name="任意多边形 36"/>
                              <wps:cNvSpPr/>
                              <wps:spPr>
                                <a:xfrm>
                                  <a:off x="685705" y="1340720"/>
                                  <a:ext cx="333724" cy="729"/>
                                </a:xfrm>
                                <a:custGeom>
                                  <a:avLst/>
                                  <a:gdLst/>
                                  <a:ahLst/>
                                  <a:cxnLst/>
                                  <a:pathLst>
                                    <a:path w="525" h="1">
                                      <a:moveTo>
                                        <a:pt x="0" y="1"/>
                                      </a:moveTo>
                                      <a:lnTo>
                                        <a:pt x="525" y="0"/>
                                      </a:lnTo>
                                    </a:path>
                                  </a:pathLst>
                                </a:custGeom>
                                <a:noFill/>
                                <a:ln w="9525" cap="flat" cmpd="sng">
                                  <a:solidFill>
                                    <a:srgbClr val="000000"/>
                                  </a:solidFill>
                                  <a:prstDash val="solid"/>
                                  <a:headEnd type="none" w="med" len="med"/>
                                  <a:tailEnd type="triangle" w="med" len="med"/>
                                </a:ln>
                              </wps:spPr>
                              <wps:bodyPr upright="1"/>
                            </wps:wsp>
                            <wps:wsp>
                              <wps:cNvPr id="7" name="任意多边形 37"/>
                              <wps:cNvSpPr/>
                              <wps:spPr>
                                <a:xfrm>
                                  <a:off x="1609471" y="1350926"/>
                                  <a:ext cx="457137" cy="729"/>
                                </a:xfrm>
                                <a:custGeom>
                                  <a:avLst/>
                                  <a:gdLst/>
                                  <a:ahLst/>
                                  <a:cxnLst/>
                                  <a:pathLst>
                                    <a:path w="720" h="1">
                                      <a:moveTo>
                                        <a:pt x="0" y="1"/>
                                      </a:moveTo>
                                      <a:lnTo>
                                        <a:pt x="720" y="0"/>
                                      </a:lnTo>
                                    </a:path>
                                  </a:pathLst>
                                </a:custGeom>
                                <a:noFill/>
                                <a:ln w="9525" cap="flat" cmpd="sng">
                                  <a:solidFill>
                                    <a:srgbClr val="000000"/>
                                  </a:solidFill>
                                  <a:prstDash val="solid"/>
                                  <a:headEnd type="none" w="med" len="med"/>
                                  <a:tailEnd type="triangle" w="med" len="med"/>
                                </a:ln>
                              </wps:spPr>
                              <wps:bodyPr upright="1"/>
                            </wps:wsp>
                            <wps:wsp>
                              <wps:cNvPr id="8" name="任意多边形 38"/>
                              <wps:cNvSpPr/>
                              <wps:spPr>
                                <a:xfrm>
                                  <a:off x="2628900" y="1331242"/>
                                  <a:ext cx="666718" cy="729"/>
                                </a:xfrm>
                                <a:custGeom>
                                  <a:avLst/>
                                  <a:gdLst/>
                                  <a:ahLst/>
                                  <a:cxnLst/>
                                  <a:pathLst>
                                    <a:path w="1050" h="1">
                                      <a:moveTo>
                                        <a:pt x="0" y="0"/>
                                      </a:moveTo>
                                      <a:lnTo>
                                        <a:pt x="1050" y="0"/>
                                      </a:lnTo>
                                    </a:path>
                                  </a:pathLst>
                                </a:custGeom>
                                <a:noFill/>
                                <a:ln w="9525" cap="flat" cmpd="sng">
                                  <a:solidFill>
                                    <a:srgbClr val="000000"/>
                                  </a:solidFill>
                                  <a:prstDash val="solid"/>
                                  <a:headEnd type="none" w="med" len="med"/>
                                  <a:tailEnd type="triangle" w="med" len="med"/>
                                </a:ln>
                              </wps:spPr>
                              <wps:bodyPr upright="1"/>
                            </wps:wsp>
                            <wps:wsp>
                              <wps:cNvPr id="9" name="任意多边形 39"/>
                              <wps:cNvSpPr/>
                              <wps:spPr>
                                <a:xfrm>
                                  <a:off x="3895884" y="1331242"/>
                                  <a:ext cx="438150" cy="729"/>
                                </a:xfrm>
                                <a:custGeom>
                                  <a:avLst/>
                                  <a:gdLst/>
                                  <a:ahLst/>
                                  <a:cxnLst/>
                                  <a:pathLst>
                                    <a:path w="690" h="1">
                                      <a:moveTo>
                                        <a:pt x="0" y="0"/>
                                      </a:moveTo>
                                      <a:lnTo>
                                        <a:pt x="690" y="0"/>
                                      </a:lnTo>
                                    </a:path>
                                  </a:pathLst>
                                </a:custGeom>
                                <a:noFill/>
                                <a:ln w="9525" cap="flat" cmpd="sng">
                                  <a:solidFill>
                                    <a:srgbClr val="000000"/>
                                  </a:solidFill>
                                  <a:prstDash val="solid"/>
                                  <a:headEnd type="none" w="med" len="med"/>
                                  <a:tailEnd type="triangle" w="med" len="med"/>
                                </a:ln>
                              </wps:spPr>
                              <wps:bodyPr upright="1"/>
                            </wps:wsp>
                            <wps:wsp>
                              <wps:cNvPr id="10" name="文本框 40"/>
                              <wps:cNvSpPr txBox="1"/>
                              <wps:spPr>
                                <a:xfrm>
                                  <a:off x="2628900" y="395873"/>
                                  <a:ext cx="571056"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11" name="任意多边形 41"/>
                              <wps:cNvSpPr/>
                              <wps:spPr>
                                <a:xfrm>
                                  <a:off x="2276189" y="608026"/>
                                  <a:ext cx="333724" cy="551889"/>
                                </a:xfrm>
                                <a:custGeom>
                                  <a:avLst/>
                                  <a:gdLst/>
                                  <a:ahLst/>
                                  <a:cxnLst/>
                                  <a:pathLst>
                                    <a:path w="525" h="869">
                                      <a:moveTo>
                                        <a:pt x="525" y="0"/>
                                      </a:moveTo>
                                      <a:lnTo>
                                        <a:pt x="0" y="869"/>
                                      </a:lnTo>
                                    </a:path>
                                  </a:pathLst>
                                </a:custGeom>
                                <a:noFill/>
                                <a:ln w="9525" cap="flat" cmpd="sng">
                                  <a:solidFill>
                                    <a:srgbClr val="000000"/>
                                  </a:solidFill>
                                  <a:prstDash val="solid"/>
                                  <a:headEnd type="none" w="med" len="med"/>
                                  <a:tailEnd type="triangle" w="med" len="med"/>
                                </a:ln>
                              </wps:spPr>
                              <wps:bodyPr upright="1"/>
                            </wps:wsp>
                            <wps:wsp>
                              <wps:cNvPr id="12" name="任意多边形 42"/>
                              <wps:cNvSpPr/>
                              <wps:spPr>
                                <a:xfrm>
                                  <a:off x="3210179" y="645937"/>
                                  <a:ext cx="428657" cy="542412"/>
                                </a:xfrm>
                                <a:custGeom>
                                  <a:avLst/>
                                  <a:gdLst/>
                                  <a:ahLst/>
                                  <a:cxnLst/>
                                  <a:pathLst>
                                    <a:path w="675" h="854">
                                      <a:moveTo>
                                        <a:pt x="675" y="854"/>
                                      </a:moveTo>
                                      <a:lnTo>
                                        <a:pt x="0" y="0"/>
                                      </a:lnTo>
                                    </a:path>
                                  </a:pathLst>
                                </a:custGeom>
                                <a:noFill/>
                                <a:ln w="9525" cap="flat" cmpd="sng">
                                  <a:solidFill>
                                    <a:srgbClr val="000000"/>
                                  </a:solidFill>
                                  <a:prstDash val="solid"/>
                                  <a:headEnd type="none" w="med" len="med"/>
                                  <a:tailEnd type="triangle" w="med" len="med"/>
                                </a:ln>
                              </wps:spPr>
                              <wps:bodyPr upright="1"/>
                            </wps:wsp>
                            <wps:wsp>
                              <wps:cNvPr id="13" name="文本框 43"/>
                              <wps:cNvSpPr txBox="1"/>
                              <wps:spPr>
                                <a:xfrm>
                                  <a:off x="3429254" y="594174"/>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4" name="文本框 44"/>
                              <wps:cNvSpPr txBox="1"/>
                              <wps:spPr>
                                <a:xfrm>
                                  <a:off x="2057114" y="495024"/>
                                  <a:ext cx="57251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wps:txbx>
                              <wps:bodyPr upright="1"/>
                            </wps:wsp>
                            <wps:wsp>
                              <wps:cNvPr id="15" name="文本框 62"/>
                              <wps:cNvSpPr txBox="1"/>
                              <wps:spPr>
                                <a:xfrm>
                                  <a:off x="3862292" y="1684101"/>
                                  <a:ext cx="571056"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wps:txbx>
                              <wps:bodyPr upright="1"/>
                            </wps:wsp>
                            <wps:wsp>
                              <wps:cNvPr id="16" name="文本框 72"/>
                              <wps:cNvSpPr txBox="1"/>
                              <wps:spPr>
                                <a:xfrm>
                                  <a:off x="3429254" y="1684101"/>
                                  <a:ext cx="457137" cy="298910"/>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wps:txbx>
                              <wps:bodyPr upright="1"/>
                            </wps:wsp>
                            <wps:wsp>
                              <wps:cNvPr id="17" name="文本框 73"/>
                              <wps:cNvSpPr txBox="1"/>
                              <wps:spPr>
                                <a:xfrm>
                                  <a:off x="2857468" y="1684101"/>
                                  <a:ext cx="455676" cy="299639"/>
                                </a:xfrm>
                                <a:prstGeom prst="rect">
                                  <a:avLst/>
                                </a:prstGeom>
                                <a:noFill/>
                                <a:ln>
                                  <a:noFill/>
                                </a:ln>
                              </wps:spPr>
                              <wps:txb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wps:txbx>
                              <wps:bodyPr upright="1"/>
                            </wps:wsp>
                            <wps:wsp>
                              <wps:cNvPr id="18" name="流程图: 摘录 76"/>
                              <wps:cNvSpPr/>
                              <wps:spPr>
                                <a:xfrm>
                                  <a:off x="2857468" y="1783252"/>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19" name="流程图: 摘录 77"/>
                              <wps:cNvSpPr/>
                              <wps:spPr>
                                <a:xfrm>
                                  <a:off x="3314605"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0" name="流程图: 摘录 78"/>
                              <wps:cNvSpPr/>
                              <wps:spPr>
                                <a:xfrm>
                                  <a:off x="2057114" y="990776"/>
                                  <a:ext cx="115380"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1" name="流程图: 联系 79"/>
                              <wps:cNvSpPr/>
                              <wps:spPr>
                                <a:xfrm>
                                  <a:off x="3429254" y="1783252"/>
                                  <a:ext cx="114649"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2" name="流程图: 联系 80"/>
                              <wps:cNvSpPr/>
                              <wps:spPr>
                                <a:xfrm>
                                  <a:off x="3657822" y="990776"/>
                                  <a:ext cx="115380" cy="99151"/>
                                </a:xfrm>
                                <a:prstGeom prst="flowChartConnector">
                                  <a:avLst/>
                                </a:prstGeom>
                                <a:solidFill>
                                  <a:srgbClr val="000000"/>
                                </a:solidFill>
                                <a:ln w="9525" cap="flat" cmpd="sng">
                                  <a:solidFill>
                                    <a:srgbClr val="000000"/>
                                  </a:solidFill>
                                  <a:prstDash val="solid"/>
                                  <a:headEnd type="none" w="med" len="med"/>
                                  <a:tailEnd type="none" w="med" len="med"/>
                                </a:ln>
                              </wps:spPr>
                              <wps:bodyPr upright="1"/>
                            </wps:wsp>
                            <wps:wsp>
                              <wps:cNvPr id="23" name="流程图: 过程 81"/>
                              <wps:cNvSpPr/>
                              <wps:spPr>
                                <a:xfrm>
                                  <a:off x="3897344" y="1783252"/>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4" name="流程图: 过程 82"/>
                              <wps:cNvSpPr/>
                              <wps:spPr>
                                <a:xfrm>
                                  <a:off x="2628900" y="990776"/>
                                  <a:ext cx="113919" cy="99151"/>
                                </a:xfrm>
                                <a:prstGeom prst="flowChartProcess">
                                  <a:avLst/>
                                </a:prstGeom>
                                <a:solidFill>
                                  <a:srgbClr val="000000"/>
                                </a:solidFill>
                                <a:ln w="9525" cap="flat" cmpd="sng">
                                  <a:solidFill>
                                    <a:srgbClr val="000000"/>
                                  </a:solidFill>
                                  <a:prstDash val="solid"/>
                                  <a:miter/>
                                  <a:headEnd type="none" w="med" len="med"/>
                                  <a:tailEnd type="none" w="med" len="med"/>
                                </a:ln>
                              </wps:spPr>
                              <wps:bodyPr upright="1"/>
                            </wps:wsp>
                            <wps:wsp>
                              <wps:cNvPr id="25" name="文本框 83"/>
                              <wps:cNvSpPr txBox="1"/>
                              <wps:spPr>
                                <a:xfrm>
                                  <a:off x="566674" y="297452"/>
                                  <a:ext cx="570325" cy="50085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wps:txbx>
                              <wps:bodyPr upright="1"/>
                            </wps:wsp>
                            <wps:wsp>
                              <wps:cNvPr id="26" name="任意多边形 84"/>
                              <wps:cNvSpPr/>
                              <wps:spPr>
                                <a:xfrm>
                                  <a:off x="1132618" y="594174"/>
                                  <a:ext cx="218345" cy="572303"/>
                                </a:xfrm>
                                <a:custGeom>
                                  <a:avLst/>
                                  <a:gdLst/>
                                  <a:ahLst/>
                                  <a:cxnLst/>
                                  <a:pathLst>
                                    <a:path w="343" h="901">
                                      <a:moveTo>
                                        <a:pt x="343" y="901"/>
                                      </a:moveTo>
                                      <a:lnTo>
                                        <a:pt x="0" y="0"/>
                                      </a:lnTo>
                                    </a:path>
                                  </a:pathLst>
                                </a:custGeom>
                                <a:noFill/>
                                <a:ln w="9525" cap="flat" cmpd="sng">
                                  <a:solidFill>
                                    <a:srgbClr val="000000"/>
                                  </a:solidFill>
                                  <a:prstDash val="solid"/>
                                  <a:headEnd type="none" w="med" len="med"/>
                                  <a:tailEnd type="triangle" w="med" len="med"/>
                                </a:ln>
                              </wps:spPr>
                              <wps:bodyPr upright="1"/>
                            </wps:wsp>
                            <wps:wsp>
                              <wps:cNvPr id="27" name="任意多边形 85"/>
                              <wps:cNvSpPr/>
                              <wps:spPr>
                                <a:xfrm>
                                  <a:off x="376079" y="597090"/>
                                  <a:ext cx="181102" cy="577406"/>
                                </a:xfrm>
                                <a:custGeom>
                                  <a:avLst/>
                                  <a:gdLst/>
                                  <a:ahLst/>
                                  <a:cxnLst/>
                                  <a:pathLst>
                                    <a:path w="285" h="910">
                                      <a:moveTo>
                                        <a:pt x="285" y="0"/>
                                      </a:moveTo>
                                      <a:lnTo>
                                        <a:pt x="0" y="910"/>
                                      </a:lnTo>
                                    </a:path>
                                  </a:pathLst>
                                </a:custGeom>
                                <a:noFill/>
                                <a:ln w="9525" cap="flat" cmpd="sng">
                                  <a:solidFill>
                                    <a:srgbClr val="000000"/>
                                  </a:solidFill>
                                  <a:prstDash val="solid"/>
                                  <a:headEnd type="none" w="med" len="med"/>
                                  <a:tailEnd type="triangle" w="med" len="med"/>
                                </a:ln>
                              </wps:spPr>
                              <wps:bodyPr upright="1"/>
                            </wps:wsp>
                            <wps:wsp>
                              <wps:cNvPr id="28" name="流程图: 摘录 86"/>
                              <wps:cNvSpPr/>
                              <wps:spPr>
                                <a:xfrm>
                                  <a:off x="1415955" y="990776"/>
                                  <a:ext cx="11464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s:wsp>
                              <wps:cNvPr id="29" name="流程图: 摘录 87"/>
                              <wps:cNvSpPr/>
                              <wps:spPr>
                                <a:xfrm>
                                  <a:off x="566674" y="990776"/>
                                  <a:ext cx="113919" cy="99151"/>
                                </a:xfrm>
                                <a:prstGeom prst="flowChartExtract">
                                  <a:avLst/>
                                </a:prstGeom>
                                <a:solidFill>
                                  <a:srgbClr val="000000"/>
                                </a:solidFill>
                                <a:ln w="9525" cap="flat" cmpd="sng">
                                  <a:solidFill>
                                    <a:srgbClr val="000000"/>
                                  </a:solidFill>
                                  <a:prstDash val="solid"/>
                                  <a:miter/>
                                  <a:headEnd type="none" w="med" len="med"/>
                                  <a:tailEnd type="none" w="med" len="med"/>
                                </a:ln>
                              </wps:spPr>
                              <wps:bodyPr upright="1"/>
                            </wps:wsp>
                          </wpc:wpc>
                        </a:graphicData>
                      </a:graphic>
                    </wp:inline>
                  </w:drawing>
                </mc:Choice>
                <mc:Fallback>
                  <w:pict>
                    <v:group id="_x0000_s1026" o:spid="_x0000_s1026" o:spt="203" style="height:156.2pt;width:414pt;" coordsize="5257800,1983740" editas="canvas"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">
                      <o:lock v:ext="edit" aspectratio="f"/>
                      <v:shape id="_x0000_s1026" o:spid="_x0000_s1026" style="position:absolute;left:0;top:0;height:1983740;width:5257800;" filled="f" stroked="f" coordsize="21600,21600" o:gfxdata="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">
                        <v:fill on="f" focussize="0,0"/>
                        <v:stroke on="f"/>
                        <v:imagedata o:title=""/>
                        <o:lock v:ext="edit" aspectratio="t"/>
                      </v:shape>
                      <v:shape id="文本框 31" o:spid="_x0000_s1026" o:spt="202" type="#_x0000_t202" style="position:absolute;left:114649;top:1188348;height:298910;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IJtBC1QAAAAUBAAAPAAAAAAAAAAEAIAAAACIAAABkcnMvZG93bnJldi54&#10;bWxQSwECFAAUAAAACACHTuJAzMYqCf0BAADzAwAADgAAAAAAAAABACAAAAAkAQAAZHJzL2Uyb0Rv&#10;Yy54bWxQSwUGAAAAAAYABgBZAQAAkw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油罐车</w:t>
                              </w:r>
                            </w:p>
                          </w:txbxContent>
                        </v:textbox>
                      </v:shape>
                      <v:shape id="文本框 32" o:spid="_x0000_s1026" o:spt="202" type="#_x0000_t202" style="position:absolute;left:1028922;top:1188348;height:299639;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IJtBC1QAAAAUBAAAPAAAAAAAAAAEAIAAAACIAAABkcnMvZG93bnJldi54bWxQ&#10;SwECFAAUAAAACACHTuJAbs34HfoBAAD0AwAADgAAAAAAAAABACAAAAAkAQAAZHJzL2Uyb0RvYy54&#10;bWxQSwUGAAAAAAYABgBZAQAAkA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卸油</w:t>
                              </w:r>
                            </w:p>
                          </w:txbxContent>
                        </v:textbox>
                      </v:shape>
                      <v:shape id="文本框 33" o:spid="_x0000_s1026" o:spt="202" type="#_x0000_t202" style="position:absolute;left:2057114;top:1188348;height:301097;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CbQQtUAAAAFAQAADwAAAAAAAAABACAAAAAiAAAAZHJzL2Rvd25yZXYueG1s&#10;UEsBAhQAFAAAAAgAh07iQDheru37AQAA9AMAAA4AAAAAAAAAAQAgAAAAJAEAAGRycy9lMm9Eb2Mu&#10;eG1sUEsFBgAAAAAGAAYAWQEAAJE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储油罐</w:t>
                              </w:r>
                            </w:p>
                          </w:txbxContent>
                        </v:textbox>
                      </v:shape>
                      <v:shape id="文本框 34" o:spid="_x0000_s1026" o:spt="202" type="#_x0000_t202" style="position:absolute;left:3314605;top:1188348;height:298910;width:57178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CbQQtUAAAAFAQAADwAAAAAAAAABACAAAAAiAAAAZHJzL2Rvd25yZXYu&#10;eG1sUEsBAhQAFAAAAAgAh07iQFkqiU/+AQAA9AMAAA4AAAAAAAAAAQAgAAAAJAEAAGRycy9lMm9E&#10;b2MueG1sUEsFBgAAAAAGAAYAWQEAAJQFA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加油机</w:t>
                              </w:r>
                            </w:p>
                          </w:txbxContent>
                        </v:textbox>
                      </v:shape>
                      <v:shape id="文本框 35" o:spid="_x0000_s1026" o:spt="202" type="#_x0000_t202" style="position:absolute;left:4343527;top:1188348;height:298910;width:57178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iLO3HZ8BAAAM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车辆</w:t>
                              </w:r>
                            </w:p>
                          </w:txbxContent>
                        </v:textbox>
                      </v:shape>
                      <v:shape id="任意多边形 36" o:spid="_x0000_s1026" o:spt="100" style="position:absolute;left:685705;top:1340720;height:729;width:333724;" filled="f" stroked="t" coordsize="525,1" o:gfxdata="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4V8fZdMAAAAFAQAADwAAAAAAAAABACAAAAAiAAAAZHJzL2Rvd25yZXYueG1sUEsBAhQAFAAAAAgA&#10;h07iQC8npNIqAgAASQQAAA4AAAAAAAAAAQAgAAAAIgEAAGRycy9lMm9Eb2MueG1sUEsFBgAAAAAG&#10;AAYAWQEAAL4FAAAAAA==&#10;" path="m0,1l525,0e">
                        <v:fill on="f" focussize="0,0"/>
                        <v:stroke color="#000000" joinstyle="round" endarrow="block"/>
                        <v:imagedata o:title=""/>
                        <o:lock v:ext="edit" aspectratio="f"/>
                      </v:shape>
                      <v:shape id="任意多边形 37" o:spid="_x0000_s1026" o:spt="100" style="position:absolute;left:1609471;top:1350926;height:729;width:457137;" filled="f" stroked="t" coordsize="720,1" o:gfxdata="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mKbx4NUAAAAFAQAADwAAAAAAAAABACAAAAAiAAAAZHJzL2Rvd25yZXYueG1sUEsBAhQAFAAAAAgA&#10;h07iQPs4XdsoAgAASgQAAA4AAAAAAAAAAQAgAAAAJAEAAGRycy9lMm9Eb2MueG1sUEsFBgAAAAAG&#10;AAYAWQEAAL4FAAAAAA==&#10;" path="m0,1l720,0e">
                        <v:fill on="f" focussize="0,0"/>
                        <v:stroke color="#000000" joinstyle="round" endarrow="block"/>
                        <v:imagedata o:title=""/>
                        <o:lock v:ext="edit" aspectratio="f"/>
                      </v:shape>
                      <v:shape id="任意多边形 38" o:spid="_x0000_s1026" o:spt="100" style="position:absolute;left:2628900;top:1331242;height:729;width:666718;" filled="f" stroked="t" coordsize="1050,1" o:gfxdata="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NxnrkNYAAAAFAQAADwAAAAAAAAABACAAAAAiAAAAZHJzL2Rvd25yZXYueG1sUEsBAhQA&#10;FAAAAAgAh07iQBX4IzstAgAATAQAAA4AAAAAAAAAAQAgAAAAJQEAAGRycy9lMm9Eb2MueG1sUEsF&#10;BgAAAAAGAAYAWQEAAMQFAAAAAA==&#10;" path="m0,0l1050,0e">
                        <v:fill on="f" focussize="0,0"/>
                        <v:stroke color="#000000" joinstyle="round" endarrow="block"/>
                        <v:imagedata o:title=""/>
                        <o:lock v:ext="edit" aspectratio="f"/>
                      </v:shape>
                      <v:shape id="任意多边形 39" o:spid="_x0000_s1026" o:spt="100" style="position:absolute;left:3895884;top:1331242;height:729;width:438150;" filled="f" stroked="t" coordsize="690,1" o:gfxdata="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OXZkn3UAAAABQEAAA8AAAAAAAAAAQAgAAAAIgAAAGRycy9kb3ducmV2LnhtbFBLAQIUABQA&#10;AAAIAIdO4kCQUE5ALQIAAEoEAAAOAAAAAAAAAAEAIAAAACMBAABkcnMvZTJvRG9jLnhtbFBLBQYA&#10;AAAABgAGAFkBAADCBQAAAAA=&#10;" path="m0,0l690,0e">
                        <v:fill on="f" focussize="0,0"/>
                        <v:stroke color="#000000" joinstyle="round" endarrow="block"/>
                        <v:imagedata o:title=""/>
                        <o:lock v:ext="edit" aspectratio="f"/>
                      </v:shape>
                      <v:shape id="文本框 40" o:spid="_x0000_s1026" o:spt="202" type="#_x0000_t202" style="position:absolute;left:2628900;top:395873;height:500856;width:571056;"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IJtBC1QAAAAUBAAAPAAAAAAAAAAEAIAAAACIAAABkcnMvZG93bnJldi54bWxQ&#10;SwECFAAUAAAACACHTuJAuL8vFvoBAAD0AwAADgAAAAAAAAABACAAAAAkAQAAZHJzL2Uyb0RvYy54&#10;bWxQSwUGAAAAAAYABgBZAQAAkA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41" o:spid="_x0000_s1026" o:spt="100" style="position:absolute;left:2276189;top:608026;height:551889;width:333724;" filled="f" stroked="t" coordsize="525,869" o:gfxdata="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hef8tUAAAAFAQAADwAAAAAAAAABACAAAAAiAAAAZHJzL2Rvd25yZXYueG1s&#10;UEsBAhQAFAAAAAgAh07iQCQ7k480AgAAUQQAAA4AAAAAAAAAAQAgAAAAJAEAAGRycy9lMm9Eb2Mu&#10;eG1sUEsFBgAAAAAGAAYAWQEAAMoFAAAAAA==&#10;" path="m525,0l0,869e">
                        <v:fill on="f" focussize="0,0"/>
                        <v:stroke color="#000000" joinstyle="round" endarrow="block"/>
                        <v:imagedata o:title=""/>
                        <o:lock v:ext="edit" aspectratio="f"/>
                      </v:shape>
                      <v:shape id="任意多边形 42" o:spid="_x0000_s1026" o:spt="100" style="position:absolute;left:3210179;top:645937;height:542412;width:428657;" filled="f" stroked="t" coordsize="675,854" o:gfxdata="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DWkv/WAAAABQEAAA8AAAAAAAAAAQAgAAAAIgAAAGRycy9kb3ducmV2LnhtbFBL&#10;AQIUABQAAAAIAIdO4kBjcPQVMQIAAFEEAAAOAAAAAAAAAAEAIAAAACUBAABkcnMvZTJvRG9jLnht&#10;bFBLBQYAAAAABgAGAFkBAADIBQAAAAA=&#10;" path="m675,854l0,0e">
                        <v:fill on="f" focussize="0,0"/>
                        <v:stroke color="#000000" joinstyle="round" endarrow="block"/>
                        <v:imagedata o:title=""/>
                        <o:lock v:ext="edit" aspectratio="f"/>
                      </v:shape>
                      <v:shape id="文本框 43" o:spid="_x0000_s1026" o:spt="202" type="#_x0000_t202" style="position:absolute;left:3429254;top:594174;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Ir1kbZ8BAAAM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44" o:spid="_x0000_s1026" o:spt="202" type="#_x0000_t202" style="position:absolute;left:2057114;top:495024;height:299639;width:57251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PsVjP/TAAAABQEAAA8AAAAAAAAAAQAgAAAA&#10;IgAAAGRycy9kb3ducmV2LnhtbFBLAQIUABQAAAAIAIdO4kCFiafkngEAAAwDAAAOAAAAAAAAAAEA&#10;IAAAACIBAABkcnMvZTJvRG9jLnhtbFBLBQYAAAAABgAGAFkBAAAyBQ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w:t>
                              </w:r>
                            </w:p>
                          </w:txbxContent>
                        </v:textbox>
                      </v:shape>
                      <v:shape id="文本框 62" o:spid="_x0000_s1026" o:spt="202" type="#_x0000_t202" style="position:absolute;left:3862292;top:1684101;height:298910;width:57105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YmDB058BAAAN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固废</w:t>
                              </w:r>
                            </w:p>
                          </w:txbxContent>
                        </v:textbox>
                      </v:shape>
                      <v:shape id="文本框 72" o:spid="_x0000_s1026" o:spt="202" type="#_x0000_t202" style="position:absolute;left:3429254;top:1684101;height:298910;width:457137;"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aOf3C58BAAAN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噪声</w:t>
                              </w:r>
                            </w:p>
                          </w:txbxContent>
                        </v:textbox>
                      </v:shape>
                      <v:shape id="文本框 73" o:spid="_x0000_s1026" o:spt="202" type="#_x0000_t202" style="position:absolute;left:2857468;top:1684101;height:299639;width:455676;" filled="f" stroked="f" coordsize="21600,21600" o:gfxdata="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7FYz/0wAAAAUBAAAPAAAAAAAAAAEAIAAA&#10;ACIAAABkcnMvZG93bnJldi54bWxQSwECFAAUAAAACACHTuJAICR0pJ8BAAANAwAADgAAAAAAAAAB&#10;ACAAAAAiAQAAZHJzL2Uyb0RvYy54bWxQSwUGAAAAAAYABgBZAQAAMwUAAAAA&#10;">
                        <v:fill on="f" focussize="0,0"/>
                        <v:stroke on="f"/>
                        <v:imagedata o:title=""/>
                        <o:lock v:ext="edit" aspectratio="f"/>
                        <v:textbox>
                          <w:txbxContent>
                            <w:p>
                              <w:pPr>
                                <w:spacing w:line="240" w:lineRule="auto"/>
                                <w:ind w:firstLine="0" w:firstLineChars="0"/>
                                <w:jc w:val="center"/>
                                <w:rPr>
                                  <w:rFonts w:asciiTheme="minorHAnsi" w:hAnsiTheme="minorHAnsi" w:eastAsiaTheme="minorEastAsia" w:cstheme="minorBidi"/>
                                  <w:sz w:val="15"/>
                                  <w:szCs w:val="15"/>
                                </w:rPr>
                              </w:pPr>
                              <w:r>
                                <w:rPr>
                                  <w:rFonts w:hint="eastAsia" w:asciiTheme="minorHAnsi" w:hAnsiTheme="minorHAnsi" w:eastAsiaTheme="minorEastAsia" w:cstheme="minorBidi"/>
                                  <w:sz w:val="15"/>
                                  <w:szCs w:val="15"/>
                                </w:rPr>
                                <w:t>废气</w:t>
                              </w:r>
                            </w:p>
                          </w:txbxContent>
                        </v:textbox>
                      </v:shape>
                      <v:shape id="流程图: 摘录 76" o:spid="_x0000_s1026" o:spt="127" type="#_x0000_t127" style="position:absolute;left:2857468;top:1783252;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QJXIctMAAAAFAQAADwAAAAAAAAABACAAAAAiAAAAZHJzL2Rvd25y&#10;ZXYueG1sUEsBAhQAFAAAAAgAh07iQAJfwQYDAgAA8wMAAA4AAAAAAAAAAQAgAAAAIgEAAGRycy9l&#10;Mm9Eb2MueG1sUEsFBgAAAAAGAAYAWQEAAJcFAAAAAA==&#10;">
                        <v:fill on="t" focussize="0,0"/>
                        <v:stroke color="#000000" joinstyle="miter"/>
                        <v:imagedata o:title=""/>
                        <o:lock v:ext="edit" aspectratio="f"/>
                      </v:shape>
                      <v:shape id="流程图: 摘录 77" o:spid="_x0000_s1026" o:spt="127" type="#_x0000_t127" style="position:absolute;left:3314605;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Alchy0wAAAAUBAAAPAAAAAAAAAAEAIAAAACIAAABkcnMvZG93bnJl&#10;di54bWxQSwECFAAUAAAACACHTuJAyrnGYwICAADyAwAADgAAAAAAAAABACAAAAAiAQAAZHJzL2Uy&#10;b0RvYy54bWxQSwUGAAAAAAYABgBZAQAAlgUAAAAA&#10;">
                        <v:fill on="t" focussize="0,0"/>
                        <v:stroke color="#000000" joinstyle="miter"/>
                        <v:imagedata o:title=""/>
                        <o:lock v:ext="edit" aspectratio="f"/>
                      </v:shape>
                      <v:shape id="流程图: 摘录 78" o:spid="_x0000_s1026" o:spt="127" type="#_x0000_t127" style="position:absolute;left:2057114;top:990776;height:99151;width:115380;"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QJXIctMAAAAFAQAADwAAAAAAAAABACAAAAAiAAAAZHJzL2Rvd25yZXYu&#10;eG1sUEsBAhQAFAAAAAgAh07iQODKd2QAAgAA8gMAAA4AAAAAAAAAAQAgAAAAIgEAAGRycy9lMm9E&#10;b2MueG1sUEsFBgAAAAAGAAYAWQEAAJQFAAAAAA==&#10;">
                        <v:fill on="t" focussize="0,0"/>
                        <v:stroke color="#000000" joinstyle="miter"/>
                        <v:imagedata o:title=""/>
                        <o:lock v:ext="edit" aspectratio="f"/>
                      </v:shape>
                      <v:shape id="流程图: 联系 79" o:spid="_x0000_s1026" o:spt="120" type="#_x0000_t120" style="position:absolute;left:3429254;top:1783252;height:99151;width:114649;"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tHePk1QAAAAUBAAAPAAAAAAAAAAEAIAAAACIAAABkcnMvZG93bnJl&#10;di54bWxQSwECFAAUAAAACACHTuJANLYBvwACAADrAwAADgAAAAAAAAABACAAAAAkAQAAZHJzL2Uy&#10;b0RvYy54bWxQSwUGAAAAAAYABgBZAQAAlgUAAAAA&#10;">
                        <v:fill on="t" focussize="0,0"/>
                        <v:stroke color="#000000" joinstyle="round"/>
                        <v:imagedata o:title=""/>
                        <o:lock v:ext="edit" aspectratio="f"/>
                      </v:shape>
                      <v:shape id="流程图: 联系 80" o:spid="_x0000_s1026" o:spt="120" type="#_x0000_t120" style="position:absolute;left:3657822;top:990776;height:99151;width:115380;" fillcolor="#000000" filled="t" stroked="t" coordsize="21600,21600" o:gfxdata="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0d4+TVAAAABQEAAA8AAAAAAAAAAQAgAAAAIgAAAGRycy9kb3ducmV2LnhtbFBL&#10;AQIUABQAAAAIAIdO4kDmAqlz+QEAAOoDAAAOAAAAAAAAAAEAIAAAACQBAABkcnMvZTJvRG9jLnht&#10;bFBLBQYAAAAABgAGAFkBAACPBQAAAAA=&#10;">
                        <v:fill on="t" focussize="0,0"/>
                        <v:stroke color="#000000" joinstyle="round"/>
                        <v:imagedata o:title=""/>
                        <o:lock v:ext="edit" aspectratio="f"/>
                      </v:shape>
                      <v:shape id="流程图: 过程 81" o:spid="_x0000_s1026" o:spt="109" type="#_x0000_t109" style="position:absolute;left:3897344;top:1783252;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fijt11AAAAAUBAAAPAAAAAAAAAAEAIAAAACIAAABkcnMvZG93bnJl&#10;di54bWxQSwECFAAUAAAACACHTuJAFS33LgECAADzAwAADgAAAAAAAAABACAAAAAjAQAAZHJzL2Uy&#10;b0RvYy54bWxQSwUGAAAAAAYABgBZAQAAlgUAAAAA&#10;">
                        <v:fill on="t" focussize="0,0"/>
                        <v:stroke color="#000000" joinstyle="miter"/>
                        <v:imagedata o:title=""/>
                        <o:lock v:ext="edit" aspectratio="f"/>
                      </v:shape>
                      <v:shape id="流程图: 过程 82" o:spid="_x0000_s1026" o:spt="109" type="#_x0000_t109" style="position:absolute;left:2628900;top:990776;height:99151;width:113919;" fillcolor="#000000" filled="t" stroked="t" coordsize="21600,21600" o:gfxdata="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fijt11AAAAAUBAAAPAAAAAAAAAAEAIAAAACIAAABkcnMvZG93bnJldi54bWxQ&#10;SwECFAAUAAAACACHTuJAq+wYyfsBAADyAwAADgAAAAAAAAABACAAAAAjAQAAZHJzL2Uyb0RvYy54&#10;bWxQSwUGAAAAAAYABgBZAQAAkAUAAAAA&#10;">
                        <v:fill on="t" focussize="0,0"/>
                        <v:stroke color="#000000" joinstyle="miter"/>
                        <v:imagedata o:title=""/>
                        <o:lock v:ext="edit" aspectratio="f"/>
                      </v:shape>
                      <v:shape id="文本框 83" o:spid="_x0000_s1026" o:spt="202" type="#_x0000_t202" style="position:absolute;left:566674;top:297452;height:500856;width:570325;" fillcolor="#FFFFFF" filled="t" stroked="t" coordsize="21600,21600" o:gfxdata="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IJtBC1QAAAAUBAAAPAAAAAAAAAAEAIAAAACIAAABkcnMvZG93bnJldi54bWxQ&#10;SwECFAAUAAAACACHTuJAR3diO/oBAADzAwAADgAAAAAAAAABACAAAAAkAQAAZHJzL2Uyb0RvYy54&#10;bWxQSwUGAAAAAAYABgBZAQAAkAUAAAAA&#10;">
                        <v:fill on="t" focussize="0,0"/>
                        <v:stroke color="#000000" joinstyle="miter"/>
                        <v:imagedata o:title=""/>
                        <o:lock v:ext="edit" aspectratio="f"/>
                        <v:textbox>
                          <w:txbxContent>
                            <w:p>
                              <w:pPr>
                                <w:spacing w:line="240" w:lineRule="auto"/>
                                <w:ind w:firstLine="0" w:firstLineChars="0"/>
                                <w:jc w:val="center"/>
                                <w:rPr>
                                  <w:rFonts w:asciiTheme="minorHAnsi" w:hAnsiTheme="minorHAnsi" w:eastAsiaTheme="minorEastAsia" w:cstheme="minorBidi"/>
                                  <w:sz w:val="18"/>
                                  <w:szCs w:val="18"/>
                                </w:rPr>
                              </w:pPr>
                              <w:r>
                                <w:rPr>
                                  <w:rFonts w:hint="eastAsia" w:asciiTheme="minorHAnsi" w:hAnsiTheme="minorHAnsi" w:eastAsiaTheme="minorEastAsia" w:cstheme="minorBidi"/>
                                  <w:sz w:val="18"/>
                                  <w:szCs w:val="18"/>
                                </w:rPr>
                                <w:t>油气回收系统</w:t>
                              </w:r>
                            </w:p>
                          </w:txbxContent>
                        </v:textbox>
                      </v:shape>
                      <v:shape id="任意多边形 84" o:spid="_x0000_s1026" o:spt="100" style="position:absolute;left:1132618;top:594174;height:572303;width:218345;" filled="f" stroked="t" coordsize="343,901" o:gfxdata="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ZFVQ29IAAAAFAQAADwAAAAAAAAABACAAAAAiAAAAZHJzL2Rvd25yZXYueG1sUEsBAhQA&#10;FAAAAAgAh07iQEOcBSkxAgAAUQQAAA4AAAAAAAAAAQAgAAAAIQEAAGRycy9lMm9Eb2MueG1sUEsF&#10;BgAAAAAGAAYAWQEAAMQFAAAAAA==&#10;" path="m343,901l0,0e">
                        <v:fill on="f" focussize="0,0"/>
                        <v:stroke color="#000000" joinstyle="round" endarrow="block"/>
                        <v:imagedata o:title=""/>
                        <o:lock v:ext="edit" aspectratio="f"/>
                      </v:shape>
                      <v:shape id="任意多边形 85" o:spid="_x0000_s1026" o:spt="100" style="position:absolute;left:376079;top:597090;height:577406;width:181102;" filled="f" stroked="t" coordsize="285,910" o:gfxdata="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ASl2K1QAAAAUBAAAPAAAAAAAAAAEAIAAAACIAAABkcnMvZG93bnJldi54bWxQSwEC&#10;FAAUAAAACACHTuJAW6648TACAABQBAAADgAAAAAAAAABACAAAAAkAQAAZHJzL2Uyb0RvYy54bWxQ&#10;SwUGAAAAAAYABgBZAQAAxgUAAAAA&#10;" path="m285,0l0,910e">
                        <v:fill on="f" focussize="0,0"/>
                        <v:stroke color="#000000" joinstyle="round" endarrow="block"/>
                        <v:imagedata o:title=""/>
                        <o:lock v:ext="edit" aspectratio="f"/>
                      </v:shape>
                      <v:shape id="流程图: 摘录 86" o:spid="_x0000_s1026" o:spt="127" type="#_x0000_t127" style="position:absolute;left:1415955;top:990776;height:99151;width:11464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CVyHLTAAAABQEAAA8AAAAAAAAAAQAgAAAAIgAAAGRycy9kb3ducmV2&#10;LnhtbFBLAQIUABQAAAAIAIdO4kAjNA6AAQIAAPIDAAAOAAAAAAAAAAEAIAAAACIBAABkcnMvZTJv&#10;RG9jLnhtbFBLBQYAAAAABgAGAFkBAACVBQAAAAA=&#10;">
                        <v:fill on="t" focussize="0,0"/>
                        <v:stroke color="#000000" joinstyle="miter"/>
                        <v:imagedata o:title=""/>
                        <o:lock v:ext="edit" aspectratio="f"/>
                      </v:shape>
                      <v:shape id="流程图: 摘录 87" o:spid="_x0000_s1026" o:spt="127" type="#_x0000_t127" style="position:absolute;left:566674;top:990776;height:99151;width:113919;" fillcolor="#000000" filled="t" stroked="t" coordsize="21600,21600" o:gfxdata="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Alchy0wAAAAUBAAAPAAAAAAAAAAEAIAAAACIAAABkcnMvZG93bnJl&#10;di54bWxQSwECFAAUAAAACACHTuJAA9gLxAICAADxAwAADgAAAAAAAAABACAAAAAiAQAAZHJzL2Uy&#10;b0RvYy54bWxQSwUGAAAAAAYABgBZAQAAlgUAAAAA&#10;">
                        <v:fill on="t" focussize="0,0"/>
                        <v:stroke color="#000000" joinstyle="miter"/>
                        <v:imagedata o:title=""/>
                        <o:lock v:ext="edit" aspectratio="f"/>
                      </v:shape>
                      <w10:wrap type="none"/>
                      <w10:anchorlock/>
                    </v:group>
                  </w:pict>
                </mc:Fallback>
              </mc:AlternateContent>
            </w:r>
          </w:p>
          <w:p>
            <w:pPr>
              <w:bidi w:val="0"/>
              <w:jc w:val="center"/>
              <w:rPr>
                <w:rFonts w:hint="eastAsia" w:ascii="Times New Roman" w:hAnsi="Times New Roman" w:eastAsia="宋体" w:cs="Times New Roman"/>
                <w:b/>
                <w:szCs w:val="24"/>
              </w:rPr>
            </w:pPr>
            <w:r>
              <w:rPr>
                <w:rFonts w:hint="eastAsia"/>
              </w:rPr>
              <w:t>图</w:t>
            </w:r>
            <w:r>
              <w:rPr>
                <w:rFonts w:hint="eastAsia"/>
                <w:lang w:val="en-US" w:eastAsia="zh-CN"/>
              </w:rPr>
              <w:t>2</w:t>
            </w:r>
            <w:r>
              <w:rPr>
                <w:rFonts w:hint="eastAsia"/>
              </w:rPr>
              <w:t xml:space="preserve"> 项目工艺流程及产污环节图</w:t>
            </w:r>
          </w:p>
          <w:p>
            <w:pPr>
              <w:adjustRightInd w:val="0"/>
              <w:snapToGrid w:val="0"/>
              <w:spacing w:line="360" w:lineRule="auto"/>
              <w:ind w:firstLine="0" w:firstLineChars="0"/>
              <w:rPr>
                <w:rFonts w:ascii="Times New Roman" w:hAnsi="Times New Roman" w:eastAsia="宋体" w:cs="Times New Roman"/>
                <w:sz w:val="24"/>
                <w:szCs w:val="24"/>
              </w:rPr>
            </w:pPr>
            <w:r>
              <w:rPr>
                <w:rFonts w:hint="eastAsia" w:cs="Times New Roman"/>
                <w:b/>
                <w:sz w:val="24"/>
                <w:szCs w:val="24"/>
                <w:lang w:val="en-US" w:eastAsia="zh-CN"/>
              </w:rPr>
              <w:t>1.2</w:t>
            </w:r>
            <w:r>
              <w:rPr>
                <w:rFonts w:hint="eastAsia" w:ascii="Times New Roman" w:hAnsi="Times New Roman" w:eastAsia="宋体" w:cs="Times New Roman"/>
                <w:b/>
                <w:sz w:val="24"/>
                <w:szCs w:val="24"/>
              </w:rPr>
              <w:t>加油站工艺流程简述</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2"/>
              </w:rPr>
            </w:pP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1</w:t>
            </w:r>
            <w:r>
              <w:rPr>
                <w:rFonts w:hint="default"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eastAsia="zh-CN"/>
              </w:rPr>
              <w:t>卸</w:t>
            </w:r>
            <w:r>
              <w:rPr>
                <w:rFonts w:hint="default" w:ascii="Times New Roman" w:hAnsi="Times New Roman" w:eastAsia="宋体" w:cs="Times New Roman"/>
                <w:b/>
                <w:bCs/>
                <w:color w:val="000000"/>
                <w:sz w:val="24"/>
                <w:szCs w:val="22"/>
              </w:rPr>
              <w:t>油</w:t>
            </w:r>
            <w:r>
              <w:rPr>
                <w:rFonts w:hint="eastAsia" w:ascii="Times New Roman" w:hAnsi="Times New Roman" w:eastAsia="宋体" w:cs="Times New Roman"/>
                <w:b/>
                <w:bCs/>
                <w:color w:val="000000"/>
                <w:sz w:val="24"/>
                <w:szCs w:val="22"/>
                <w:lang w:eastAsia="zh-CN"/>
              </w:rPr>
              <w:t>工艺</w:t>
            </w:r>
            <w:r>
              <w:rPr>
                <w:rFonts w:hint="default"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rPr>
            </w:pPr>
            <w:r>
              <w:rPr>
                <w:rFonts w:hint="eastAsia" w:ascii="Times New Roman" w:hAnsi="Times New Roman" w:eastAsia="宋体" w:cs="Times New Roman"/>
                <w:color w:val="000000"/>
                <w:sz w:val="24"/>
                <w:szCs w:val="22"/>
              </w:rPr>
              <w:t>成品油由油罐车运至加油站，通过罐车与储油罐之间的管道依靠重力自流的方式卸入储油罐中，项目采用浸没式密闭卸油方式。卸油时，卸油软管连接罐车出油口和罐区卸油口，油气回收软管连接罐车油气回收口和卸油口的油气回收管道接口。当罐车内汽油流入加油站汽油罐时，汽油罐内油气通过通气管连通管进入到低标号汽油罐内，再通过油气回收管道流入到罐车内，用相同体积的汽油将汽油罐内相同体积的油气置换到罐车内，整个过程中无油气排放。卸油时由于通气管上安装有压力真空阀</w:t>
            </w:r>
            <w:r>
              <w:rPr>
                <w:rFonts w:hint="eastAsia" w:ascii="Times New Roman" w:hAnsi="Times New Roman" w:eastAsia="宋体" w:cs="Times New Roman"/>
                <w:color w:val="000000"/>
                <w:sz w:val="24"/>
                <w:szCs w:val="22"/>
                <w:lang w:eastAsia="zh-CN"/>
              </w:rPr>
              <w:t>（一次油气回收）</w:t>
            </w:r>
            <w:r>
              <w:rPr>
                <w:rFonts w:hint="eastAsia" w:ascii="Times New Roman" w:hAnsi="Times New Roman" w:eastAsia="宋体" w:cs="Times New Roman"/>
                <w:color w:val="000000"/>
                <w:sz w:val="24"/>
                <w:szCs w:val="22"/>
              </w:rPr>
              <w:t>，在设定工作压力内不会开启，不会造成油气通过通气管的排放。此方式为平衡式回收，回收率可达95%以上。此过程主要的污染物是泄露出的极少量呼吸废气。</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sz w:val="24"/>
                <w:szCs w:val="22"/>
                <w:lang w:eastAsia="zh-CN"/>
              </w:rPr>
            </w:pPr>
            <w:r>
              <w:rPr>
                <w:rFonts w:hint="eastAsia" w:ascii="Times New Roman" w:hAnsi="Times New Roman" w:eastAsia="宋体" w:cs="Times New Roman"/>
                <w:color w:val="000000"/>
                <w:sz w:val="24"/>
                <w:szCs w:val="22"/>
              </w:rPr>
              <w:t>成品油卸车工艺流程见</w:t>
            </w:r>
            <w:r>
              <w:rPr>
                <w:rFonts w:hint="eastAsia" w:ascii="Times New Roman" w:hAnsi="Times New Roman" w:eastAsia="宋体" w:cs="Times New Roman"/>
                <w:color w:val="000000"/>
                <w:sz w:val="24"/>
                <w:szCs w:val="22"/>
                <w:lang w:eastAsia="zh-CN"/>
              </w:rPr>
              <w:t>下</w:t>
            </w:r>
            <w:r>
              <w:rPr>
                <w:rFonts w:hint="eastAsia" w:ascii="Times New Roman" w:hAnsi="Times New Roman" w:eastAsia="宋体" w:cs="Times New Roman"/>
                <w:color w:val="000000"/>
                <w:sz w:val="24"/>
                <w:szCs w:val="22"/>
              </w:rPr>
              <w:t>图</w:t>
            </w:r>
            <w:r>
              <w:rPr>
                <w:rFonts w:hint="eastAsia" w:ascii="Times New Roman" w:hAnsi="Times New Roman" w:eastAsia="宋体" w:cs="Times New Roman"/>
                <w:color w:val="000000"/>
                <w:sz w:val="24"/>
                <w:szCs w:val="22"/>
                <w:lang w:val="en-US" w:eastAsia="zh-CN"/>
              </w:rPr>
              <w:t>2</w:t>
            </w:r>
            <w:r>
              <w:rPr>
                <w:rFonts w:hint="eastAsia" w:ascii="Times New Roman" w:hAnsi="Times New Roman" w:eastAsia="宋体" w:cs="Times New Roman"/>
                <w:color w:val="000000"/>
                <w:sz w:val="24"/>
                <w:szCs w:val="22"/>
                <w:lang w:eastAsia="zh-CN"/>
              </w:rPr>
              <w:t>：</w:t>
            </w: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keepNext w:val="0"/>
              <w:keepLines w:val="0"/>
              <w:suppressLineNumbers w:val="0"/>
              <w:spacing w:before="0" w:beforeAutospacing="0" w:after="0" w:afterAutospacing="0" w:line="520" w:lineRule="exact"/>
              <w:ind w:left="0" w:right="0" w:firstLine="482" w:firstLineChars="200"/>
              <w:jc w:val="left"/>
              <w:rPr>
                <w:rFonts w:hint="default" w:ascii="Times New Roman" w:hAnsi="Times New Roman" w:eastAsia="宋体" w:cs="Times New Roman"/>
                <w:b/>
                <w:bCs/>
                <w:color w:val="000000"/>
                <w:sz w:val="24"/>
                <w:szCs w:val="24"/>
              </w:rPr>
            </w:pPr>
          </w:p>
          <w:p>
            <w:pPr>
              <w:bidi w:val="0"/>
              <w:jc w:val="center"/>
              <w:rPr>
                <w:rFonts w:hint="default" w:ascii="Times New Roman" w:hAnsi="Times New Roman" w:eastAsia="宋体" w:cs="Times New Roman"/>
                <w:b/>
                <w:bCs/>
                <w:color w:val="000000"/>
                <w:szCs w:val="24"/>
              </w:rPr>
            </w:pPr>
            <w:r>
              <w:rPr>
                <w:rFonts w:hint="default"/>
              </w:rPr>
              <w:drawing>
                <wp:anchor distT="0" distB="0" distL="114300" distR="114300" simplePos="0" relativeHeight="299943936" behindDoc="0" locked="0" layoutInCell="1" allowOverlap="1">
                  <wp:simplePos x="0" y="0"/>
                  <wp:positionH relativeFrom="column">
                    <wp:posOffset>1367155</wp:posOffset>
                  </wp:positionH>
                  <wp:positionV relativeFrom="paragraph">
                    <wp:posOffset>123825</wp:posOffset>
                  </wp:positionV>
                  <wp:extent cx="2905125" cy="1838325"/>
                  <wp:effectExtent l="0" t="0" r="9525" b="9525"/>
                  <wp:wrapTopAndBottom/>
                  <wp:docPr id="9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5"/>
                          <pic:cNvPicPr>
                            <a:picLocks noChangeAspect="1"/>
                          </pic:cNvPicPr>
                        </pic:nvPicPr>
                        <pic:blipFill>
                          <a:blip r:embed="rId12"/>
                          <a:stretch>
                            <a:fillRect/>
                          </a:stretch>
                        </pic:blipFill>
                        <pic:spPr>
                          <a:xfrm>
                            <a:off x="0" y="0"/>
                            <a:ext cx="2905125" cy="1838325"/>
                          </a:xfrm>
                          <a:prstGeom prst="rect">
                            <a:avLst/>
                          </a:prstGeom>
                          <a:noFill/>
                          <a:ln>
                            <a:noFill/>
                          </a:ln>
                        </pic:spPr>
                      </pic:pic>
                    </a:graphicData>
                  </a:graphic>
                </wp:anchor>
              </w:drawing>
            </w:r>
            <w:r>
              <w:rPr>
                <w:rFonts w:hint="default"/>
              </w:rPr>
              <w:t>图</w:t>
            </w:r>
            <w:r>
              <w:rPr>
                <w:rFonts w:hint="eastAsia"/>
                <w:lang w:val="en-US" w:eastAsia="zh-CN"/>
              </w:rPr>
              <w:t xml:space="preserve">3   </w:t>
            </w:r>
            <w:r>
              <w:rPr>
                <w:rFonts w:hint="default"/>
              </w:rPr>
              <w:t xml:space="preserve"> </w:t>
            </w:r>
            <w:r>
              <w:rPr>
                <w:rFonts w:hint="eastAsia"/>
                <w:lang w:eastAsia="zh-CN"/>
              </w:rPr>
              <w:t>卸油</w:t>
            </w:r>
            <w:r>
              <w:rPr>
                <w:rFonts w:hint="default"/>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eastAsia" w:ascii="Times New Roman" w:hAnsi="Times New Roman" w:eastAsia="宋体" w:cs="Times New Roman"/>
                <w:b/>
                <w:bCs/>
                <w:color w:val="000000"/>
                <w:sz w:val="24"/>
                <w:szCs w:val="22"/>
              </w:rPr>
            </w:pPr>
            <w:r>
              <w:rPr>
                <w:rFonts w:hint="eastAsia" w:ascii="Times New Roman" w:hAnsi="Times New Roman" w:eastAsia="宋体" w:cs="Times New Roman"/>
                <w:b/>
                <w:bCs/>
                <w:color w:val="000000"/>
                <w:sz w:val="24"/>
                <w:szCs w:val="22"/>
              </w:rPr>
              <w:t>（</w:t>
            </w:r>
            <w:r>
              <w:rPr>
                <w:rFonts w:hint="eastAsia" w:ascii="Times New Roman" w:hAnsi="Times New Roman" w:eastAsia="宋体" w:cs="Times New Roman"/>
                <w:b/>
                <w:bCs/>
                <w:color w:val="000000"/>
                <w:sz w:val="24"/>
                <w:szCs w:val="22"/>
                <w:lang w:val="en-US" w:eastAsia="zh-CN"/>
              </w:rPr>
              <w:t>2</w:t>
            </w:r>
            <w:r>
              <w:rPr>
                <w:rFonts w:hint="eastAsia" w:ascii="Times New Roman" w:hAnsi="Times New Roman" w:eastAsia="宋体" w:cs="Times New Roman"/>
                <w:b/>
                <w:bCs/>
                <w:color w:val="000000"/>
                <w:sz w:val="24"/>
                <w:szCs w:val="22"/>
              </w:rPr>
              <w:t>）加油</w:t>
            </w:r>
            <w:r>
              <w:rPr>
                <w:rFonts w:hint="eastAsia" w:ascii="Times New Roman" w:hAnsi="Times New Roman" w:eastAsia="宋体" w:cs="Times New Roman"/>
                <w:b/>
                <w:bCs/>
                <w:color w:val="000000"/>
                <w:sz w:val="24"/>
                <w:szCs w:val="22"/>
                <w:lang w:eastAsia="zh-CN"/>
              </w:rPr>
              <w:t>工艺</w:t>
            </w:r>
            <w:r>
              <w:rPr>
                <w:rFonts w:hint="eastAsia" w:ascii="Times New Roman" w:hAnsi="Times New Roman" w:eastAsia="宋体" w:cs="Times New Roman"/>
                <w:b/>
                <w:bCs/>
                <w:color w:val="000000"/>
                <w:sz w:val="24"/>
                <w:szCs w:val="22"/>
              </w:rPr>
              <w:t>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eastAsia" w:ascii="Times New Roman" w:hAnsi="Times New Roman" w:eastAsia="宋体" w:cs="Times New Roman"/>
                <w:color w:val="000000"/>
                <w:kern w:val="2"/>
                <w:sz w:val="24"/>
                <w:szCs w:val="22"/>
                <w:lang w:val="en-US" w:eastAsia="zh-CN" w:bidi="ar-SA"/>
              </w:rPr>
            </w:pPr>
            <w:r>
              <w:rPr>
                <w:rFonts w:hint="eastAsia" w:ascii="Times New Roman" w:hAnsi="Times New Roman" w:eastAsia="宋体" w:cs="Times New Roman"/>
                <w:color w:val="000000"/>
                <w:sz w:val="24"/>
                <w:szCs w:val="22"/>
                <w:lang w:val="en-US" w:eastAsia="zh-CN"/>
              </w:rPr>
              <w:t>加油时配备二次油气回收系统，采用真空辅助式油气回收系统。加油机采用自带的加油泵将成品油由储油罐吸到加油机中，加油时将油枪伸入车辆油箱，加油枪采用自封式，油枪上的橡胶盖和车辆油箱口紧密结合，通过导气管将车辆油箱和地埋油罐联通并形成密闭空间，向油箱注油同时通过油泵将油补充至自吸式加油机内，与此同时，车辆油箱内部的呼吸蒸气通过油枪导气管进入地埋油罐中，此过程主要的污染物是油箱泄露出的极少量呼吸废气。加油工艺流程见图3。</w:t>
            </w:r>
          </w:p>
          <w:p>
            <w:pPr>
              <w:bidi w:val="0"/>
              <w:jc w:val="center"/>
              <w:rPr>
                <w:rFonts w:hint="default" w:ascii="Times New Roman" w:hAnsi="Times New Roman" w:eastAsia="宋体" w:cs="Times New Roman"/>
                <w:b/>
                <w:bCs/>
                <w:color w:val="000000"/>
                <w:szCs w:val="24"/>
              </w:rPr>
            </w:pPr>
            <w:r>
              <w:rPr>
                <w:rFonts w:hint="default"/>
              </w:rPr>
              <w:drawing>
                <wp:anchor distT="0" distB="0" distL="114300" distR="114300" simplePos="0" relativeHeight="299944960" behindDoc="0" locked="0" layoutInCell="1" allowOverlap="1">
                  <wp:simplePos x="0" y="0"/>
                  <wp:positionH relativeFrom="column">
                    <wp:posOffset>895985</wp:posOffset>
                  </wp:positionH>
                  <wp:positionV relativeFrom="paragraph">
                    <wp:posOffset>48895</wp:posOffset>
                  </wp:positionV>
                  <wp:extent cx="3752850" cy="1933575"/>
                  <wp:effectExtent l="0" t="0" r="0" b="9525"/>
                  <wp:wrapTopAndBottom/>
                  <wp:docPr id="9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6"/>
                          <pic:cNvPicPr>
                            <a:picLocks noChangeAspect="1"/>
                          </pic:cNvPicPr>
                        </pic:nvPicPr>
                        <pic:blipFill>
                          <a:blip r:embed="rId13"/>
                          <a:stretch>
                            <a:fillRect/>
                          </a:stretch>
                        </pic:blipFill>
                        <pic:spPr>
                          <a:xfrm>
                            <a:off x="0" y="0"/>
                            <a:ext cx="3752850" cy="1933575"/>
                          </a:xfrm>
                          <a:prstGeom prst="rect">
                            <a:avLst/>
                          </a:prstGeom>
                          <a:noFill/>
                          <a:ln>
                            <a:noFill/>
                          </a:ln>
                        </pic:spPr>
                      </pic:pic>
                    </a:graphicData>
                  </a:graphic>
                </wp:anchor>
              </w:drawing>
            </w:r>
            <w:r>
              <w:rPr>
                <w:rFonts w:hint="default"/>
              </w:rPr>
              <w:t>图</w:t>
            </w:r>
            <w:r>
              <w:rPr>
                <w:rFonts w:hint="eastAsia"/>
                <w:lang w:val="en-US" w:eastAsia="zh-CN"/>
              </w:rPr>
              <w:t xml:space="preserve">4   </w:t>
            </w:r>
            <w:r>
              <w:rPr>
                <w:rFonts w:hint="default"/>
              </w:rPr>
              <w:t xml:space="preserve"> </w:t>
            </w:r>
            <w:r>
              <w:rPr>
                <w:rFonts w:hint="eastAsia"/>
                <w:lang w:eastAsia="zh-CN"/>
              </w:rPr>
              <w:t>加油</w:t>
            </w:r>
            <w:r>
              <w:rPr>
                <w:rFonts w:hint="default"/>
              </w:rPr>
              <w:t>工艺流程图</w:t>
            </w:r>
          </w:p>
          <w:p>
            <w:pPr>
              <w:keepNext w:val="0"/>
              <w:keepLines w:val="0"/>
              <w:suppressLineNumbers w:val="0"/>
              <w:adjustRightInd w:val="0"/>
              <w:snapToGrid w:val="0"/>
              <w:spacing w:before="0" w:beforeAutospacing="0" w:after="0" w:afterAutospacing="0" w:line="520" w:lineRule="exact"/>
              <w:ind w:left="0" w:right="0" w:firstLine="482" w:firstLineChars="200"/>
              <w:rPr>
                <w:rFonts w:hint="default" w:ascii="Times New Roman" w:hAnsi="Times New Roman" w:eastAsia="宋体" w:cs="Times New Roman"/>
                <w:b/>
                <w:bCs/>
                <w:color w:val="000000"/>
                <w:sz w:val="24"/>
                <w:szCs w:val="24"/>
              </w:rPr>
            </w:pPr>
            <w:r>
              <w:rPr>
                <w:rFonts w:hint="default" w:ascii="Times New Roman" w:hAnsi="Times New Roman" w:eastAsia="宋体" w:cs="Times New Roman"/>
                <w:b/>
                <w:bCs/>
                <w:color w:val="000000"/>
                <w:sz w:val="24"/>
                <w:szCs w:val="24"/>
              </w:rPr>
              <w:t>（</w:t>
            </w:r>
            <w:r>
              <w:rPr>
                <w:rFonts w:hint="eastAsia" w:ascii="Times New Roman" w:hAnsi="Times New Roman" w:eastAsia="宋体" w:cs="Times New Roman"/>
                <w:b/>
                <w:bCs/>
                <w:color w:val="000000"/>
                <w:sz w:val="24"/>
                <w:szCs w:val="24"/>
                <w:lang w:val="en-US" w:eastAsia="zh-CN"/>
              </w:rPr>
              <w:t>3</w:t>
            </w:r>
            <w:r>
              <w:rPr>
                <w:rFonts w:hint="default" w:ascii="Times New Roman" w:hAnsi="Times New Roman" w:eastAsia="宋体" w:cs="Times New Roman"/>
                <w:b/>
                <w:bCs/>
                <w:color w:val="000000"/>
                <w:sz w:val="24"/>
                <w:szCs w:val="24"/>
              </w:rPr>
              <w:t>）油气回收系统流程</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①油气回收系统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在油罐车给地下储罐卸油时，是在油罐车和地下储罐之间密闭状态下进行，液态油卸入地下储罐。储罐内液态空间不断增大，气相空间不断减小。罐车储罐内液态空间不断减小，气相空间不断增大。由于气液相空间的变化，原地下储罐内气态油蒸气进到罐车内部，油罐车给地下储罐卸油结束，由罐车装载着气态油蒸气驶离加油站运到有油气处理装置的单位进行油气回收处理，以达到环保和安全的目的回收系统。</w:t>
            </w:r>
          </w:p>
          <w:p>
            <w:pPr>
              <w:bidi w:val="0"/>
              <w:jc w:val="center"/>
              <w:rPr>
                <w:rFonts w:hint="default" w:ascii="Times New Roman" w:hAnsi="Times New Roman" w:eastAsia="宋体" w:cs="Times New Roman"/>
                <w:b/>
                <w:bCs/>
                <w:color w:val="000000"/>
                <w:kern w:val="0"/>
                <w:szCs w:val="24"/>
                <w:lang w:val="en-US" w:eastAsia="zh-CN" w:bidi="ar-SA"/>
              </w:rPr>
            </w:pPr>
            <w:r>
              <w:rPr>
                <w:rFonts w:hint="default"/>
                <w:lang w:val="en-US" w:eastAsia="zh-CN"/>
              </w:rPr>
              <w:drawing>
                <wp:anchor distT="0" distB="0" distL="114300" distR="114300" simplePos="0" relativeHeight="299945984" behindDoc="0" locked="0" layoutInCell="1" allowOverlap="1">
                  <wp:simplePos x="0" y="0"/>
                  <wp:positionH relativeFrom="column">
                    <wp:posOffset>327025</wp:posOffset>
                  </wp:positionH>
                  <wp:positionV relativeFrom="paragraph">
                    <wp:posOffset>82550</wp:posOffset>
                  </wp:positionV>
                  <wp:extent cx="4895850" cy="1895475"/>
                  <wp:effectExtent l="0" t="0" r="0" b="9525"/>
                  <wp:wrapTopAndBottom/>
                  <wp:docPr id="9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7"/>
                          <pic:cNvPicPr>
                            <a:picLocks noChangeAspect="1"/>
                          </pic:cNvPicPr>
                        </pic:nvPicPr>
                        <pic:blipFill>
                          <a:blip r:embed="rId14"/>
                          <a:srcRect l="4182" r="2364"/>
                          <a:stretch>
                            <a:fillRect/>
                          </a:stretch>
                        </pic:blipFill>
                        <pic:spPr>
                          <a:xfrm>
                            <a:off x="0" y="0"/>
                            <a:ext cx="4895850" cy="1895475"/>
                          </a:xfrm>
                          <a:prstGeom prst="rect">
                            <a:avLst/>
                          </a:prstGeom>
                          <a:noFill/>
                          <a:ln>
                            <a:noFill/>
                          </a:ln>
                        </pic:spPr>
                      </pic:pic>
                    </a:graphicData>
                  </a:graphic>
                </wp:anchor>
              </w:drawing>
            </w:r>
            <w:r>
              <w:rPr>
                <w:rFonts w:hint="eastAsia"/>
                <w:lang w:val="en-US" w:eastAsia="zh-CN"/>
              </w:rPr>
              <w:t>图5   一次油气回收系统基本原理图</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②加油油气回收系统</w:t>
            </w:r>
          </w:p>
          <w:p>
            <w:pPr>
              <w:keepNext w:val="0"/>
              <w:keepLines w:val="0"/>
              <w:suppressLineNumbers w:val="0"/>
              <w:adjustRightInd w:val="0"/>
              <w:snapToGrid w:val="0"/>
              <w:spacing w:before="0" w:beforeAutospacing="0" w:after="0" w:afterAutospacing="0" w:line="520" w:lineRule="exact"/>
              <w:ind w:left="0" w:right="0" w:firstLine="480" w:firstLineChars="200"/>
              <w:rPr>
                <w:rFonts w:hint="default" w:ascii="Times New Roman" w:hAnsi="Times New Roman" w:eastAsia="宋体" w:cs="Times New Roman"/>
                <w:color w:val="000000"/>
                <w:sz w:val="24"/>
                <w:szCs w:val="24"/>
              </w:rPr>
            </w:pPr>
            <w:r>
              <w:rPr>
                <w:rFonts w:hint="default" w:ascii="Times New Roman" w:hAnsi="Times New Roman" w:eastAsia="宋体" w:cs="Times New Roman"/>
                <w:color w:val="000000"/>
                <w:sz w:val="24"/>
                <w:szCs w:val="24"/>
              </w:rPr>
              <w:t>加油机在给汽车油箱加注汽油的同时，采用带有油气回收的加油枪将汽车油箱内的气态油蒸汽和空气的混合气体按照1：1比例（即加注一升汽油，返回到储罐1 升的气体）或其他比例抽回到地下储罐的系统，以达到一定的安全环保目的。</w:t>
            </w:r>
          </w:p>
          <w:p>
            <w:pPr>
              <w:keepNext w:val="0"/>
              <w:keepLines w:val="0"/>
              <w:widowControl w:val="0"/>
              <w:suppressLineNumbers w:val="0"/>
              <w:autoSpaceDE w:val="0"/>
              <w:autoSpaceDN w:val="0"/>
              <w:adjustRightInd w:val="0"/>
              <w:spacing w:before="0" w:beforeAutospacing="0" w:after="0" w:afterAutospacing="0"/>
              <w:ind w:left="0" w:leftChars="0" w:right="0" w:firstLine="0" w:firstLineChars="0"/>
              <w:rPr>
                <w:rFonts w:hint="default" w:ascii="Times New Roman" w:hAnsi="Times New Roman" w:eastAsia="宋体" w:cs="Times New Roman"/>
                <w:b w:val="0"/>
                <w:bCs w:val="0"/>
                <w:color w:val="000000"/>
                <w:sz w:val="24"/>
                <w:szCs w:val="24"/>
                <w:lang w:val="en-US" w:eastAsia="zh-CN" w:bidi="ar-SA"/>
              </w:rPr>
            </w:pPr>
            <w:r>
              <w:rPr>
                <w:rFonts w:hint="default" w:ascii="Times New Roman" w:hAnsi="Times New Roman" w:eastAsia="宋体" w:cs="Times New Roman"/>
                <w:b w:val="0"/>
                <w:bCs w:val="0"/>
                <w:color w:val="000000"/>
                <w:sz w:val="24"/>
                <w:szCs w:val="20"/>
                <w:lang w:val="en-US" w:eastAsia="zh-CN" w:bidi="ar-SA"/>
              </w:rPr>
              <w:drawing>
                <wp:anchor distT="0" distB="0" distL="114300" distR="114300" simplePos="0" relativeHeight="299947008" behindDoc="0" locked="0" layoutInCell="1" allowOverlap="1">
                  <wp:simplePos x="0" y="0"/>
                  <wp:positionH relativeFrom="column">
                    <wp:posOffset>954405</wp:posOffset>
                  </wp:positionH>
                  <wp:positionV relativeFrom="paragraph">
                    <wp:posOffset>185420</wp:posOffset>
                  </wp:positionV>
                  <wp:extent cx="3510915" cy="1812290"/>
                  <wp:effectExtent l="0" t="0" r="13335" b="16510"/>
                  <wp:wrapTopAndBottom/>
                  <wp:docPr id="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8"/>
                          <pic:cNvPicPr>
                            <a:picLocks noChangeAspect="1"/>
                          </pic:cNvPicPr>
                        </pic:nvPicPr>
                        <pic:blipFill>
                          <a:blip r:embed="rId15"/>
                          <a:stretch>
                            <a:fillRect/>
                          </a:stretch>
                        </pic:blipFill>
                        <pic:spPr>
                          <a:xfrm>
                            <a:off x="0" y="0"/>
                            <a:ext cx="3510915" cy="1812290"/>
                          </a:xfrm>
                          <a:prstGeom prst="rect">
                            <a:avLst/>
                          </a:prstGeom>
                          <a:noFill/>
                          <a:ln>
                            <a:noFill/>
                          </a:ln>
                        </pic:spPr>
                      </pic:pic>
                    </a:graphicData>
                  </a:graphic>
                </wp:anchor>
              </w:drawing>
            </w:r>
          </w:p>
          <w:p>
            <w:pPr>
              <w:adjustRightInd w:val="0"/>
              <w:snapToGrid w:val="0"/>
              <w:spacing w:line="360" w:lineRule="auto"/>
              <w:ind w:firstLine="480" w:firstLineChars="200"/>
              <w:jc w:val="center"/>
              <w:rPr>
                <w:rFonts w:ascii="Times New Roman" w:hAnsi="宋体" w:eastAsia="宋体" w:cs="Times New Roman"/>
                <w:sz w:val="24"/>
                <w:szCs w:val="24"/>
              </w:rPr>
            </w:pPr>
            <w:r>
              <w:rPr>
                <w:rFonts w:hint="eastAsia" w:ascii="Times New Roman" w:hAnsi="Times New Roman" w:eastAsia="宋体" w:cs="Times New Roman"/>
                <w:b w:val="0"/>
                <w:bCs w:val="0"/>
                <w:color w:val="000000"/>
                <w:kern w:val="0"/>
                <w:sz w:val="24"/>
                <w:szCs w:val="24"/>
                <w:lang w:val="en-US" w:eastAsia="zh-CN" w:bidi="ar-SA"/>
              </w:rPr>
              <w:t>图</w:t>
            </w:r>
            <w:r>
              <w:rPr>
                <w:rFonts w:hint="eastAsia" w:cs="Times New Roman"/>
                <w:b w:val="0"/>
                <w:bCs w:val="0"/>
                <w:color w:val="000000"/>
                <w:kern w:val="0"/>
                <w:sz w:val="24"/>
                <w:szCs w:val="24"/>
                <w:lang w:val="en-US" w:eastAsia="zh-CN" w:bidi="ar-SA"/>
              </w:rPr>
              <w:t>6</w:t>
            </w:r>
            <w:r>
              <w:rPr>
                <w:rFonts w:hint="eastAsia" w:ascii="Times New Roman" w:hAnsi="Times New Roman" w:eastAsia="宋体" w:cs="Times New Roman"/>
                <w:b w:val="0"/>
                <w:bCs w:val="0"/>
                <w:color w:val="000000"/>
                <w:kern w:val="0"/>
                <w:sz w:val="24"/>
                <w:szCs w:val="24"/>
                <w:lang w:val="en-US" w:eastAsia="zh-CN" w:bidi="ar-SA"/>
              </w:rPr>
              <w:t xml:space="preserve">   二次油气回收系统基本原理图</w:t>
            </w:r>
          </w:p>
          <w:p>
            <w:pPr>
              <w:adjustRightInd w:val="0"/>
              <w:snapToGrid w:val="0"/>
              <w:spacing w:line="500" w:lineRule="exact"/>
              <w:ind w:firstLine="0" w:firstLineChars="0"/>
              <w:rPr>
                <w:rFonts w:ascii="Times New Roman" w:hAnsi="Times New Roman" w:eastAsia="宋体" w:cs="Times New Roman"/>
                <w:b/>
                <w:bCs/>
                <w:sz w:val="24"/>
                <w:szCs w:val="24"/>
              </w:rPr>
            </w:pPr>
            <w:r>
              <w:rPr>
                <w:rFonts w:ascii="Times New Roman" w:hAnsi="Times New Roman" w:eastAsia="宋体" w:cs="Times New Roman"/>
                <w:b/>
                <w:bCs/>
                <w:sz w:val="24"/>
                <w:szCs w:val="24"/>
              </w:rPr>
              <w:t>2</w:t>
            </w:r>
            <w:r>
              <w:rPr>
                <w:rFonts w:hint="eastAsia" w:ascii="Times New Roman" w:hAnsi="Times New Roman" w:eastAsia="宋体" w:cs="Times New Roman"/>
                <w:b/>
                <w:bCs/>
                <w:sz w:val="24"/>
                <w:szCs w:val="24"/>
              </w:rPr>
              <w:t>、产污环节</w:t>
            </w:r>
            <w:r>
              <w:rPr>
                <w:rFonts w:ascii="Times New Roman" w:hAnsi="Times New Roman" w:eastAsia="宋体" w:cs="Times New Roman"/>
                <w:b/>
                <w:bCs/>
                <w:sz w:val="24"/>
                <w:szCs w:val="24"/>
              </w:rPr>
              <w:t>分析</w:t>
            </w:r>
          </w:p>
          <w:p>
            <w:pPr>
              <w:pStyle w:val="18"/>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eastAsia="宋体"/>
                <w:lang w:val="en-US" w:eastAsia="zh-CN"/>
              </w:rPr>
            </w:pPr>
            <w:r>
              <w:rPr>
                <w:rFonts w:hint="eastAsia" w:ascii="Times New Roman" w:hAnsi="Times New Roman" w:cs="Times New Roman"/>
                <w:b/>
                <w:bCs/>
                <w:sz w:val="24"/>
                <w:szCs w:val="24"/>
                <w:lang w:val="en-US" w:eastAsia="zh-CN"/>
              </w:rPr>
              <w:t>2.1施工期产排污分析</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1、产污工序</w:t>
            </w:r>
          </w:p>
          <w:p>
            <w:pPr>
              <w:spacing w:line="360" w:lineRule="auto"/>
              <w:ind w:firstLine="480" w:firstLineChars="200"/>
              <w:rPr>
                <w:rFonts w:ascii="Times New Roman" w:hAnsi="Times New Roman"/>
                <w:sz w:val="24"/>
              </w:rPr>
            </w:pPr>
            <w:r>
              <w:rPr>
                <w:rFonts w:hint="eastAsia" w:ascii="Times New Roman" w:hAnsi="Times New Roman"/>
                <w:sz w:val="24"/>
              </w:rPr>
              <w:t>（1）废水：主要为施工废水、施工人员生活污水。</w:t>
            </w:r>
          </w:p>
          <w:p>
            <w:pPr>
              <w:spacing w:line="360" w:lineRule="auto"/>
              <w:ind w:firstLine="480" w:firstLineChars="200"/>
              <w:rPr>
                <w:rFonts w:ascii="Times New Roman" w:hAnsi="Times New Roman"/>
                <w:sz w:val="24"/>
              </w:rPr>
            </w:pPr>
            <w:r>
              <w:rPr>
                <w:rFonts w:hint="eastAsia" w:ascii="Times New Roman" w:hAnsi="Times New Roman"/>
                <w:sz w:val="24"/>
              </w:rPr>
              <w:t>（2）废气：主要为扬尘、施工机械及车辆产生的汽车尾气。</w:t>
            </w:r>
          </w:p>
          <w:p>
            <w:pPr>
              <w:spacing w:line="360" w:lineRule="auto"/>
              <w:ind w:firstLine="480" w:firstLineChars="200"/>
              <w:rPr>
                <w:rFonts w:ascii="Times New Roman" w:hAnsi="Times New Roman"/>
                <w:sz w:val="24"/>
              </w:rPr>
            </w:pPr>
            <w:r>
              <w:rPr>
                <w:rFonts w:hint="eastAsia" w:ascii="Times New Roman" w:hAnsi="Times New Roman"/>
                <w:sz w:val="24"/>
              </w:rPr>
              <w:t>（3）噪声：主要为施工作业噪声、施工车辆噪声。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sz w:val="24"/>
              </w:rPr>
            </w:pPr>
            <w:r>
              <w:rPr>
                <w:rFonts w:hint="eastAsia" w:ascii="Times New Roman" w:hAnsi="Times New Roman"/>
                <w:sz w:val="24"/>
              </w:rPr>
              <w:t>（4）固体废物：主要为施工人员生活垃圾、废弃土石方、建筑垃圾。</w:t>
            </w:r>
          </w:p>
          <w:p>
            <w:pPr>
              <w:spacing w:line="360" w:lineRule="auto"/>
              <w:ind w:firstLine="480" w:firstLineChars="200"/>
              <w:rPr>
                <w:rFonts w:hint="eastAsia" w:ascii="Times New Roman" w:hAnsi="Times New Roman"/>
                <w:sz w:val="24"/>
                <w:szCs w:val="22"/>
              </w:rPr>
            </w:pPr>
            <w:r>
              <w:rPr>
                <w:rFonts w:hint="eastAsia" w:ascii="Times New Roman" w:hAnsi="Times New Roman"/>
                <w:sz w:val="24"/>
                <w:szCs w:val="22"/>
              </w:rPr>
              <w:t>2、污染物产生情况分析</w:t>
            </w:r>
          </w:p>
          <w:p>
            <w:pPr>
              <w:pStyle w:val="6"/>
              <w:keepNext/>
              <w:keepLines/>
              <w:spacing w:line="360" w:lineRule="auto"/>
              <w:ind w:firstLine="482" w:firstLineChars="200"/>
              <w:outlineLvl w:val="3"/>
              <w:rPr>
                <w:rFonts w:hint="eastAsia" w:ascii="Times New Roman" w:hAnsi="Times New Roman"/>
                <w:b/>
                <w:sz w:val="24"/>
                <w:szCs w:val="24"/>
              </w:rPr>
            </w:pPr>
            <w:r>
              <w:rPr>
                <w:rFonts w:hint="eastAsia" w:ascii="Times New Roman" w:hAnsi="Times New Roman"/>
                <w:b/>
                <w:sz w:val="24"/>
                <w:szCs w:val="24"/>
              </w:rPr>
              <w:t>废水：</w:t>
            </w:r>
          </w:p>
          <w:p>
            <w:pPr>
              <w:pStyle w:val="31"/>
              <w:rPr>
                <w:rFonts w:ascii="Times New Roman" w:hAnsi="Times New Roman"/>
                <w:lang w:val="en-US"/>
              </w:rPr>
            </w:pPr>
            <w:r>
              <w:rPr>
                <w:rFonts w:hint="eastAsia" w:ascii="Times New Roman" w:hAnsi="Times New Roman"/>
                <w:lang w:val="en-US"/>
              </w:rPr>
              <w:t>施工期废水主要来源于施工人员生活污水、施工废水。</w:t>
            </w:r>
          </w:p>
          <w:p>
            <w:pPr>
              <w:pStyle w:val="31"/>
              <w:rPr>
                <w:rFonts w:ascii="Times New Roman" w:hAnsi="Times New Roman"/>
                <w:lang w:val="en-US"/>
              </w:rPr>
            </w:pPr>
            <w:r>
              <w:rPr>
                <w:rFonts w:hint="eastAsia" w:ascii="Times New Roman" w:hAnsi="Times New Roman"/>
                <w:lang w:val="en-US"/>
              </w:rPr>
              <w:t>（1）生活污水</w:t>
            </w:r>
          </w:p>
          <w:p>
            <w:pPr>
              <w:pStyle w:val="31"/>
              <w:rPr>
                <w:rFonts w:ascii="Times New Roman" w:hAnsi="Times New Roman"/>
                <w:lang w:val="en-US"/>
              </w:rPr>
            </w:pPr>
            <w:r>
              <w:rPr>
                <w:rFonts w:hint="eastAsia" w:ascii="Times New Roman" w:hAnsi="Times New Roman"/>
                <w:lang w:val="en-US"/>
              </w:rPr>
              <w:t>本项目施工人员从附近招聘，施工场地不设施工营地，施工期间生活废水为少量洗手废水。项目施工人员约</w:t>
            </w:r>
            <w:r>
              <w:rPr>
                <w:rFonts w:hint="eastAsia"/>
                <w:lang w:val="en-US" w:eastAsia="zh-CN"/>
              </w:rPr>
              <w:t>6</w:t>
            </w:r>
            <w:r>
              <w:rPr>
                <w:rFonts w:hint="eastAsia" w:ascii="Times New Roman" w:hAnsi="Times New Roman"/>
                <w:lang w:val="en-US"/>
              </w:rPr>
              <w:t>人，生活污水产生量为</w:t>
            </w:r>
            <w:r>
              <w:rPr>
                <w:rFonts w:hint="eastAsia"/>
                <w:lang w:val="en-US" w:eastAsia="zh-CN"/>
              </w:rPr>
              <w:t>4.8</w:t>
            </w:r>
            <w:r>
              <w:rPr>
                <w:rFonts w:hint="eastAsia" w:ascii="Times New Roman" w:hAnsi="Times New Roman"/>
                <w:lang w:val="en-US"/>
              </w:rPr>
              <w:t>m</w:t>
            </w:r>
            <w:r>
              <w:rPr>
                <w:rFonts w:hint="eastAsia" w:ascii="Times New Roman" w:hAnsi="Times New Roman"/>
                <w:vertAlign w:val="superscript"/>
                <w:lang w:val="en-US"/>
              </w:rPr>
              <w:t>3</w:t>
            </w:r>
            <w:r>
              <w:rPr>
                <w:rFonts w:hint="eastAsia" w:ascii="Times New Roman" w:hAnsi="Times New Roman"/>
                <w:lang w:val="en-US"/>
              </w:rPr>
              <w:t>，收集后用于施工场地洒水降尘。</w:t>
            </w:r>
          </w:p>
          <w:p>
            <w:pPr>
              <w:pStyle w:val="31"/>
              <w:rPr>
                <w:rFonts w:ascii="Times New Roman" w:hAnsi="Times New Roman"/>
                <w:lang w:val="en-US"/>
              </w:rPr>
            </w:pPr>
            <w:r>
              <w:rPr>
                <w:rFonts w:hint="eastAsia" w:ascii="Times New Roman" w:hAnsi="Times New Roman"/>
                <w:lang w:val="en-US"/>
              </w:rPr>
              <w:t>（2）施工废水</w:t>
            </w:r>
          </w:p>
          <w:p>
            <w:pPr>
              <w:pStyle w:val="31"/>
              <w:rPr>
                <w:rFonts w:ascii="Times New Roman" w:hAnsi="Times New Roman"/>
                <w:color w:val="0070C0"/>
                <w:lang w:val="en-US"/>
              </w:rPr>
            </w:pPr>
            <w:r>
              <w:rPr>
                <w:rFonts w:hint="eastAsia" w:ascii="Times New Roman" w:hAnsi="Times New Roman"/>
                <w:lang w:val="en-US"/>
              </w:rPr>
              <w:t>施工废水主要为乡道以及场地内地面硬化混凝土养护废水、机械设备冲洗废水、砂石冲洗废水等，主要污染因子为SS、石油类，浓度一般分别为300～2000 mg/L、15～30 mg/L。项目拟建临时排水沟、沉淀池，将施工场区废水收集沉淀处理后回用于车辆清洗或施工场地洒水降尘。</w:t>
            </w:r>
          </w:p>
          <w:p>
            <w:pPr>
              <w:pStyle w:val="6"/>
              <w:keepNext/>
              <w:keepLines/>
              <w:spacing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废气：</w:t>
            </w:r>
          </w:p>
          <w:p>
            <w:pPr>
              <w:spacing w:line="520" w:lineRule="exact"/>
              <w:ind w:firstLine="480" w:firstLineChars="200"/>
              <w:rPr>
                <w:rFonts w:ascii="Times New Roman" w:hAnsi="Times New Roman"/>
                <w:sz w:val="24"/>
              </w:rPr>
            </w:pPr>
            <w:r>
              <w:rPr>
                <w:rFonts w:ascii="Times New Roman" w:hAnsi="Times New Roman"/>
                <w:sz w:val="24"/>
              </w:rPr>
              <w:t>施工活动产生的大气污染物主要为施工扬尘。对整个施工期而言，施工扬尘主要集中在土建施工阶段，按起尘的原因可分为风力扬尘和动力扬尘，其中风力起尘主要是由于露天堆放的建筑材料及裸露的施工区表层浮土，由于天气干燥及大风产生风力扬尘。动力起尘主要是在建筑材料的装卸、转运过程中，由于外力而产生的尘粒再悬浮而造成，其中施工及装卸车辆造成的扬尘最为严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1</w:t>
            </w:r>
            <w:r>
              <w:rPr>
                <w:rFonts w:ascii="Times New Roman" w:hAnsi="Times New Roman"/>
                <w:sz w:val="24"/>
              </w:rPr>
              <w:t>）风力起尘</w:t>
            </w:r>
          </w:p>
          <w:p>
            <w:pPr>
              <w:spacing w:line="520" w:lineRule="exact"/>
              <w:ind w:firstLine="480" w:firstLineChars="200"/>
              <w:rPr>
                <w:rFonts w:ascii="Times New Roman" w:hAnsi="Times New Roman"/>
                <w:sz w:val="24"/>
              </w:rPr>
            </w:pPr>
            <w:r>
              <w:rPr>
                <w:rFonts w:ascii="Times New Roman" w:hAnsi="Times New Roman"/>
                <w:sz w:val="24"/>
              </w:rPr>
              <w:t>由于施工需要，一些建材需露天堆放，一些施工点表层土壤需人工开挖、堆放、在气候干燥又有风的情况下，会产生扬尘。这类扬尘的主要特点是与风速和尘粒含水率有关，据资料介绍，当灰尘含水率为0.5%时，其启动风速约为4.0m/s。因此，减少建材的露天堆放和保证一定的含水率是抑制这类扬尘的有效手段。</w:t>
            </w:r>
          </w:p>
          <w:p>
            <w:pPr>
              <w:spacing w:line="520" w:lineRule="exact"/>
              <w:ind w:firstLine="480" w:firstLineChars="200"/>
              <w:rPr>
                <w:rFonts w:ascii="Times New Roman" w:hAnsi="Times New Roman"/>
                <w:sz w:val="24"/>
              </w:rPr>
            </w:pPr>
            <w:r>
              <w:rPr>
                <w:rFonts w:ascii="Times New Roman" w:hAnsi="Times New Roman"/>
                <w:sz w:val="24"/>
              </w:rPr>
              <w:t>尘粒在空气中的传播扩散情况与风速等气象条件有关，也与尘粒本身的沉降速度有关。以沙土为例，其沉降速度随粒径的增大而迅速增大。当粒径为250微米时，沉降速度为1.005m/s，因此当尘粒大于250微米时，主要影响范围在扬尘点下方向近距离内，而真正对外环境产生影响的是一些微小尘粒。根据现场施工季节的气候情况不同，其影响范围和方向也有所不同，施工期间制定必要的防治措施，以减小施工扬尘对周围环境的影响。</w:t>
            </w:r>
          </w:p>
          <w:p>
            <w:pPr>
              <w:spacing w:line="520" w:lineRule="exact"/>
              <w:ind w:firstLine="480" w:firstLineChars="200"/>
              <w:rPr>
                <w:rFonts w:ascii="Times New Roman" w:hAnsi="Times New Roman"/>
                <w:sz w:val="24"/>
              </w:rPr>
            </w:pPr>
            <w:r>
              <w:rPr>
                <w:rFonts w:ascii="Times New Roman" w:hAnsi="Times New Roman"/>
                <w:sz w:val="24"/>
              </w:rPr>
              <w:t>（</w:t>
            </w:r>
            <w:r>
              <w:rPr>
                <w:rFonts w:hint="eastAsia" w:ascii="Times New Roman" w:hAnsi="Times New Roman"/>
                <w:sz w:val="24"/>
              </w:rPr>
              <w:t>2</w:t>
            </w:r>
            <w:r>
              <w:rPr>
                <w:rFonts w:ascii="Times New Roman" w:hAnsi="Times New Roman"/>
                <w:sz w:val="24"/>
              </w:rPr>
              <w:t>）动力起尘</w:t>
            </w:r>
          </w:p>
          <w:p>
            <w:pPr>
              <w:spacing w:line="520" w:lineRule="exact"/>
              <w:ind w:firstLine="480" w:firstLineChars="200"/>
              <w:rPr>
                <w:rFonts w:ascii="Times New Roman" w:hAnsi="Times New Roman"/>
                <w:sz w:val="24"/>
              </w:rPr>
            </w:pPr>
            <w:r>
              <w:rPr>
                <w:rFonts w:ascii="Times New Roman" w:hAnsi="Times New Roman"/>
                <w:sz w:val="24"/>
              </w:rPr>
              <w:t>由于外力而产生的尘粒再悬浮而造成，其中施工装卸车辆造成的扬尘最为严重。据有关文献资料介绍，车辆行驶产生的扬尘占总扬尘的60%以上。车辆行驶产生的扬尘，在完全干燥情况下，可按下列经验公式计算：</w:t>
            </w:r>
          </w:p>
          <w:p>
            <w:pPr>
              <w:ind w:firstLine="480" w:firstLineChars="200"/>
              <w:jc w:val="center"/>
              <w:rPr>
                <w:rFonts w:ascii="Times New Roman" w:hAnsi="Times New Roman"/>
                <w:sz w:val="24"/>
              </w:rPr>
            </w:pPr>
            <w:r>
              <w:rPr>
                <w:rFonts w:hint="eastAsia"/>
                <w:position w:val="-24"/>
                <w:lang w:val="en-US" w:eastAsia="zh-CN"/>
              </w:rPr>
              <w:object>
                <v:shape id="_x0000_i1025" o:spt="75" type="#_x0000_t75" style="height:31pt;width:143pt;" o:ole="t" filled="f" o:preferrelative="t" stroked="f" coordsize="21600,21600">
                  <v:path/>
                  <v:fill on="f" focussize="0,0"/>
                  <v:stroke on="f"/>
                  <v:imagedata r:id="rId17" o:title=""/>
                  <o:lock v:ext="edit" aspectratio="t"/>
                  <w10:wrap type="none"/>
                  <w10:anchorlock/>
                </v:shape>
                <o:OLEObject Type="Embed" ProgID="Equation.KSEE3" ShapeID="_x0000_i1025" DrawAspect="Content" ObjectID="_1468075725" r:id="rId16">
                  <o:LockedField>false</o:LockedField>
                </o:OLEObject>
              </w:object>
            </w:r>
          </w:p>
          <w:p>
            <w:pPr>
              <w:spacing w:line="520" w:lineRule="exact"/>
              <w:ind w:firstLine="480" w:firstLineChars="200"/>
              <w:rPr>
                <w:rFonts w:ascii="Times New Roman" w:hAnsi="Times New Roman"/>
                <w:sz w:val="24"/>
              </w:rPr>
            </w:pPr>
            <w:r>
              <w:rPr>
                <w:rFonts w:ascii="Times New Roman" w:hAnsi="Times New Roman"/>
                <w:sz w:val="24"/>
              </w:rPr>
              <w:t>式中：Q——汽车行驶的扬尘，kg/km·辆；</w:t>
            </w:r>
          </w:p>
          <w:p>
            <w:pPr>
              <w:spacing w:line="520" w:lineRule="exact"/>
              <w:ind w:firstLine="480" w:firstLineChars="200"/>
              <w:rPr>
                <w:rFonts w:ascii="Times New Roman" w:hAnsi="Times New Roman"/>
                <w:sz w:val="24"/>
              </w:rPr>
            </w:pPr>
            <w:r>
              <w:rPr>
                <w:rFonts w:ascii="Times New Roman" w:hAnsi="Times New Roman"/>
                <w:sz w:val="24"/>
              </w:rPr>
              <w:t xml:space="preserve">      V——汽车速度，km/h；</w:t>
            </w:r>
          </w:p>
          <w:p>
            <w:pPr>
              <w:spacing w:line="520" w:lineRule="exact"/>
              <w:ind w:firstLine="480" w:firstLineChars="200"/>
              <w:rPr>
                <w:rFonts w:ascii="Times New Roman" w:hAnsi="Times New Roman"/>
                <w:sz w:val="24"/>
              </w:rPr>
            </w:pPr>
            <w:r>
              <w:rPr>
                <w:rFonts w:ascii="Times New Roman" w:hAnsi="Times New Roman"/>
                <w:sz w:val="24"/>
              </w:rPr>
              <w:t xml:space="preserve">      W——汽车载重量，t；</w:t>
            </w:r>
          </w:p>
          <w:p>
            <w:pPr>
              <w:spacing w:line="520" w:lineRule="exact"/>
              <w:ind w:firstLine="480" w:firstLineChars="200"/>
              <w:rPr>
                <w:rFonts w:ascii="Times New Roman" w:hAnsi="Times New Roman"/>
                <w:sz w:val="24"/>
              </w:rPr>
            </w:pPr>
            <w:r>
              <w:rPr>
                <w:rFonts w:ascii="Times New Roman" w:hAnsi="Times New Roman"/>
                <w:sz w:val="24"/>
              </w:rPr>
              <w:t xml:space="preserve">      P——道路表面粉尘量，kg/m</w:t>
            </w:r>
            <w:r>
              <w:rPr>
                <w:rFonts w:ascii="Times New Roman" w:hAnsi="Times New Roman"/>
                <w:sz w:val="24"/>
                <w:vertAlign w:val="superscript"/>
              </w:rPr>
              <w:t>2</w:t>
            </w:r>
            <w:r>
              <w:rPr>
                <w:rFonts w:ascii="Times New Roman" w:hAnsi="Times New Roman"/>
                <w:sz w:val="24"/>
              </w:rPr>
              <w:t>。</w:t>
            </w:r>
          </w:p>
          <w:p>
            <w:pPr>
              <w:spacing w:line="520" w:lineRule="exact"/>
              <w:ind w:firstLine="480" w:firstLineChars="200"/>
              <w:rPr>
                <w:rFonts w:ascii="Times New Roman" w:hAnsi="Times New Roman"/>
                <w:sz w:val="24"/>
              </w:rPr>
            </w:pPr>
            <w:r>
              <w:rPr>
                <w:rFonts w:ascii="Times New Roman" w:hAnsi="Times New Roman"/>
                <w:sz w:val="24"/>
              </w:rPr>
              <w:t>依据本项目工程规模及进度，施工期车辆行驶状况为：平均每日进出工地次数为20次/日，施工期（</w:t>
            </w:r>
            <w:r>
              <w:rPr>
                <w:rFonts w:hint="eastAsia" w:ascii="Times New Roman" w:hAnsi="Times New Roman"/>
                <w:sz w:val="24"/>
                <w:lang w:val="en-US" w:eastAsia="zh-CN"/>
              </w:rPr>
              <w:t>1</w:t>
            </w:r>
            <w:r>
              <w:rPr>
                <w:rFonts w:hint="eastAsia" w:ascii="Times New Roman" w:hAnsi="Times New Roman"/>
                <w:sz w:val="24"/>
              </w:rPr>
              <w:t>个月</w:t>
            </w:r>
            <w:r>
              <w:rPr>
                <w:rFonts w:ascii="Times New Roman" w:hAnsi="Times New Roman"/>
                <w:sz w:val="24"/>
              </w:rPr>
              <w:t>）共计</w:t>
            </w:r>
            <w:r>
              <w:rPr>
                <w:rFonts w:hint="eastAsia" w:ascii="Times New Roman" w:hAnsi="Times New Roman"/>
                <w:sz w:val="24"/>
                <w:lang w:val="en-US" w:eastAsia="zh-CN"/>
              </w:rPr>
              <w:t>6</w:t>
            </w:r>
            <w:r>
              <w:rPr>
                <w:rFonts w:ascii="Times New Roman" w:hAnsi="Times New Roman"/>
                <w:sz w:val="24"/>
              </w:rPr>
              <w:t>00趟次；每趟行驶里程按0.8km计，共行驶</w:t>
            </w:r>
            <w:r>
              <w:rPr>
                <w:rFonts w:hint="eastAsia" w:ascii="Times New Roman" w:hAnsi="Times New Roman"/>
                <w:sz w:val="24"/>
                <w:lang w:val="en-US" w:eastAsia="zh-CN"/>
              </w:rPr>
              <w:t>480</w:t>
            </w:r>
            <w:r>
              <w:rPr>
                <w:rFonts w:ascii="Times New Roman" w:hAnsi="Times New Roman"/>
                <w:sz w:val="24"/>
              </w:rPr>
              <w:t>km；平均车速按15km/h计，汽车平均载重量按5t计；道路表面粉尘量按0.3kg/m</w:t>
            </w:r>
            <w:r>
              <w:rPr>
                <w:rFonts w:ascii="Times New Roman" w:hAnsi="Times New Roman"/>
                <w:sz w:val="24"/>
                <w:vertAlign w:val="superscript"/>
              </w:rPr>
              <w:t>2</w:t>
            </w:r>
            <w:r>
              <w:rPr>
                <w:rFonts w:ascii="Times New Roman" w:hAnsi="Times New Roman"/>
                <w:sz w:val="24"/>
              </w:rPr>
              <w:t>计，则整个施工期汽车道路运输扬尘产生量为</w:t>
            </w:r>
            <w:r>
              <w:rPr>
                <w:rFonts w:hint="eastAsia" w:ascii="Times New Roman" w:hAnsi="Times New Roman"/>
                <w:sz w:val="24"/>
              </w:rPr>
              <w:t>0.</w:t>
            </w:r>
            <w:r>
              <w:rPr>
                <w:rFonts w:hint="eastAsia" w:ascii="Times New Roman" w:hAnsi="Times New Roman"/>
                <w:sz w:val="24"/>
                <w:lang w:val="en-US" w:eastAsia="zh-CN"/>
              </w:rPr>
              <w:t>1</w:t>
            </w:r>
            <w:r>
              <w:rPr>
                <w:rFonts w:ascii="Times New Roman" w:hAnsi="Times New Roman"/>
                <w:sz w:val="24"/>
              </w:rPr>
              <w:t>t。根据经验常数，通常运输车辆扬尘量约占扬尘总量的60%，故在整个施工期，包括刮风等所有扬尘因素在内产生的总扬尘量约为</w:t>
            </w:r>
            <w:r>
              <w:rPr>
                <w:rFonts w:hint="eastAsia" w:ascii="Times New Roman" w:hAnsi="Times New Roman"/>
                <w:sz w:val="24"/>
              </w:rPr>
              <w:t>0.</w:t>
            </w:r>
            <w:r>
              <w:rPr>
                <w:rFonts w:hint="eastAsia" w:ascii="Times New Roman" w:hAnsi="Times New Roman"/>
                <w:sz w:val="24"/>
                <w:lang w:val="en-US" w:eastAsia="zh-CN"/>
              </w:rPr>
              <w:t>17</w:t>
            </w:r>
            <w:r>
              <w:rPr>
                <w:rFonts w:ascii="Times New Roman" w:hAnsi="Times New Roman"/>
                <w:sz w:val="24"/>
              </w:rPr>
              <w:t>t。通常扬尘集中发生在施工期土地平整和地基开挖的早期阶段，其PM</w:t>
            </w:r>
            <w:r>
              <w:rPr>
                <w:rFonts w:ascii="Times New Roman" w:hAnsi="Times New Roman"/>
                <w:sz w:val="24"/>
                <w:vertAlign w:val="subscript"/>
              </w:rPr>
              <w:t>10</w:t>
            </w:r>
            <w:r>
              <w:rPr>
                <w:rFonts w:ascii="Times New Roman" w:hAnsi="Times New Roman"/>
                <w:sz w:val="24"/>
              </w:rPr>
              <w:t>排放浓度相对较高，需要采取措施进行防治，以减少对周围环境造成影响。</w:t>
            </w:r>
          </w:p>
          <w:p>
            <w:pPr>
              <w:pStyle w:val="6"/>
              <w:keepNext/>
              <w:keepLines/>
              <w:spacing w:line="360" w:lineRule="auto"/>
              <w:outlineLvl w:val="3"/>
              <w:rPr>
                <w:rFonts w:ascii="Times New Roman" w:hAnsi="Times New Roman"/>
                <w:b/>
                <w:sz w:val="24"/>
                <w:szCs w:val="24"/>
              </w:rPr>
            </w:pPr>
            <w:r>
              <w:rPr>
                <w:rFonts w:hint="eastAsia" w:ascii="Times New Roman" w:hAnsi="Times New Roman"/>
                <w:b/>
                <w:sz w:val="24"/>
                <w:szCs w:val="24"/>
              </w:rPr>
              <w:t>噪声：</w:t>
            </w:r>
          </w:p>
          <w:p>
            <w:pPr>
              <w:spacing w:line="360" w:lineRule="auto"/>
              <w:ind w:firstLine="480" w:firstLineChars="200"/>
              <w:rPr>
                <w:rFonts w:ascii="Times New Roman" w:hAnsi="Times New Roman"/>
                <w:sz w:val="24"/>
              </w:rPr>
            </w:pPr>
            <w:r>
              <w:rPr>
                <w:rFonts w:hint="eastAsia" w:ascii="Times New Roman" w:hAnsi="Times New Roman"/>
                <w:sz w:val="24"/>
              </w:rPr>
              <w:t>施工噪声主要来自挖掘机、装载机、电锯、运输车辆等机械设备噪声，噪声具有阶段性、临时性和不固定性。根据相关资料，项目施工阶段的主要噪声源及其声级见表</w:t>
            </w:r>
            <w:r>
              <w:rPr>
                <w:rFonts w:hint="eastAsia"/>
                <w:sz w:val="24"/>
                <w:lang w:val="en-US" w:eastAsia="zh-CN"/>
              </w:rPr>
              <w:t>21</w:t>
            </w:r>
            <w:r>
              <w:rPr>
                <w:rFonts w:hint="eastAsia" w:ascii="Times New Roman" w:hAnsi="Times New Roman"/>
                <w:sz w:val="24"/>
              </w:rPr>
              <w:t>。</w:t>
            </w:r>
          </w:p>
          <w:p>
            <w:pPr>
              <w:bidi w:val="0"/>
              <w:jc w:val="center"/>
              <w:rPr>
                <w:rFonts w:ascii="Times New Roman" w:hAnsi="Times New Roman"/>
                <w:b/>
              </w:rPr>
            </w:pPr>
            <w:bookmarkStart w:id="16" w:name="_Ref431367011"/>
            <w:r>
              <w:rPr>
                <w:rFonts w:hint="eastAsia"/>
              </w:rPr>
              <w:t>表</w:t>
            </w:r>
            <w:bookmarkEnd w:id="16"/>
            <w:r>
              <w:rPr>
                <w:rFonts w:hint="eastAsia"/>
                <w:lang w:val="en-US" w:eastAsia="zh-CN"/>
              </w:rPr>
              <w:t>21</w:t>
            </w:r>
            <w:r>
              <w:rPr>
                <w:rFonts w:hint="eastAsia"/>
              </w:rPr>
              <w:t xml:space="preserve">  施工期各施工阶段噪声源</w:t>
            </w:r>
          </w:p>
          <w:tbl>
            <w:tblPr>
              <w:tblStyle w:val="20"/>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53"/>
              <w:gridCol w:w="1668"/>
              <w:gridCol w:w="1777"/>
              <w:gridCol w:w="376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516" w:hRule="atLeast"/>
                <w:tblHeader/>
                <w:jc w:val="center"/>
              </w:trPr>
              <w:tc>
                <w:tcPr>
                  <w:tcW w:w="637" w:type="pct"/>
                  <w:noWrap w:val="0"/>
                  <w:vAlign w:val="center"/>
                </w:tcPr>
                <w:p>
                  <w:pPr>
                    <w:pStyle w:val="10"/>
                    <w:bidi w:val="0"/>
                    <w:jc w:val="center"/>
                  </w:pPr>
                  <w:r>
                    <w:t>序号</w:t>
                  </w:r>
                </w:p>
              </w:tc>
              <w:tc>
                <w:tcPr>
                  <w:tcW w:w="1009" w:type="pct"/>
                  <w:noWrap w:val="0"/>
                  <w:vAlign w:val="center"/>
                </w:tcPr>
                <w:p>
                  <w:pPr>
                    <w:pStyle w:val="10"/>
                    <w:bidi w:val="0"/>
                    <w:jc w:val="center"/>
                  </w:pPr>
                  <w:r>
                    <w:t>施工阶段</w:t>
                  </w:r>
                </w:p>
              </w:tc>
              <w:tc>
                <w:tcPr>
                  <w:tcW w:w="1075" w:type="pct"/>
                  <w:noWrap w:val="0"/>
                  <w:vAlign w:val="center"/>
                </w:tcPr>
                <w:p>
                  <w:pPr>
                    <w:pStyle w:val="10"/>
                    <w:bidi w:val="0"/>
                    <w:jc w:val="center"/>
                  </w:pPr>
                  <w:r>
                    <w:t>设备</w:t>
                  </w:r>
                </w:p>
              </w:tc>
              <w:tc>
                <w:tcPr>
                  <w:tcW w:w="2277" w:type="pct"/>
                  <w:noWrap w:val="0"/>
                  <w:vAlign w:val="center"/>
                </w:tcPr>
                <w:p>
                  <w:pPr>
                    <w:pStyle w:val="10"/>
                    <w:bidi w:val="0"/>
                    <w:jc w:val="center"/>
                  </w:pPr>
                  <w:r>
                    <w:t>单机最大噪声值dB（A）（距声</w:t>
                  </w:r>
                  <w:r>
                    <w:rPr>
                      <w:rFonts w:hint="eastAsia"/>
                    </w:rPr>
                    <w:t>源</w:t>
                  </w:r>
                  <w:r>
                    <w:t>5</w:t>
                  </w:r>
                  <w:r>
                    <w:rPr>
                      <w:rFonts w:hint="eastAsia"/>
                    </w:rPr>
                    <w:t xml:space="preserve"> </w:t>
                  </w:r>
                  <w:r>
                    <w:t>m处）</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0"/>
                    <w:bidi w:val="0"/>
                    <w:jc w:val="center"/>
                  </w:pPr>
                  <w:r>
                    <w:rPr>
                      <w:rFonts w:hint="eastAsia"/>
                    </w:rPr>
                    <w:t>1</w:t>
                  </w:r>
                </w:p>
              </w:tc>
              <w:tc>
                <w:tcPr>
                  <w:tcW w:w="1009" w:type="pct"/>
                  <w:noWrap w:val="0"/>
                  <w:vAlign w:val="center"/>
                </w:tcPr>
                <w:p>
                  <w:pPr>
                    <w:pStyle w:val="10"/>
                    <w:bidi w:val="0"/>
                    <w:jc w:val="center"/>
                  </w:pPr>
                  <w:r>
                    <w:rPr>
                      <w:rFonts w:hint="eastAsia"/>
                    </w:rPr>
                    <w:t>土方</w:t>
                  </w:r>
                </w:p>
              </w:tc>
              <w:tc>
                <w:tcPr>
                  <w:tcW w:w="1075" w:type="pct"/>
                  <w:noWrap w:val="0"/>
                  <w:vAlign w:val="center"/>
                </w:tcPr>
                <w:p>
                  <w:pPr>
                    <w:pStyle w:val="10"/>
                    <w:bidi w:val="0"/>
                    <w:jc w:val="center"/>
                  </w:pPr>
                  <w:r>
                    <w:t>挖掘机</w:t>
                  </w:r>
                </w:p>
              </w:tc>
              <w:tc>
                <w:tcPr>
                  <w:tcW w:w="2277" w:type="pct"/>
                  <w:noWrap w:val="0"/>
                  <w:vAlign w:val="center"/>
                </w:tcPr>
                <w:p>
                  <w:pPr>
                    <w:pStyle w:val="10"/>
                    <w:bidi w:val="0"/>
                    <w:jc w:val="center"/>
                  </w:pPr>
                  <w:r>
                    <w:t>84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0"/>
                    <w:bidi w:val="0"/>
                    <w:jc w:val="center"/>
                  </w:pPr>
                  <w:r>
                    <w:t>2</w:t>
                  </w:r>
                </w:p>
              </w:tc>
              <w:tc>
                <w:tcPr>
                  <w:tcW w:w="1009" w:type="pct"/>
                  <w:noWrap w:val="0"/>
                  <w:vAlign w:val="center"/>
                </w:tcPr>
                <w:p>
                  <w:pPr>
                    <w:pStyle w:val="10"/>
                    <w:bidi w:val="0"/>
                    <w:jc w:val="center"/>
                  </w:pPr>
                  <w:r>
                    <w:t>土方</w:t>
                  </w:r>
                </w:p>
              </w:tc>
              <w:tc>
                <w:tcPr>
                  <w:tcW w:w="1075" w:type="pct"/>
                  <w:noWrap w:val="0"/>
                  <w:vAlign w:val="center"/>
                </w:tcPr>
                <w:p>
                  <w:pPr>
                    <w:pStyle w:val="10"/>
                    <w:bidi w:val="0"/>
                    <w:jc w:val="center"/>
                  </w:pPr>
                  <w:r>
                    <w:t>载重车</w:t>
                  </w:r>
                </w:p>
              </w:tc>
              <w:tc>
                <w:tcPr>
                  <w:tcW w:w="2277" w:type="pct"/>
                  <w:noWrap w:val="0"/>
                  <w:vAlign w:val="center"/>
                </w:tcPr>
                <w:p>
                  <w:pPr>
                    <w:pStyle w:val="10"/>
                    <w:bidi w:val="0"/>
                    <w:jc w:val="center"/>
                  </w:pPr>
                  <w:r>
                    <w:t>8</w:t>
                  </w:r>
                  <w:r>
                    <w:rPr>
                      <w:rFonts w:hint="eastAsia"/>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0"/>
                    <w:bidi w:val="0"/>
                    <w:jc w:val="center"/>
                  </w:pPr>
                  <w:r>
                    <w:t>3</w:t>
                  </w:r>
                </w:p>
              </w:tc>
              <w:tc>
                <w:tcPr>
                  <w:tcW w:w="1009" w:type="pct"/>
                  <w:noWrap w:val="0"/>
                  <w:vAlign w:val="center"/>
                </w:tcPr>
                <w:p>
                  <w:pPr>
                    <w:pStyle w:val="10"/>
                    <w:bidi w:val="0"/>
                    <w:jc w:val="center"/>
                  </w:pPr>
                  <w:r>
                    <w:t>结构</w:t>
                  </w:r>
                </w:p>
              </w:tc>
              <w:tc>
                <w:tcPr>
                  <w:tcW w:w="1075" w:type="pct"/>
                  <w:noWrap w:val="0"/>
                  <w:vAlign w:val="center"/>
                </w:tcPr>
                <w:p>
                  <w:pPr>
                    <w:pStyle w:val="10"/>
                    <w:bidi w:val="0"/>
                    <w:jc w:val="center"/>
                  </w:pPr>
                  <w:r>
                    <w:t>振捣机</w:t>
                  </w:r>
                </w:p>
              </w:tc>
              <w:tc>
                <w:tcPr>
                  <w:tcW w:w="2277" w:type="pct"/>
                  <w:noWrap w:val="0"/>
                  <w:vAlign w:val="center"/>
                </w:tcPr>
                <w:p>
                  <w:pPr>
                    <w:pStyle w:val="10"/>
                    <w:bidi w:val="0"/>
                    <w:jc w:val="center"/>
                  </w:pPr>
                  <w:r>
                    <w:t>85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0"/>
                    <w:bidi w:val="0"/>
                    <w:jc w:val="center"/>
                  </w:pPr>
                  <w:r>
                    <w:t>4</w:t>
                  </w:r>
                </w:p>
              </w:tc>
              <w:tc>
                <w:tcPr>
                  <w:tcW w:w="1009" w:type="pct"/>
                  <w:noWrap w:val="0"/>
                  <w:vAlign w:val="center"/>
                </w:tcPr>
                <w:p>
                  <w:pPr>
                    <w:pStyle w:val="10"/>
                    <w:bidi w:val="0"/>
                    <w:jc w:val="center"/>
                  </w:pPr>
                  <w:r>
                    <w:t>结构</w:t>
                  </w:r>
                </w:p>
              </w:tc>
              <w:tc>
                <w:tcPr>
                  <w:tcW w:w="1075" w:type="pct"/>
                  <w:noWrap w:val="0"/>
                  <w:vAlign w:val="center"/>
                </w:tcPr>
                <w:p>
                  <w:pPr>
                    <w:pStyle w:val="10"/>
                    <w:bidi w:val="0"/>
                    <w:jc w:val="center"/>
                  </w:pPr>
                  <w:r>
                    <w:t>装载机</w:t>
                  </w:r>
                </w:p>
              </w:tc>
              <w:tc>
                <w:tcPr>
                  <w:tcW w:w="2277" w:type="pct"/>
                  <w:noWrap w:val="0"/>
                  <w:vAlign w:val="center"/>
                </w:tcPr>
                <w:p>
                  <w:pPr>
                    <w:pStyle w:val="10"/>
                    <w:bidi w:val="0"/>
                    <w:jc w:val="center"/>
                  </w:pPr>
                  <w:r>
                    <w:rPr>
                      <w:rFonts w:hint="eastAsia"/>
                    </w:rPr>
                    <w:t>86</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0"/>
                    <w:bidi w:val="0"/>
                    <w:jc w:val="center"/>
                  </w:pPr>
                  <w:r>
                    <w:t>5</w:t>
                  </w:r>
                </w:p>
              </w:tc>
              <w:tc>
                <w:tcPr>
                  <w:tcW w:w="1009" w:type="pct"/>
                  <w:noWrap w:val="0"/>
                  <w:vAlign w:val="center"/>
                </w:tcPr>
                <w:p>
                  <w:pPr>
                    <w:pStyle w:val="10"/>
                    <w:bidi w:val="0"/>
                    <w:jc w:val="center"/>
                  </w:pPr>
                  <w:r>
                    <w:t>结构</w:t>
                  </w:r>
                </w:p>
              </w:tc>
              <w:tc>
                <w:tcPr>
                  <w:tcW w:w="1075" w:type="pct"/>
                  <w:noWrap w:val="0"/>
                  <w:vAlign w:val="center"/>
                </w:tcPr>
                <w:p>
                  <w:pPr>
                    <w:pStyle w:val="10"/>
                    <w:bidi w:val="0"/>
                    <w:jc w:val="center"/>
                  </w:pPr>
                  <w:r>
                    <w:t>电焊机</w:t>
                  </w:r>
                </w:p>
              </w:tc>
              <w:tc>
                <w:tcPr>
                  <w:tcW w:w="2277" w:type="pct"/>
                  <w:noWrap w:val="0"/>
                  <w:vAlign w:val="center"/>
                </w:tcPr>
                <w:p>
                  <w:pPr>
                    <w:pStyle w:val="10"/>
                    <w:bidi w:val="0"/>
                    <w:jc w:val="center"/>
                  </w:pPr>
                  <w:r>
                    <w:t>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637" w:type="pct"/>
                  <w:noWrap w:val="0"/>
                  <w:vAlign w:val="center"/>
                </w:tcPr>
                <w:p>
                  <w:pPr>
                    <w:pStyle w:val="10"/>
                    <w:bidi w:val="0"/>
                    <w:jc w:val="center"/>
                  </w:pPr>
                  <w:r>
                    <w:t>6</w:t>
                  </w:r>
                </w:p>
              </w:tc>
              <w:tc>
                <w:tcPr>
                  <w:tcW w:w="1009" w:type="pct"/>
                  <w:noWrap w:val="0"/>
                  <w:vAlign w:val="center"/>
                </w:tcPr>
                <w:p>
                  <w:pPr>
                    <w:pStyle w:val="10"/>
                    <w:bidi w:val="0"/>
                    <w:jc w:val="center"/>
                  </w:pPr>
                  <w:r>
                    <w:t>装修</w:t>
                  </w:r>
                </w:p>
              </w:tc>
              <w:tc>
                <w:tcPr>
                  <w:tcW w:w="1075" w:type="pct"/>
                  <w:noWrap w:val="0"/>
                  <w:vAlign w:val="center"/>
                </w:tcPr>
                <w:p>
                  <w:pPr>
                    <w:pStyle w:val="10"/>
                    <w:bidi w:val="0"/>
                    <w:jc w:val="center"/>
                  </w:pPr>
                  <w:r>
                    <w:t>电锯</w:t>
                  </w:r>
                </w:p>
              </w:tc>
              <w:tc>
                <w:tcPr>
                  <w:tcW w:w="2277" w:type="pct"/>
                  <w:noWrap w:val="0"/>
                  <w:vAlign w:val="center"/>
                </w:tcPr>
                <w:p>
                  <w:pPr>
                    <w:pStyle w:val="10"/>
                    <w:bidi w:val="0"/>
                    <w:jc w:val="center"/>
                  </w:pPr>
                  <w:r>
                    <w:t>90</w:t>
                  </w:r>
                </w:p>
              </w:tc>
            </w:tr>
          </w:tbl>
          <w:p>
            <w:pPr>
              <w:pStyle w:val="6"/>
              <w:keepNext/>
              <w:keepLines/>
              <w:spacing w:before="156" w:beforeLines="50" w:line="360" w:lineRule="auto"/>
              <w:ind w:firstLine="482" w:firstLineChars="200"/>
              <w:outlineLvl w:val="3"/>
              <w:rPr>
                <w:rFonts w:ascii="Times New Roman" w:hAnsi="Times New Roman"/>
                <w:b/>
                <w:sz w:val="24"/>
                <w:szCs w:val="24"/>
              </w:rPr>
            </w:pPr>
            <w:r>
              <w:rPr>
                <w:rFonts w:hint="eastAsia" w:ascii="Times New Roman" w:hAnsi="Times New Roman"/>
                <w:b/>
                <w:sz w:val="24"/>
                <w:szCs w:val="24"/>
              </w:rPr>
              <w:t>固体废物：</w:t>
            </w:r>
          </w:p>
          <w:p>
            <w:pPr>
              <w:spacing w:line="360" w:lineRule="auto"/>
              <w:ind w:firstLine="480" w:firstLineChars="200"/>
              <w:rPr>
                <w:rFonts w:ascii="Times New Roman" w:hAnsi="Times New Roman"/>
                <w:sz w:val="24"/>
              </w:rPr>
            </w:pPr>
            <w:r>
              <w:rPr>
                <w:rFonts w:ascii="Times New Roman" w:hAnsi="Times New Roman"/>
                <w:sz w:val="24"/>
              </w:rPr>
              <w:t>本项目施工</w:t>
            </w:r>
            <w:r>
              <w:rPr>
                <w:rFonts w:hint="eastAsia" w:ascii="Times New Roman" w:hAnsi="Times New Roman"/>
                <w:sz w:val="24"/>
              </w:rPr>
              <w:t>过程产生</w:t>
            </w:r>
            <w:r>
              <w:rPr>
                <w:rFonts w:ascii="Times New Roman" w:hAnsi="Times New Roman"/>
                <w:sz w:val="24"/>
              </w:rPr>
              <w:t>的固体废物主要为废弃土石方、建筑垃圾</w:t>
            </w:r>
            <w:r>
              <w:rPr>
                <w:rFonts w:hint="eastAsia" w:ascii="Times New Roman" w:hAnsi="Times New Roman"/>
                <w:sz w:val="24"/>
              </w:rPr>
              <w:t>以及施工人员的生活垃圾</w:t>
            </w:r>
            <w:r>
              <w:rPr>
                <w:rFonts w:ascii="Times New Roman" w:hAnsi="Times New Roman"/>
                <w:sz w:val="24"/>
              </w:rPr>
              <w:t>。</w:t>
            </w:r>
          </w:p>
          <w:p>
            <w:pPr>
              <w:spacing w:line="360" w:lineRule="auto"/>
              <w:ind w:firstLine="480" w:firstLineChars="200"/>
              <w:rPr>
                <w:rFonts w:ascii="Times New Roman" w:hAnsi="Times New Roman"/>
                <w:sz w:val="24"/>
              </w:rPr>
            </w:pPr>
            <w:r>
              <w:rPr>
                <w:rFonts w:hint="eastAsia" w:ascii="Times New Roman" w:hAnsi="Times New Roman"/>
                <w:sz w:val="24"/>
              </w:rPr>
              <w:t>（1）土石方</w:t>
            </w:r>
          </w:p>
          <w:p>
            <w:pPr>
              <w:spacing w:line="360" w:lineRule="auto"/>
              <w:ind w:firstLine="480" w:firstLineChars="200"/>
              <w:rPr>
                <w:rFonts w:ascii="Times New Roman" w:hAnsi="Times New Roman"/>
                <w:sz w:val="24"/>
              </w:rPr>
            </w:pPr>
            <w:r>
              <w:rPr>
                <w:rFonts w:hint="eastAsia" w:ascii="Times New Roman" w:hAnsi="Times New Roman"/>
                <w:sz w:val="24"/>
              </w:rPr>
              <w:t>根据现场调查，项目拟建地用地性质原为加油站，项目后续施工能够实现挖填平衡，项目无废弃土石方产生。</w:t>
            </w:r>
          </w:p>
          <w:p>
            <w:pPr>
              <w:spacing w:line="360" w:lineRule="auto"/>
              <w:ind w:firstLine="480" w:firstLineChars="200"/>
              <w:rPr>
                <w:rFonts w:ascii="Times New Roman" w:hAnsi="Times New Roman"/>
                <w:sz w:val="24"/>
              </w:rPr>
            </w:pPr>
            <w:r>
              <w:rPr>
                <w:rFonts w:hint="eastAsia" w:ascii="Times New Roman" w:hAnsi="Times New Roman"/>
                <w:sz w:val="24"/>
              </w:rPr>
              <w:t>（2）建筑垃圾</w:t>
            </w:r>
          </w:p>
          <w:p>
            <w:pPr>
              <w:spacing w:line="360" w:lineRule="auto"/>
              <w:ind w:firstLine="480" w:firstLineChars="200"/>
              <w:rPr>
                <w:rFonts w:hint="eastAsia" w:ascii="Times New Roman" w:hAnsi="Times New Roman" w:eastAsia="宋体"/>
                <w:color w:val="0070C0"/>
                <w:sz w:val="24"/>
                <w:lang w:eastAsia="zh-CN"/>
              </w:rPr>
            </w:pPr>
            <w:r>
              <w:rPr>
                <w:rFonts w:hint="eastAsia" w:ascii="Times New Roman" w:hAnsi="Times New Roman"/>
                <w:sz w:val="24"/>
              </w:rPr>
              <w:t>本项目加油棚为钢架结构棚，</w:t>
            </w:r>
            <w:r>
              <w:rPr>
                <w:rFonts w:hint="eastAsia" w:ascii="Times New Roman" w:hAnsi="Times New Roman"/>
                <w:sz w:val="24"/>
                <w:lang w:eastAsia="zh-CN"/>
              </w:rPr>
              <w:t>站房依托原有，建筑垃圾较少。</w:t>
            </w:r>
          </w:p>
          <w:p>
            <w:pPr>
              <w:spacing w:line="360" w:lineRule="auto"/>
              <w:ind w:firstLine="480" w:firstLineChars="200"/>
              <w:rPr>
                <w:rFonts w:ascii="Times New Roman" w:hAnsi="Times New Roman"/>
                <w:sz w:val="24"/>
              </w:rPr>
            </w:pPr>
            <w:r>
              <w:rPr>
                <w:rFonts w:hint="eastAsia" w:ascii="Times New Roman" w:hAnsi="Times New Roman"/>
                <w:sz w:val="24"/>
              </w:rPr>
              <w:t>（3）生活垃圾</w:t>
            </w:r>
          </w:p>
          <w:p>
            <w:pPr>
              <w:pStyle w:val="2"/>
              <w:rPr>
                <w:rFonts w:hint="default"/>
                <w:lang w:val="en-US" w:eastAsia="zh-CN"/>
              </w:rPr>
            </w:pPr>
            <w:r>
              <w:rPr>
                <w:rFonts w:hint="eastAsia" w:ascii="Times New Roman" w:hAnsi="Times New Roman"/>
                <w:sz w:val="24"/>
              </w:rPr>
              <w:t>本项目施工期不设食堂，通过外购盒饭的方式提供中餐，不提供早晚餐及住宿。项目施工人员约有</w:t>
            </w:r>
            <w:r>
              <w:rPr>
                <w:rFonts w:hint="eastAsia"/>
                <w:sz w:val="24"/>
                <w:lang w:val="en-US" w:eastAsia="zh-CN"/>
              </w:rPr>
              <w:t>6</w:t>
            </w:r>
            <w:r>
              <w:rPr>
                <w:rFonts w:hint="eastAsia" w:ascii="Times New Roman" w:hAnsi="Times New Roman"/>
                <w:sz w:val="24"/>
              </w:rPr>
              <w:t>人，生活垃圾产生量约为0.2kg/（人•天），产生垃圾量为</w:t>
            </w:r>
            <w:r>
              <w:rPr>
                <w:rFonts w:hint="eastAsia"/>
                <w:sz w:val="24"/>
                <w:lang w:val="en-US" w:eastAsia="zh-CN"/>
              </w:rPr>
              <w:t>0.12</w:t>
            </w:r>
            <w:r>
              <w:rPr>
                <w:rFonts w:hint="eastAsia" w:ascii="Times New Roman" w:hAnsi="Times New Roman"/>
                <w:sz w:val="24"/>
              </w:rPr>
              <w:t>kg/d。</w:t>
            </w:r>
          </w:p>
          <w:p>
            <w:pPr>
              <w:adjustRightInd w:val="0"/>
              <w:snapToGrid w:val="0"/>
              <w:spacing w:line="500" w:lineRule="exact"/>
              <w:ind w:firstLine="0" w:firstLineChars="0"/>
              <w:rPr>
                <w:rFonts w:ascii="Times New Roman" w:hAnsi="Times New Roman" w:eastAsia="宋体" w:cs="Times New Roman"/>
                <w:b/>
                <w:bCs/>
                <w:sz w:val="24"/>
                <w:szCs w:val="24"/>
              </w:rPr>
            </w:pPr>
            <w:r>
              <w:rPr>
                <w:rFonts w:hint="eastAsia" w:ascii="Times New Roman" w:hAnsi="Times New Roman" w:eastAsia="宋体" w:cs="Times New Roman"/>
                <w:b/>
                <w:bCs/>
                <w:sz w:val="24"/>
                <w:szCs w:val="24"/>
              </w:rPr>
              <w:t>2.2 运营期</w:t>
            </w:r>
            <w:r>
              <w:rPr>
                <w:rFonts w:ascii="Times New Roman" w:hAnsi="Times New Roman" w:eastAsia="宋体" w:cs="Times New Roman"/>
                <w:b/>
                <w:bCs/>
                <w:sz w:val="24"/>
                <w:szCs w:val="24"/>
              </w:rPr>
              <w:t>产污环节分析</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 w:val="0"/>
                <w:bCs/>
                <w:snapToGrid w:val="0"/>
                <w:color w:val="000000"/>
                <w:kern w:val="0"/>
                <w:szCs w:val="32"/>
                <w:u w:val="none"/>
              </w:rPr>
            </w:pPr>
            <w:r>
              <w:rPr>
                <w:rFonts w:hint="eastAsia" w:ascii="Times New Roman" w:hAnsi="Times New Roman" w:eastAsia="宋体" w:cs="Times New Roman"/>
                <w:b w:val="0"/>
                <w:bCs/>
                <w:snapToGrid w:val="0"/>
                <w:color w:val="000000"/>
                <w:kern w:val="0"/>
                <w:szCs w:val="32"/>
                <w:u w:val="none"/>
              </w:rPr>
              <w:t>（</w:t>
            </w:r>
            <w:r>
              <w:rPr>
                <w:rFonts w:hint="default" w:ascii="Times New Roman" w:hAnsi="Times New Roman" w:eastAsia="宋体" w:cs="Times New Roman"/>
                <w:b w:val="0"/>
                <w:bCs/>
                <w:snapToGrid w:val="0"/>
                <w:color w:val="000000"/>
                <w:kern w:val="0"/>
                <w:szCs w:val="32"/>
                <w:u w:val="none"/>
              </w:rPr>
              <w:t>1</w:t>
            </w:r>
            <w:r>
              <w:rPr>
                <w:rFonts w:hint="eastAsia" w:ascii="Times New Roman" w:hAnsi="Times New Roman" w:eastAsia="宋体" w:cs="Times New Roman"/>
                <w:b w:val="0"/>
                <w:bCs/>
                <w:snapToGrid w:val="0"/>
                <w:color w:val="000000"/>
                <w:kern w:val="0"/>
                <w:szCs w:val="32"/>
                <w:u w:val="none"/>
              </w:rPr>
              <w:t>）废气</w:t>
            </w:r>
          </w:p>
          <w:p>
            <w:pPr>
              <w:keepNext w:val="0"/>
              <w:keepLines w:val="0"/>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eastAsia="zh-CN"/>
              </w:rPr>
            </w:pPr>
            <w:r>
              <w:rPr>
                <w:rFonts w:hint="eastAsia" w:ascii="Times New Roman" w:hAnsi="Times New Roman" w:eastAsia="宋体" w:cs="Times New Roman"/>
                <w:b w:val="0"/>
                <w:bCs/>
                <w:snapToGrid w:val="0"/>
                <w:color w:val="000000"/>
                <w:kern w:val="0"/>
                <w:szCs w:val="32"/>
                <w:u w:val="none"/>
              </w:rPr>
              <w:t>本项目废气主要</w:t>
            </w:r>
            <w:r>
              <w:rPr>
                <w:rFonts w:hint="eastAsia" w:ascii="Times New Roman" w:hAnsi="Times New Roman" w:eastAsia="宋体" w:cs="Times New Roman"/>
                <w:b w:val="0"/>
                <w:bCs/>
                <w:snapToGrid w:val="0"/>
                <w:color w:val="000000"/>
                <w:kern w:val="0"/>
                <w:szCs w:val="32"/>
                <w:u w:val="none"/>
                <w:lang w:eastAsia="zh-CN"/>
              </w:rPr>
              <w:t>为加油站运营过程中，油品的储存及罐车卸油、机动车加油过程将导致有一定量的油气外逸，主要成分为烃类气体；项目建成后汽车驶入加油站会有部分汽车尾气产生，以及食堂油烟废气，其排放对周围大气环境产生的影响。</w:t>
            </w:r>
          </w:p>
          <w:p>
            <w:pPr>
              <w:keepNext w:val="0"/>
              <w:keepLines w:val="0"/>
              <w:numPr>
                <w:ilvl w:val="0"/>
                <w:numId w:val="2"/>
              </w:numPr>
              <w:suppressLineNumbers w:val="0"/>
              <w:adjustRightInd w:val="0"/>
              <w:spacing w:before="0" w:beforeAutospacing="0" w:after="0" w:afterAutospacing="0" w:line="360" w:lineRule="auto"/>
              <w:ind w:left="0" w:right="0" w:firstLine="480" w:firstLineChars="20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大小呼吸油气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储油罐在静置时，由于环境温度的变化和罐内压力的变化，使得罐内逸出的烃类气体通过灌顶的呼吸阀排入大气，这种现象称为储油罐大小呼吸。</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大呼吸是指油罐进发油时的呼吸。油罐进油时，由于油面逐渐升高，气体空间逐渐减小，罐内压力增大，当压力超过呼吸阀控制压力时，一定浓度的油蒸气开始从呼吸阀呼出，造成油品的蒸发损失。储油罐向外发油时，由于油面不断降低，气体空间逐渐减小，罐内压力减小，当压力小于呼吸阀控制真空度时，储油罐开始吸入新鲜空气，由于油面上方油气没有达到饱和，促使油品蒸发加速，使其重新达到饱和，罐内压力再次上升，造成部分油蒸气从呼吸阀呼出。</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000000"/>
                <w:kern w:val="0"/>
                <w:szCs w:val="32"/>
                <w:u w:val="none"/>
                <w:lang w:val="en-US" w:eastAsia="zh-CN"/>
              </w:rPr>
            </w:pPr>
            <w:r>
              <w:rPr>
                <w:rFonts w:hint="eastAsia" w:ascii="Times New Roman" w:hAnsi="Times New Roman" w:eastAsia="宋体" w:cs="Times New Roman"/>
                <w:b w:val="0"/>
                <w:bCs/>
                <w:snapToGrid w:val="0"/>
                <w:color w:val="000000"/>
                <w:kern w:val="0"/>
                <w:szCs w:val="32"/>
                <w:u w:val="none"/>
                <w:lang w:val="en-US" w:eastAsia="zh-CN"/>
              </w:rPr>
              <w:t>小呼吸损失是指油罐在没有收发油作业的情况下，随着外界气温、压力在一天内的升降周期变化，罐内气体空间温度、油品蒸发速度、油气浓度和蒸汽压力也随之变化。这种排出油蒸汽和吸入空气的过程所造成的油气损失。</w:t>
            </w:r>
          </w:p>
          <w:p>
            <w:pPr>
              <w:keepNext w:val="0"/>
              <w:keepLines w:val="0"/>
              <w:numPr>
                <w:ilvl w:val="0"/>
                <w:numId w:val="2"/>
              </w:numPr>
              <w:suppressLineNumbers w:val="0"/>
              <w:adjustRightInd w:val="0"/>
              <w:spacing w:before="0" w:beforeAutospacing="0" w:after="0" w:afterAutospacing="0" w:line="360" w:lineRule="auto"/>
              <w:ind w:left="0" w:leftChars="0" w:right="0" w:firstLine="480" w:firstLineChars="200"/>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汽车加油作业损失油气</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pP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加油作业损失主要指为车辆加油时，油品进入汽车油箱，油箱内的烃类气体被油品置换排入大气。</w:t>
            </w:r>
            <w:r>
              <w:rPr>
                <w:rFonts w:hint="eastAsia" w:ascii="Times New Roman" w:hAnsi="Times New Roman" w:eastAsia="宋体" w:cs="Times New Roman"/>
                <w:b w:val="0"/>
                <w:bCs/>
                <w:snapToGrid w:val="0"/>
                <w:color w:val="000000" w:themeColor="text1"/>
                <w:kern w:val="0"/>
                <w:szCs w:val="32"/>
                <w:highlight w:val="none"/>
                <w:u w:val="none"/>
                <w:lang w:eastAsia="zh-CN"/>
                <w14:textFill>
                  <w14:solidFill>
                    <w14:schemeClr w14:val="tx1"/>
                  </w14:solidFill>
                </w14:textFill>
              </w:rPr>
              <w:t>《中国加油站</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VOC排放污染现状及控制》，未安装油气回收装置的汽油加油机、柴油加油机在进行加油时，VOC（本项目中VOC主要为非甲烷总烃）排放因子分别为2.49kg/t、</w:t>
            </w:r>
            <w:r>
              <w:rPr>
                <w:rFonts w:hint="eastAsia" w:cs="Times New Roman"/>
                <w:b w:val="0"/>
                <w:bCs/>
                <w:snapToGrid w:val="0"/>
                <w:color w:val="000000" w:themeColor="text1"/>
                <w:kern w:val="0"/>
                <w:szCs w:val="32"/>
                <w:highlight w:val="none"/>
                <w:u w:val="none"/>
                <w:lang w:val="en-US" w:eastAsia="zh-CN"/>
                <w14:textFill>
                  <w14:solidFill>
                    <w14:schemeClr w14:val="tx1"/>
                  </w14:solidFill>
                </w14:textFill>
              </w:rPr>
              <w:t>0.192</w:t>
            </w:r>
            <w:r>
              <w:rPr>
                <w:rFonts w:hint="eastAsia" w:ascii="Times New Roman" w:hAnsi="Times New Roman" w:eastAsia="宋体" w:cs="Times New Roman"/>
                <w:b w:val="0"/>
                <w:bCs/>
                <w:snapToGrid w:val="0"/>
                <w:color w:val="000000" w:themeColor="text1"/>
                <w:kern w:val="0"/>
                <w:szCs w:val="32"/>
                <w:highlight w:val="none"/>
                <w:u w:val="none"/>
                <w:lang w:val="en-US" w:eastAsia="zh-CN"/>
                <w14:textFill>
                  <w14:solidFill>
                    <w14:schemeClr w14:val="tx1"/>
                  </w14:solidFill>
                </w14:textFill>
              </w:rPr>
              <w:t>kg/t</w:t>
            </w:r>
            <w:r>
              <w:rPr>
                <w:rFonts w:hint="eastAsia" w:ascii="Times New Roman" w:hAnsi="Times New Roman" w:cs="Times New Roman"/>
                <w:b w:val="0"/>
                <w:bCs/>
                <w:snapToGrid w:val="0"/>
                <w:color w:val="000000" w:themeColor="text1"/>
                <w:kern w:val="0"/>
                <w:szCs w:val="32"/>
                <w:highlight w:val="none"/>
                <w:u w:val="none"/>
                <w:lang w:val="en-US" w:eastAsia="zh-CN"/>
                <w14:textFill>
                  <w14:solidFill>
                    <w14:schemeClr w14:val="tx1"/>
                  </w14:solidFill>
                </w14:textFill>
              </w:rPr>
              <w:t>。</w:t>
            </w:r>
          </w:p>
          <w:p>
            <w:pPr>
              <w:keepNext w:val="0"/>
              <w:keepLines w:val="0"/>
              <w:numPr>
                <w:ilvl w:val="0"/>
                <w:numId w:val="0"/>
              </w:numPr>
              <w:suppressLineNumbers w:val="0"/>
              <w:adjustRightInd w:val="0"/>
              <w:spacing w:before="0" w:beforeAutospacing="0" w:after="0" w:afterAutospacing="0" w:line="360" w:lineRule="auto"/>
              <w:ind w:left="0" w:right="0" w:firstLine="480" w:firstLineChars="0"/>
              <w:rPr>
                <w:rFonts w:hint="eastAsia" w:ascii="Times New Roman" w:hAnsi="Times New Roman" w:eastAsia="宋体" w:cs="Times New Roman"/>
                <w:b w:val="0"/>
                <w:bCs/>
                <w:snapToGrid w:val="0"/>
                <w:color w:val="auto"/>
                <w:kern w:val="0"/>
                <w:szCs w:val="32"/>
                <w:highlight w:val="none"/>
                <w:u w:val="none"/>
                <w:lang w:val="en-US" w:eastAsia="zh-CN"/>
              </w:rPr>
            </w:pPr>
            <w:r>
              <w:rPr>
                <w:rFonts w:hint="eastAsia" w:ascii="Times New Roman" w:hAnsi="Times New Roman" w:eastAsia="宋体" w:cs="Times New Roman"/>
                <w:b w:val="0"/>
                <w:bCs/>
                <w:snapToGrid w:val="0"/>
                <w:color w:val="auto"/>
                <w:kern w:val="0"/>
                <w:szCs w:val="32"/>
                <w:highlight w:val="none"/>
                <w:u w:val="none"/>
                <w:lang w:val="en-US" w:eastAsia="zh-CN"/>
              </w:rPr>
              <w:t>油气回收系统针对汽油油气回收，其作用是将加油站在卸油、储油和加油过程中产生的油气，通过密闭收集、储存和送入油罐汽车的罐内，运送到储油库集中回收。本项目加油站采用地埋式储油罐，卸油方式为密闭卸油，密闭性较好。为减少加油站卸油、储油过程造成的非甲烷总烃无组织排放，项目采取以密闭收集为基础的油气回收系统，</w:t>
            </w:r>
            <w:r>
              <w:rPr>
                <w:rFonts w:hint="eastAsia" w:ascii="Times New Roman" w:hAnsi="Times New Roman" w:eastAsia="宋体" w:cs="Times New Roman"/>
                <w:b w:val="0"/>
                <w:bCs/>
                <w:snapToGrid w:val="0"/>
                <w:color w:val="auto"/>
                <w:kern w:val="0"/>
                <w:szCs w:val="32"/>
                <w:highlight w:val="none"/>
                <w:u w:val="none"/>
                <w:lang w:val="zh-CN" w:eastAsia="zh-CN"/>
              </w:rPr>
              <w:t>本站设卸油油气回收、分散式加油油气回收系统。柴油系统预留加油、卸油油气回收管线；</w:t>
            </w:r>
            <w:r>
              <w:rPr>
                <w:rFonts w:hint="eastAsia" w:ascii="Times New Roman" w:hAnsi="Times New Roman" w:eastAsia="宋体" w:cs="Times New Roman"/>
                <w:b w:val="0"/>
                <w:bCs/>
                <w:snapToGrid w:val="0"/>
                <w:color w:val="auto"/>
                <w:kern w:val="0"/>
                <w:szCs w:val="32"/>
                <w:highlight w:val="none"/>
                <w:u w:val="none"/>
                <w:lang w:val="en-US" w:eastAsia="zh-CN"/>
              </w:rPr>
              <w:t>卸油油气回收系统(一次油气回收)、加油油气回收系统(二次油气回收)。</w:t>
            </w:r>
          </w:p>
          <w:p>
            <w:pPr>
              <w:keepNext w:val="0"/>
              <w:keepLines w:val="0"/>
              <w:widowControl w:val="0"/>
              <w:numPr>
                <w:ilvl w:val="0"/>
                <w:numId w:val="2"/>
              </w:numPr>
              <w:suppressLineNumbers w:val="0"/>
              <w:autoSpaceDE w:val="0"/>
              <w:autoSpaceDN w:val="0"/>
              <w:adjustRightInd w:val="0"/>
              <w:spacing w:before="0" w:beforeAutospacing="0" w:after="0" w:afterAutospacing="0"/>
              <w:ind w:left="0" w:leftChars="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汽车尾气</w:t>
            </w:r>
          </w:p>
          <w:p>
            <w:pPr>
              <w:keepNext w:val="0"/>
              <w:keepLines w:val="0"/>
              <w:suppressLineNumbers w:val="0"/>
              <w:adjustRightInd w:val="0"/>
              <w:spacing w:before="0" w:beforeAutospacing="0" w:after="0" w:afterAutospacing="0" w:line="520" w:lineRule="exact"/>
              <w:ind w:left="0" w:right="0" w:firstLine="480" w:firstLineChars="200"/>
              <w:rPr>
                <w:rFonts w:hint="eastAsia" w:ascii="Times New Roman" w:hAnsi="Times New Roman" w:eastAsia="宋体" w:cs="Times New Roman"/>
                <w:bCs/>
                <w:color w:val="auto"/>
                <w:kern w:val="2"/>
                <w:sz w:val="24"/>
                <w:szCs w:val="21"/>
                <w:lang w:val="en-US" w:eastAsia="zh-CN" w:bidi="ar-SA"/>
              </w:rPr>
            </w:pPr>
            <w:r>
              <w:rPr>
                <w:rFonts w:hint="eastAsia" w:ascii="Times New Roman" w:hAnsi="Times New Roman" w:eastAsia="宋体" w:cs="Times New Roman"/>
                <w:bCs/>
                <w:color w:val="auto"/>
                <w:kern w:val="2"/>
                <w:sz w:val="24"/>
                <w:szCs w:val="21"/>
                <w:lang w:val="en-US" w:eastAsia="zh-CN" w:bidi="ar-SA"/>
              </w:rPr>
              <w:t>汽车在建设项目区域内行驶将会有少量的HC、CO、NOx产生，对周围大气环境将产生一定量的影响。</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auto"/>
                <w:kern w:val="0"/>
                <w:szCs w:val="32"/>
              </w:rPr>
            </w:pPr>
            <w:r>
              <w:rPr>
                <w:rFonts w:hint="eastAsia" w:ascii="Times New Roman" w:hAnsi="Times New Roman" w:eastAsia="宋体" w:cs="Times New Roman"/>
                <w:bCs/>
                <w:snapToGrid w:val="0"/>
                <w:color w:val="auto"/>
                <w:kern w:val="0"/>
                <w:szCs w:val="32"/>
              </w:rPr>
              <w:t>（</w:t>
            </w:r>
            <w:r>
              <w:rPr>
                <w:rFonts w:hint="default" w:ascii="Times New Roman" w:hAnsi="Times New Roman" w:eastAsia="宋体" w:cs="Times New Roman"/>
                <w:bCs/>
                <w:snapToGrid w:val="0"/>
                <w:color w:val="auto"/>
                <w:kern w:val="0"/>
                <w:szCs w:val="32"/>
              </w:rPr>
              <w:t>2</w:t>
            </w:r>
            <w:r>
              <w:rPr>
                <w:rFonts w:hint="eastAsia" w:ascii="Times New Roman" w:hAnsi="Times New Roman" w:eastAsia="宋体" w:cs="Times New Roman"/>
                <w:bCs/>
                <w:snapToGrid w:val="0"/>
                <w:color w:val="auto"/>
                <w:kern w:val="0"/>
                <w:szCs w:val="32"/>
              </w:rPr>
              <w:t>）废水</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color w:val="auto"/>
                <w:szCs w:val="21"/>
              </w:rPr>
            </w:pPr>
            <w:r>
              <w:rPr>
                <w:rFonts w:hint="eastAsia" w:ascii="Times New Roman" w:hAnsi="Times New Roman" w:eastAsia="宋体" w:cs="Times New Roman"/>
                <w:bCs/>
                <w:color w:val="auto"/>
                <w:szCs w:val="21"/>
                <w:lang w:eastAsia="zh-CN"/>
              </w:rPr>
              <w:t>本项目</w:t>
            </w:r>
            <w:r>
              <w:rPr>
                <w:rFonts w:hint="eastAsia" w:ascii="Times New Roman" w:hAnsi="Times New Roman" w:eastAsia="宋体" w:cs="Times New Roman"/>
                <w:bCs/>
                <w:color w:val="auto"/>
                <w:szCs w:val="21"/>
              </w:rPr>
              <w:t>产生废水主要为站区内职工</w:t>
            </w:r>
            <w:r>
              <w:rPr>
                <w:rFonts w:hint="eastAsia" w:ascii="Times New Roman" w:hAnsi="Times New Roman" w:eastAsia="宋体" w:cs="Times New Roman"/>
                <w:bCs/>
                <w:color w:val="auto"/>
                <w:szCs w:val="21"/>
                <w:lang w:eastAsia="zh-CN"/>
              </w:rPr>
              <w:t>、</w:t>
            </w:r>
            <w:r>
              <w:rPr>
                <w:rFonts w:hint="eastAsia" w:ascii="Times New Roman" w:hAnsi="Times New Roman" w:eastAsia="宋体" w:cs="Times New Roman"/>
                <w:color w:val="auto"/>
                <w:szCs w:val="21"/>
              </w:rPr>
              <w:t>本项目劳动定员</w:t>
            </w:r>
            <w:r>
              <w:rPr>
                <w:rFonts w:hint="eastAsia" w:cs="Times New Roman"/>
                <w:color w:val="auto"/>
                <w:szCs w:val="21"/>
                <w:lang w:val="en-US" w:eastAsia="zh-CN"/>
              </w:rPr>
              <w:t>6</w:t>
            </w:r>
            <w:r>
              <w:rPr>
                <w:rFonts w:hint="eastAsia" w:ascii="Times New Roman" w:hAnsi="Times New Roman" w:eastAsia="宋体" w:cs="Times New Roman"/>
                <w:color w:val="auto"/>
                <w:szCs w:val="21"/>
              </w:rPr>
              <w:t>人，年有效工作时间为</w:t>
            </w:r>
            <w:r>
              <w:rPr>
                <w:rFonts w:hint="default" w:ascii="Times New Roman" w:hAnsi="Times New Roman" w:eastAsia="宋体" w:cs="Times New Roman"/>
                <w:color w:val="auto"/>
                <w:szCs w:val="21"/>
              </w:rPr>
              <w:t>3</w:t>
            </w:r>
            <w:r>
              <w:rPr>
                <w:rFonts w:hint="eastAsia" w:ascii="Times New Roman" w:hAnsi="Times New Roman" w:eastAsia="宋体" w:cs="Times New Roman"/>
                <w:color w:val="auto"/>
                <w:szCs w:val="21"/>
                <w:lang w:val="en-US" w:eastAsia="zh-CN"/>
              </w:rPr>
              <w:t>65</w:t>
            </w:r>
            <w:r>
              <w:rPr>
                <w:rFonts w:hint="eastAsia" w:ascii="Times New Roman" w:hAnsi="Times New Roman" w:eastAsia="宋体" w:cs="Times New Roman"/>
                <w:color w:val="auto"/>
                <w:szCs w:val="21"/>
              </w:rPr>
              <w:t>天</w:t>
            </w:r>
            <w:r>
              <w:rPr>
                <w:rFonts w:hint="eastAsia" w:ascii="Times New Roman" w:hAnsi="Times New Roman" w:eastAsia="宋体" w:cs="Times New Roman"/>
                <w:color w:val="auto"/>
                <w:szCs w:val="24"/>
              </w:rPr>
              <w:t>。</w:t>
            </w:r>
            <w:r>
              <w:rPr>
                <w:rFonts w:hint="eastAsia" w:ascii="Times New Roman" w:hAnsi="Times New Roman" w:eastAsia="宋体" w:cs="Times New Roman"/>
                <w:color w:val="auto"/>
                <w:szCs w:val="24"/>
                <w:lang w:eastAsia="zh-CN"/>
              </w:rPr>
              <w:t>职工生活用水量按</w:t>
            </w:r>
            <w:r>
              <w:rPr>
                <w:rFonts w:hint="eastAsia" w:ascii="Times New Roman" w:hAnsi="Times New Roman" w:eastAsia="宋体" w:cs="Times New Roman"/>
                <w:color w:val="auto"/>
                <w:szCs w:val="24"/>
                <w:lang w:val="en-US" w:eastAsia="zh-CN"/>
              </w:rPr>
              <w:t>40L/（人·d）计，</w:t>
            </w:r>
            <w:r>
              <w:rPr>
                <w:rFonts w:hint="eastAsia" w:ascii="Times New Roman" w:hAnsi="Times New Roman" w:eastAsia="宋体" w:cs="Times New Roman"/>
                <w:color w:val="auto"/>
                <w:szCs w:val="24"/>
              </w:rPr>
              <w:t>项目生活用水及产污情况如下：</w:t>
            </w:r>
          </w:p>
          <w:p>
            <w:pPr>
              <w:keepNext w:val="0"/>
              <w:keepLines w:val="0"/>
              <w:suppressLineNumbers w:val="0"/>
              <w:adjustRightInd w:val="0"/>
              <w:snapToGrid w:val="0"/>
              <w:spacing w:before="0" w:beforeAutospacing="0" w:after="0" w:afterAutospacing="0" w:line="240" w:lineRule="auto"/>
              <w:ind w:left="0" w:right="0" w:firstLine="480" w:firstLineChars="200"/>
              <w:jc w:val="center"/>
              <w:rPr>
                <w:rFonts w:hint="default" w:ascii="Times New Roman" w:hAnsi="Times New Roman" w:eastAsia="宋体" w:cs="Times New Roman"/>
                <w:color w:val="auto"/>
                <w:szCs w:val="21"/>
              </w:rPr>
            </w:pPr>
            <w:r>
              <w:rPr>
                <w:rFonts w:hint="eastAsia" w:ascii="Times New Roman" w:hAnsi="Times New Roman" w:eastAsia="宋体" w:cs="Times New Roman"/>
                <w:color w:val="auto"/>
                <w:szCs w:val="21"/>
              </w:rPr>
              <w:t>表</w:t>
            </w:r>
            <w:r>
              <w:rPr>
                <w:rFonts w:hint="eastAsia" w:cs="Times New Roman"/>
                <w:color w:val="auto"/>
                <w:szCs w:val="21"/>
                <w:lang w:val="en-US" w:eastAsia="zh-CN"/>
              </w:rPr>
              <w:t>22</w:t>
            </w:r>
            <w:r>
              <w:rPr>
                <w:rFonts w:hint="default" w:ascii="Times New Roman" w:hAnsi="Times New Roman" w:eastAsia="宋体" w:cs="Times New Roman"/>
                <w:color w:val="auto"/>
                <w:szCs w:val="21"/>
              </w:rPr>
              <w:t xml:space="preserve"> </w:t>
            </w:r>
            <w:r>
              <w:rPr>
                <w:rFonts w:hint="eastAsia" w:ascii="Times New Roman" w:hAnsi="Times New Roman" w:eastAsia="宋体" w:cs="Times New Roman"/>
                <w:color w:val="auto"/>
                <w:szCs w:val="21"/>
              </w:rPr>
              <w:t xml:space="preserve">             项目生活用水及产污情况一览表</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8"/>
              <w:gridCol w:w="1338"/>
              <w:gridCol w:w="1082"/>
              <w:gridCol w:w="1437"/>
              <w:gridCol w:w="1002"/>
              <w:gridCol w:w="1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用水单元</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用水指标</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L</w:t>
                  </w:r>
                  <w:r>
                    <w:rPr>
                      <w:rFonts w:hint="default" w:ascii="Times New Roman" w:hAnsi="Times New Roman" w:eastAsia="宋体" w:cs="Times New Roman"/>
                      <w:color w:val="auto"/>
                      <w:sz w:val="21"/>
                      <w:szCs w:val="21"/>
                      <w:lang w:eastAsia="zh-CN"/>
                    </w:rPr>
                    <w:t>）</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人数</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用水量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c>
                <w:tcPr>
                  <w:tcW w:w="6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产污</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系数</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废水量</w:t>
                  </w:r>
                </w:p>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eastAsia="zh-CN"/>
                    </w:rPr>
                    <w:t>m³</w:t>
                  </w:r>
                  <w:r>
                    <w:rPr>
                      <w:rFonts w:hint="default" w:ascii="Times New Roman" w:hAnsi="Times New Roman" w:eastAsia="宋体" w:cs="Times New Roman"/>
                      <w:color w:val="auto"/>
                      <w:sz w:val="21"/>
                      <w:szCs w:val="21"/>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eastAsia="zh-CN"/>
                    </w:rPr>
                    <w:t>生活用水</w:t>
                  </w:r>
                </w:p>
              </w:tc>
              <w:tc>
                <w:tcPr>
                  <w:tcW w:w="8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40</w:t>
                  </w:r>
                </w:p>
              </w:tc>
              <w:tc>
                <w:tcPr>
                  <w:tcW w:w="65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w:t>
                  </w:r>
                </w:p>
              </w:tc>
              <w:tc>
                <w:tcPr>
                  <w:tcW w:w="8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24</w:t>
                  </w:r>
                </w:p>
              </w:tc>
              <w:tc>
                <w:tcPr>
                  <w:tcW w:w="606" w:type="pct"/>
                  <w:tcBorders>
                    <w:top w:val="single" w:color="auto" w:sz="4" w:space="0"/>
                    <w:left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0.8</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合计</w:t>
                  </w:r>
                </w:p>
              </w:tc>
              <w:tc>
                <w:tcPr>
                  <w:tcW w:w="80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654"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c>
                <w:tcPr>
                  <w:tcW w:w="869"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24</w:t>
                  </w:r>
                </w:p>
              </w:tc>
              <w:tc>
                <w:tcPr>
                  <w:tcW w:w="606" w:type="pct"/>
                  <w:tcBorders>
                    <w:top w:val="single" w:color="auto" w:sz="4" w:space="0"/>
                    <w:left w:val="single" w:color="auto" w:sz="4" w:space="0"/>
                    <w:bottom w:val="single" w:color="auto" w:sz="2" w:space="0"/>
                    <w:right w:val="single" w:color="auto" w:sz="4"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c>
                <w:tcPr>
                  <w:tcW w:w="114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adjustRightInd w:val="0"/>
                    <w:snapToGrid w:val="0"/>
                    <w:spacing w:before="0" w:beforeAutospacing="0" w:after="0" w:afterAutospacing="0" w:line="240" w:lineRule="atLeast"/>
                    <w:ind w:left="0" w:right="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w:t>
                  </w:r>
                  <w:r>
                    <w:rPr>
                      <w:rFonts w:hint="eastAsia" w:cs="Times New Roman"/>
                      <w:color w:val="auto"/>
                      <w:sz w:val="21"/>
                      <w:szCs w:val="21"/>
                      <w:lang w:val="en-US" w:eastAsia="zh-CN"/>
                    </w:rPr>
                    <w:t>19</w:t>
                  </w:r>
                </w:p>
              </w:tc>
            </w:tr>
          </w:tbl>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rPr>
            </w:pPr>
            <w:r>
              <w:rPr>
                <w:rFonts w:hint="default" w:ascii="Times New Roman" w:hAnsi="Times New Roman" w:eastAsia="宋体" w:cs="Times New Roman"/>
                <w:b w:val="0"/>
                <w:bCs/>
                <w:snapToGrid w:val="0"/>
                <w:color w:val="auto"/>
                <w:kern w:val="0"/>
                <w:szCs w:val="32"/>
                <w:u w:val="none"/>
              </w:rPr>
              <w:t>则项目</w:t>
            </w:r>
            <w:r>
              <w:rPr>
                <w:rFonts w:hint="default" w:ascii="Times New Roman" w:hAnsi="Times New Roman" w:eastAsia="宋体" w:cs="Times New Roman"/>
                <w:b w:val="0"/>
                <w:bCs/>
                <w:snapToGrid w:val="0"/>
                <w:color w:val="auto"/>
                <w:kern w:val="0"/>
                <w:szCs w:val="32"/>
                <w:u w:val="none"/>
                <w:lang w:eastAsia="zh-CN"/>
              </w:rPr>
              <w:t>员工生活</w:t>
            </w:r>
            <w:r>
              <w:rPr>
                <w:rFonts w:hint="default" w:ascii="Times New Roman" w:hAnsi="Times New Roman" w:eastAsia="宋体" w:cs="Times New Roman"/>
                <w:b w:val="0"/>
                <w:bCs/>
                <w:snapToGrid w:val="0"/>
                <w:color w:val="auto"/>
                <w:kern w:val="0"/>
                <w:szCs w:val="32"/>
                <w:u w:val="none"/>
              </w:rPr>
              <w:t>用水量为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/a)，废水产生量为</w:t>
            </w:r>
            <w:r>
              <w:rPr>
                <w:rFonts w:hint="default" w:ascii="Times New Roman" w:hAnsi="Times New Roman" w:cs="Times New Roman"/>
                <w:b w:val="0"/>
                <w:bCs/>
                <w:snapToGrid w:val="0"/>
                <w:color w:val="auto"/>
                <w:kern w:val="0"/>
                <w:szCs w:val="32"/>
                <w:u w:val="none"/>
                <w:lang w:val="en-US" w:eastAsia="zh-CN"/>
              </w:rPr>
              <w:t>0.</w:t>
            </w:r>
            <w:r>
              <w:rPr>
                <w:rFonts w:hint="eastAsia" w:cs="Times New Roman"/>
                <w:b w:val="0"/>
                <w:bCs/>
                <w:snapToGrid w:val="0"/>
                <w:color w:val="auto"/>
                <w:kern w:val="0"/>
                <w:szCs w:val="32"/>
                <w:u w:val="none"/>
                <w:lang w:val="en-US" w:eastAsia="zh-CN"/>
              </w:rPr>
              <w:t>19</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39.4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项目生活用水总量为</w:t>
            </w:r>
            <w:r>
              <w:rPr>
                <w:rFonts w:hint="eastAsia" w:cs="Times New Roman"/>
                <w:b w:val="0"/>
                <w:bCs/>
                <w:snapToGrid w:val="0"/>
                <w:color w:val="auto"/>
                <w:kern w:val="0"/>
                <w:szCs w:val="32"/>
                <w:u w:val="none"/>
                <w:lang w:val="en-US" w:eastAsia="zh-CN"/>
              </w:rPr>
              <w:t>0.24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87.6</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r>
              <w:rPr>
                <w:rFonts w:hint="default" w:ascii="Times New Roman" w:hAnsi="Times New Roman" w:eastAsia="宋体" w:cs="Times New Roman"/>
                <w:b w:val="0"/>
                <w:bCs/>
                <w:snapToGrid w:val="0"/>
                <w:color w:val="auto"/>
                <w:kern w:val="0"/>
                <w:szCs w:val="32"/>
                <w:highlight w:val="none"/>
                <w:u w:val="none"/>
              </w:rPr>
              <w:t>，项目生活污水总产生量为</w:t>
            </w:r>
            <w:r>
              <w:rPr>
                <w:rFonts w:hint="default" w:ascii="Times New Roman" w:hAnsi="Times New Roman" w:cs="Times New Roman"/>
                <w:b w:val="0"/>
                <w:bCs/>
                <w:snapToGrid w:val="0"/>
                <w:color w:val="auto"/>
                <w:kern w:val="0"/>
                <w:szCs w:val="32"/>
                <w:u w:val="none"/>
                <w:lang w:val="en-US" w:eastAsia="zh-CN"/>
              </w:rPr>
              <w:t>0.32</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/d(</w:t>
            </w:r>
            <w:r>
              <w:rPr>
                <w:rFonts w:hint="eastAsia" w:cs="Times New Roman"/>
                <w:b w:val="0"/>
                <w:bCs/>
                <w:snapToGrid w:val="0"/>
                <w:color w:val="auto"/>
                <w:kern w:val="0"/>
                <w:szCs w:val="32"/>
                <w:u w:val="none"/>
                <w:lang w:val="en-US" w:eastAsia="zh-CN"/>
              </w:rPr>
              <w:t>39.4</w:t>
            </w:r>
            <w:r>
              <w:rPr>
                <w:rFonts w:hint="default" w:ascii="Times New Roman" w:hAnsi="Times New Roman" w:eastAsia="宋体" w:cs="Times New Roman"/>
                <w:b w:val="0"/>
                <w:bCs/>
                <w:snapToGrid w:val="0"/>
                <w:color w:val="auto"/>
                <w:kern w:val="0"/>
                <w:szCs w:val="32"/>
                <w:u w:val="none"/>
                <w:lang w:eastAsia="zh-CN"/>
              </w:rPr>
              <w:t>m³</w:t>
            </w:r>
            <w:r>
              <w:rPr>
                <w:rFonts w:hint="default" w:ascii="Times New Roman" w:hAnsi="Times New Roman" w:eastAsia="宋体" w:cs="Times New Roman"/>
                <w:b w:val="0"/>
                <w:bCs/>
                <w:snapToGrid w:val="0"/>
                <w:color w:val="auto"/>
                <w:kern w:val="0"/>
                <w:szCs w:val="32"/>
                <w:u w:val="none"/>
              </w:rPr>
              <w:t>/a)。</w:t>
            </w:r>
          </w:p>
          <w:p>
            <w:pPr>
              <w:keepNext w:val="0"/>
              <w:keepLines w:val="0"/>
              <w:suppressLineNumbers w:val="0"/>
              <w:adjustRightInd w:val="0"/>
              <w:spacing w:before="0" w:beforeAutospacing="0" w:after="0" w:afterAutospacing="0" w:line="360" w:lineRule="auto"/>
              <w:ind w:left="0" w:right="0" w:firstLine="480" w:firstLineChars="200"/>
              <w:rPr>
                <w:rFonts w:hint="default" w:ascii="Times New Roman" w:hAnsi="Times New Roman" w:eastAsia="宋体" w:cs="Times New Roman"/>
                <w:bCs/>
                <w:snapToGrid w:val="0"/>
                <w:color w:val="000000"/>
                <w:kern w:val="0"/>
                <w:szCs w:val="32"/>
              </w:rPr>
            </w:pPr>
            <w:r>
              <w:rPr>
                <w:rFonts w:hint="eastAsia" w:ascii="Times New Roman" w:hAnsi="Times New Roman" w:eastAsia="宋体" w:cs="Times New Roman"/>
                <w:bCs/>
                <w:snapToGrid w:val="0"/>
                <w:color w:val="000000"/>
                <w:kern w:val="0"/>
                <w:szCs w:val="32"/>
              </w:rPr>
              <w:t>（</w:t>
            </w:r>
            <w:r>
              <w:rPr>
                <w:rFonts w:hint="default" w:ascii="Times New Roman" w:hAnsi="Times New Roman" w:eastAsia="宋体" w:cs="Times New Roman"/>
                <w:bCs/>
                <w:snapToGrid w:val="0"/>
                <w:color w:val="000000"/>
                <w:kern w:val="0"/>
                <w:szCs w:val="32"/>
              </w:rPr>
              <w:t>3</w:t>
            </w:r>
            <w:r>
              <w:rPr>
                <w:rFonts w:hint="eastAsia" w:ascii="Times New Roman" w:hAnsi="Times New Roman" w:eastAsia="宋体" w:cs="Times New Roman"/>
                <w:bCs/>
                <w:snapToGrid w:val="0"/>
                <w:color w:val="000000"/>
                <w:kern w:val="0"/>
                <w:szCs w:val="32"/>
              </w:rPr>
              <w:t>）噪声</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leftChars="0" w:right="0" w:rightChars="0" w:firstLine="480" w:firstLineChars="200"/>
              <w:jc w:val="both"/>
              <w:textAlignment w:val="auto"/>
              <w:outlineLvl w:val="9"/>
              <w:rPr>
                <w:rFonts w:hint="default" w:ascii="Times New Roman" w:hAnsi="Times New Roman" w:eastAsia="宋体" w:cs="Times New Roman"/>
                <w:color w:val="000000"/>
                <w:szCs w:val="20"/>
              </w:rPr>
            </w:pPr>
            <w:r>
              <w:rPr>
                <w:rFonts w:hint="eastAsia" w:ascii="Times New Roman" w:hAnsi="Times New Roman" w:eastAsia="宋体" w:cs="Times New Roman"/>
                <w:bCs/>
                <w:snapToGrid w:val="0"/>
                <w:color w:val="000000"/>
                <w:kern w:val="0"/>
                <w:szCs w:val="32"/>
              </w:rPr>
              <w:t>本项目噪声污染源主要为站区内加油机运行噪声以及车辆进出加油站行驶噪声。加油机</w:t>
            </w:r>
            <w:r>
              <w:rPr>
                <w:rFonts w:hint="eastAsia" w:ascii="Times New Roman" w:hAnsi="Times New Roman" w:eastAsia="宋体" w:cs="Times New Roman"/>
                <w:color w:val="000000"/>
                <w:szCs w:val="20"/>
              </w:rPr>
              <w:t>噪声值约为</w:t>
            </w:r>
            <w:r>
              <w:rPr>
                <w:rFonts w:hint="default" w:ascii="Times New Roman" w:hAnsi="Times New Roman" w:eastAsia="宋体" w:cs="Times New Roman"/>
                <w:color w:val="000000"/>
                <w:szCs w:val="20"/>
              </w:rPr>
              <w:t>60dB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），来往车辆行驶噪声源强约为</w:t>
            </w:r>
            <w:r>
              <w:rPr>
                <w:rFonts w:hint="default" w:ascii="Times New Roman" w:hAnsi="Times New Roman" w:eastAsia="宋体" w:cs="Times New Roman"/>
                <w:color w:val="000000"/>
                <w:szCs w:val="20"/>
              </w:rPr>
              <w:t>67dB</w:t>
            </w:r>
            <w:r>
              <w:rPr>
                <w:rFonts w:hint="eastAsia" w:ascii="Times New Roman" w:hAnsi="Times New Roman" w:eastAsia="宋体" w:cs="Times New Roman"/>
                <w:color w:val="000000"/>
                <w:szCs w:val="20"/>
              </w:rPr>
              <w:t>（</w:t>
            </w:r>
            <w:r>
              <w:rPr>
                <w:rFonts w:hint="default" w:ascii="Times New Roman" w:hAnsi="Times New Roman" w:eastAsia="宋体" w:cs="Times New Roman"/>
                <w:color w:val="000000"/>
                <w:szCs w:val="20"/>
              </w:rPr>
              <w:t>A</w:t>
            </w:r>
            <w:r>
              <w:rPr>
                <w:rFonts w:hint="eastAsia" w:ascii="Times New Roman" w:hAnsi="Times New Roman" w:eastAsia="宋体" w:cs="Times New Roman"/>
                <w:color w:val="000000"/>
                <w:szCs w:val="20"/>
              </w:rPr>
              <w:t>）。</w:t>
            </w:r>
          </w:p>
          <w:p>
            <w:pPr>
              <w:bidi w:val="0"/>
              <w:rPr>
                <w:rFonts w:hint="default"/>
              </w:rPr>
            </w:pPr>
            <w:r>
              <w:rPr>
                <w:rFonts w:hint="eastAsia"/>
              </w:rPr>
              <w:t>（</w:t>
            </w:r>
            <w:r>
              <w:rPr>
                <w:rFonts w:hint="default"/>
              </w:rPr>
              <w:t>4</w:t>
            </w:r>
            <w:r>
              <w:rPr>
                <w:rFonts w:hint="eastAsia"/>
              </w:rPr>
              <w:t>）固体废物</w:t>
            </w:r>
          </w:p>
          <w:p>
            <w:pPr>
              <w:bidi w:val="0"/>
              <w:rPr>
                <w:rFonts w:ascii="Times New Roman" w:hAnsi="Times New Roman" w:eastAsia="宋体" w:cs="Times New Roman"/>
                <w:b/>
                <w:szCs w:val="21"/>
              </w:rPr>
            </w:pPr>
            <w:r>
              <w:rPr>
                <w:rFonts w:hint="eastAsia"/>
              </w:rPr>
              <w:t>本项目产生的固体废物主要为站区内职工、顾客产生的生活垃圾</w:t>
            </w:r>
            <w:r>
              <w:rPr>
                <w:rFonts w:hint="eastAsia"/>
                <w:lang w:eastAsia="zh-CN"/>
              </w:rPr>
              <w:t>、油</w:t>
            </w:r>
            <w:r>
              <w:rPr>
                <w:rFonts w:hint="eastAsia"/>
              </w:rPr>
              <w:t>以及油罐定期清理油泥。项目区内设垃圾收集桶，生活垃圾收集后由当地环卫工人清运至生活垃圾填埋场处理。</w:t>
            </w:r>
            <w:r>
              <w:rPr>
                <w:rFonts w:hint="eastAsia"/>
                <w:lang w:eastAsia="zh-CN"/>
              </w:rPr>
              <w:t>清罐污泥</w:t>
            </w:r>
            <w:r>
              <w:rPr>
                <w:rFonts w:hint="eastAsia"/>
              </w:rPr>
              <w:t>由具有专业清罐资质的油罐清洗单位进行清罐作业并做专业处理，即产即运，不在项目区内暂存。委托给具有相关资质的承包方处理。</w:t>
            </w:r>
          </w:p>
        </w:tc>
      </w:tr>
    </w:tbl>
    <w:p>
      <w:pPr>
        <w:spacing w:line="240" w:lineRule="auto"/>
        <w:ind w:firstLine="0" w:firstLineChars="0"/>
        <w:rPr>
          <w:rFonts w:ascii="Times New Roman" w:hAnsi="Times New Roman" w:eastAsia="宋体" w:cs="Times New Roman"/>
          <w:sz w:val="28"/>
          <w:szCs w:val="30"/>
        </w:rPr>
      </w:pP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项目主要污染物产生及预计排放情况</w:t>
      </w:r>
    </w:p>
    <w:tbl>
      <w:tblPr>
        <w:tblStyle w:val="20"/>
        <w:tblW w:w="8428" w:type="dxa"/>
        <w:jc w:val="center"/>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75"/>
        <w:gridCol w:w="1892"/>
        <w:gridCol w:w="1092"/>
        <w:gridCol w:w="2268"/>
        <w:gridCol w:w="2201"/>
      </w:tblGrid>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93" w:hRule="atLeast"/>
          <w:jc w:val="center"/>
        </w:trPr>
        <w:tc>
          <w:tcPr>
            <w:tcW w:w="975" w:type="dxa"/>
            <w:tcBorders>
              <w:tl2br w:val="single" w:color="auto" w:sz="4" w:space="0"/>
            </w:tcBorders>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bookmarkStart w:id="17" w:name="_Toc257241229"/>
            <w:bookmarkStart w:id="18" w:name="_Toc256177434"/>
            <w:bookmarkStart w:id="19" w:name="_Toc168387862"/>
            <w:r>
              <w:rPr>
                <w:rFonts w:hint="eastAsia" w:cs="Times New Roman"/>
                <w:b/>
                <w:bCs/>
                <w:sz w:val="21"/>
                <w:szCs w:val="21"/>
                <w:lang w:val="en-US" w:eastAsia="zh-CN"/>
              </w:rPr>
              <w:t xml:space="preserve">   </w:t>
            </w:r>
            <w:r>
              <w:rPr>
                <w:rFonts w:ascii="Times New Roman" w:hAnsi="Times New Roman" w:eastAsia="宋体" w:cs="Times New Roman"/>
                <w:b/>
                <w:bCs/>
                <w:sz w:val="21"/>
                <w:szCs w:val="21"/>
              </w:rPr>
              <w:t>内容</w:t>
            </w:r>
          </w:p>
          <w:p>
            <w:pPr>
              <w:adjustRightInd w:val="0"/>
              <w:snapToGrid w:val="0"/>
              <w:spacing w:line="240" w:lineRule="auto"/>
              <w:ind w:firstLine="0" w:firstLineChars="0"/>
              <w:jc w:val="both"/>
              <w:rPr>
                <w:rFonts w:ascii="Times New Roman" w:hAnsi="Times New Roman" w:eastAsia="宋体" w:cs="Times New Roman"/>
                <w:sz w:val="21"/>
                <w:szCs w:val="21"/>
              </w:rPr>
            </w:pPr>
            <w:r>
              <w:rPr>
                <w:rFonts w:ascii="Times New Roman" w:hAnsi="Times New Roman" w:eastAsia="宋体" w:cs="Times New Roman"/>
                <w:b/>
                <w:bCs/>
                <w:sz w:val="21"/>
                <w:szCs w:val="21"/>
              </w:rPr>
              <w:t>类型</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pacing w:val="4"/>
                <w:sz w:val="21"/>
                <w:szCs w:val="21"/>
              </w:rPr>
              <w:t>排放源</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污染物</w:t>
            </w:r>
          </w:p>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名称</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产生浓度及产生量</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b/>
                <w:bCs/>
                <w:sz w:val="21"/>
                <w:szCs w:val="21"/>
              </w:rPr>
            </w:pPr>
            <w:r>
              <w:rPr>
                <w:rFonts w:ascii="Times New Roman" w:hAnsi="Times New Roman" w:eastAsia="宋体" w:cs="Times New Roman"/>
                <w:b/>
                <w:bCs/>
                <w:sz w:val="21"/>
                <w:szCs w:val="21"/>
              </w:rPr>
              <w:t>排放浓度及排放量</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both"/>
              <w:rPr>
                <w:rFonts w:ascii="Times New Roman" w:hAnsi="Times New Roman" w:eastAsia="宋体" w:cs="Times New Roman"/>
                <w:b/>
                <w:sz w:val="21"/>
                <w:szCs w:val="21"/>
              </w:rPr>
            </w:pPr>
            <w:r>
              <w:rPr>
                <w:rFonts w:hint="eastAsia" w:ascii="Times New Roman" w:hAnsi="Times New Roman" w:eastAsia="宋体" w:cs="Times New Roman"/>
                <w:b/>
                <w:sz w:val="21"/>
                <w:szCs w:val="21"/>
              </w:rPr>
              <w:t>大气</w:t>
            </w:r>
            <w:r>
              <w:rPr>
                <w:rFonts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ascii="Times New Roman" w:hAnsi="Times New Roman" w:eastAsia="宋体" w:cs="Times New Roman"/>
                <w:b/>
                <w:sz w:val="21"/>
                <w:szCs w:val="21"/>
              </w:rPr>
              <w:t>染物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加油站</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非甲烷总烃</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0.</w:t>
            </w:r>
            <w:r>
              <w:rPr>
                <w:rFonts w:hint="eastAsia" w:cs="Times New Roman"/>
                <w:color w:val="auto"/>
                <w:sz w:val="21"/>
                <w:szCs w:val="21"/>
                <w:lang w:val="en-US" w:eastAsia="zh-CN"/>
              </w:rPr>
              <w:t>785</w:t>
            </w:r>
            <w:r>
              <w:rPr>
                <w:rFonts w:ascii="Times New Roman" w:hAnsi="Times New Roman" w:eastAsia="宋体" w:cs="Times New Roman"/>
                <w:color w:val="auto"/>
                <w:sz w:val="21"/>
                <w:szCs w:val="21"/>
              </w:rPr>
              <w:t>t/a</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水</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污</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染</w:t>
            </w:r>
          </w:p>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
                <w:sz w:val="21"/>
                <w:szCs w:val="21"/>
              </w:rPr>
              <w:t>物</w:t>
            </w:r>
          </w:p>
        </w:tc>
        <w:tc>
          <w:tcPr>
            <w:tcW w:w="1892" w:type="dxa"/>
            <w:vMerge w:val="restart"/>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r>
              <w:rPr>
                <w:rFonts w:hint="eastAsia" w:ascii="Times New Roman" w:hAnsi="Times New Roman" w:eastAsia="宋体" w:cs="Times New Roman"/>
                <w:bCs/>
                <w:spacing w:val="4"/>
                <w:sz w:val="21"/>
                <w:szCs w:val="21"/>
              </w:rPr>
              <w:t>生活污水</w:t>
            </w:r>
            <w:r>
              <w:rPr>
                <w:rFonts w:hint="eastAsia" w:ascii="Times New Roman" w:hAnsi="Times New Roman" w:eastAsia="宋体" w:cs="Times New Roman"/>
                <w:spacing w:val="-12"/>
                <w:sz w:val="21"/>
                <w:szCs w:val="21"/>
              </w:rPr>
              <w:t>（</w:t>
            </w:r>
            <w:r>
              <w:rPr>
                <w:rFonts w:hint="eastAsia" w:ascii="Times New Roman" w:hAnsi="Times New Roman" w:eastAsia="仿宋_GB2312" w:cs="Times New Roman"/>
                <w:kern w:val="0"/>
                <w:sz w:val="21"/>
                <w:szCs w:val="21"/>
              </w:rPr>
              <w:t>1</w:t>
            </w:r>
            <w:r>
              <w:rPr>
                <w:rFonts w:hint="eastAsia" w:ascii="Times New Roman" w:hAnsi="Times New Roman" w:eastAsia="仿宋_GB2312" w:cs="Times New Roman"/>
                <w:kern w:val="0"/>
                <w:sz w:val="21"/>
                <w:szCs w:val="21"/>
                <w:lang w:val="en-US" w:eastAsia="zh-CN"/>
              </w:rPr>
              <w:t>92.72</w:t>
            </w:r>
            <w:r>
              <w:rPr>
                <w:rFonts w:ascii="Times New Roman" w:hAnsi="Times New Roman" w:eastAsia="宋体" w:cs="Times New Roman"/>
                <w:sz w:val="21"/>
                <w:szCs w:val="21"/>
              </w:rPr>
              <w:t>m</w:t>
            </w:r>
            <w:r>
              <w:rPr>
                <w:rFonts w:ascii="Times New Roman" w:hAnsi="Times New Roman" w:eastAsia="宋体" w:cs="Times New Roman"/>
                <w:sz w:val="21"/>
                <w:szCs w:val="21"/>
                <w:vertAlign w:val="superscript"/>
              </w:rPr>
              <w:t>3</w:t>
            </w:r>
            <w:r>
              <w:rPr>
                <w:rFonts w:ascii="Times New Roman" w:hAnsi="Times New Roman" w:eastAsia="宋体" w:cs="Times New Roman"/>
                <w:sz w:val="21"/>
                <w:szCs w:val="21"/>
              </w:rPr>
              <w:t>/a</w:t>
            </w:r>
            <w:r>
              <w:rPr>
                <w:rFonts w:hint="eastAsia" w:ascii="Times New Roman" w:hAnsi="Times New Roman" w:eastAsia="宋体" w:cs="Times New Roman"/>
                <w:sz w:val="21"/>
                <w:szCs w:val="21"/>
              </w:rPr>
              <w:t>）</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COD</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350mg/L、0.0</w:t>
            </w:r>
            <w:r>
              <w:rPr>
                <w:rFonts w:hint="eastAsia" w:ascii="Times New Roman" w:hAnsi="Times New Roman" w:eastAsia="宋体" w:cs="Times New Roman"/>
                <w:sz w:val="21"/>
                <w:szCs w:val="21"/>
                <w:lang w:val="en-US" w:eastAsia="zh-CN"/>
              </w:rPr>
              <w:t>67</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SS</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250mg/L、</w:t>
            </w:r>
            <w:r>
              <w:rPr>
                <w:rFonts w:hint="eastAsia" w:cs="Times New Roman"/>
                <w:sz w:val="21"/>
                <w:szCs w:val="21"/>
                <w:lang w:eastAsia="zh-CN"/>
              </w:rPr>
              <w:t>0.192</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892" w:type="dxa"/>
            <w:vMerge w:val="continue"/>
            <w:vAlign w:val="center"/>
          </w:tcPr>
          <w:p>
            <w:pPr>
              <w:adjustRightInd w:val="0"/>
              <w:snapToGrid w:val="0"/>
              <w:spacing w:line="240" w:lineRule="auto"/>
              <w:ind w:firstLine="0" w:firstLineChars="0"/>
              <w:jc w:val="center"/>
              <w:rPr>
                <w:rFonts w:ascii="Times New Roman" w:hAnsi="Times New Roman" w:eastAsia="宋体" w:cs="Times New Roman"/>
                <w:bCs/>
                <w:spacing w:val="4"/>
                <w:sz w:val="21"/>
                <w:szCs w:val="21"/>
              </w:rPr>
            </w:pP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NH</w:t>
            </w:r>
            <w:r>
              <w:rPr>
                <w:rFonts w:ascii="Times New Roman" w:hAnsi="Times New Roman" w:eastAsia="宋体" w:cs="Times New Roman"/>
                <w:sz w:val="21"/>
                <w:szCs w:val="21"/>
                <w:vertAlign w:val="subscript"/>
              </w:rPr>
              <w:t>3</w:t>
            </w:r>
            <w:r>
              <w:rPr>
                <w:rFonts w:ascii="Times New Roman" w:hAnsi="Times New Roman" w:eastAsia="宋体" w:cs="Times New Roman"/>
                <w:sz w:val="21"/>
                <w:szCs w:val="21"/>
              </w:rPr>
              <w:t>-N</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30mg/L、0.00</w:t>
            </w:r>
            <w:r>
              <w:rPr>
                <w:rFonts w:hint="eastAsia" w:ascii="Times New Roman" w:hAnsi="Times New Roman" w:eastAsia="宋体" w:cs="Times New Roman"/>
                <w:sz w:val="21"/>
                <w:szCs w:val="21"/>
              </w:rPr>
              <w:t>5</w:t>
            </w:r>
            <w:r>
              <w:rPr>
                <w:rFonts w:hint="eastAsia" w:ascii="Times New Roman" w:hAnsi="Times New Roman" w:eastAsia="宋体" w:cs="Times New Roman"/>
                <w:sz w:val="21"/>
                <w:szCs w:val="21"/>
                <w:lang w:val="en-US" w:eastAsia="zh-CN"/>
              </w:rPr>
              <w:t>8</w:t>
            </w:r>
            <w:r>
              <w:rPr>
                <w:rFonts w:hint="eastAsia" w:ascii="Times New Roman" w:hAnsi="Times New Roman" w:eastAsia="宋体" w:cs="Times New Roman"/>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Merge w:val="restart"/>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固</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体</w:t>
            </w:r>
          </w:p>
          <w:p>
            <w:pPr>
              <w:adjustRightInd w:val="0"/>
              <w:snapToGrid w:val="0"/>
              <w:spacing w:line="240" w:lineRule="auto"/>
              <w:ind w:firstLine="0" w:firstLineChars="0"/>
              <w:jc w:val="center"/>
              <w:rPr>
                <w:rFonts w:ascii="Times New Roman" w:hAnsi="Times New Roman" w:eastAsia="宋体" w:cs="Times New Roman"/>
                <w:b/>
                <w:sz w:val="21"/>
                <w:szCs w:val="21"/>
              </w:rPr>
            </w:pPr>
            <w:r>
              <w:rPr>
                <w:rFonts w:ascii="Times New Roman" w:hAnsi="Times New Roman" w:eastAsia="宋体" w:cs="Times New Roman"/>
                <w:b/>
                <w:sz w:val="21"/>
                <w:szCs w:val="21"/>
              </w:rPr>
              <w:t>废</w:t>
            </w:r>
          </w:p>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b/>
                <w:sz w:val="21"/>
                <w:szCs w:val="21"/>
              </w:rPr>
              <w:t>物</w:t>
            </w: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职工</w:t>
            </w:r>
            <w:r>
              <w:rPr>
                <w:rFonts w:hint="eastAsia" w:ascii="Times New Roman" w:hAnsi="Times New Roman" w:eastAsia="宋体" w:cs="Times New Roman"/>
                <w:sz w:val="21"/>
                <w:szCs w:val="21"/>
              </w:rPr>
              <w:t>办公及</w:t>
            </w:r>
            <w:r>
              <w:rPr>
                <w:rFonts w:ascii="Times New Roman" w:hAnsi="Times New Roman" w:eastAsia="宋体" w:cs="Times New Roman"/>
                <w:sz w:val="21"/>
                <w:szCs w:val="21"/>
              </w:rPr>
              <w:t>客户</w:t>
            </w:r>
            <w:r>
              <w:rPr>
                <w:rFonts w:hint="eastAsia" w:ascii="Times New Roman" w:hAnsi="Times New Roman" w:eastAsia="宋体" w:cs="Times New Roman"/>
                <w:sz w:val="21"/>
                <w:szCs w:val="21"/>
              </w:rPr>
              <w:t>生活</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生活垃圾</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38</w:t>
            </w:r>
            <w:r>
              <w:rPr>
                <w:rFonts w:ascii="Times New Roman" w:hAnsi="Times New Roman" w:eastAsia="宋体" w:cs="Times New Roman"/>
                <w:color w:val="auto"/>
                <w:sz w:val="21"/>
                <w:szCs w:val="21"/>
              </w:rPr>
              <w:t>t/a</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ascii="Times New Roman" w:hAnsi="Times New Roman" w:eastAsia="宋体" w:cs="Times New Roman"/>
                <w:sz w:val="21"/>
                <w:szCs w:val="21"/>
              </w:rPr>
              <w:t>0</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975" w:type="dxa"/>
            <w:vMerge w:val="continue"/>
            <w:shd w:val="clear" w:color="auto" w:fill="auto"/>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p>
        </w:tc>
        <w:tc>
          <w:tcPr>
            <w:tcW w:w="18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yellow"/>
              </w:rPr>
            </w:pPr>
            <w:r>
              <w:rPr>
                <w:rFonts w:hint="eastAsia" w:ascii="Times New Roman" w:hAnsi="Times New Roman" w:eastAsia="宋体" w:cs="Times New Roman"/>
                <w:sz w:val="21"/>
                <w:szCs w:val="21"/>
              </w:rPr>
              <w:t>油罐</w:t>
            </w:r>
            <w:r>
              <w:rPr>
                <w:rFonts w:ascii="Times New Roman" w:hAnsi="Times New Roman" w:eastAsia="宋体" w:cs="Times New Roman"/>
                <w:sz w:val="21"/>
                <w:szCs w:val="21"/>
              </w:rPr>
              <w:t>清洗</w:t>
            </w:r>
          </w:p>
        </w:tc>
        <w:tc>
          <w:tcPr>
            <w:tcW w:w="1092"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highlight w:val="red"/>
              </w:rPr>
            </w:pPr>
            <w:r>
              <w:rPr>
                <w:rFonts w:hint="eastAsia" w:ascii="Times New Roman" w:hAnsi="Times New Roman" w:eastAsia="宋体" w:cs="Times New Roman"/>
                <w:sz w:val="21"/>
                <w:szCs w:val="21"/>
              </w:rPr>
              <w:t>油渣</w:t>
            </w:r>
          </w:p>
        </w:tc>
        <w:tc>
          <w:tcPr>
            <w:tcW w:w="2268" w:type="dxa"/>
            <w:vAlign w:val="center"/>
          </w:tcPr>
          <w:p>
            <w:pPr>
              <w:adjustRightInd w:val="0"/>
              <w:snapToGrid w:val="0"/>
              <w:spacing w:line="240" w:lineRule="auto"/>
              <w:ind w:firstLine="0" w:firstLineChars="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220</w:t>
            </w:r>
            <w:r>
              <w:rPr>
                <w:rFonts w:ascii="Times New Roman" w:hAnsi="Times New Roman" w:eastAsia="宋体" w:cs="Times New Roman"/>
                <w:color w:val="auto"/>
                <w:sz w:val="21"/>
                <w:szCs w:val="21"/>
              </w:rPr>
              <w:t>kg/5</w:t>
            </w:r>
            <w:r>
              <w:rPr>
                <w:rFonts w:hint="eastAsia" w:ascii="Times New Roman" w:hAnsi="Times New Roman" w:eastAsia="宋体" w:cs="Times New Roman"/>
                <w:color w:val="auto"/>
                <w:sz w:val="21"/>
                <w:szCs w:val="21"/>
              </w:rPr>
              <w:t>年</w:t>
            </w:r>
          </w:p>
        </w:tc>
        <w:tc>
          <w:tcPr>
            <w:tcW w:w="2201"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spacing w:val="-6"/>
                <w:sz w:val="21"/>
                <w:szCs w:val="21"/>
              </w:rPr>
              <w:t>交由有资质的单位定期处理</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sz w:val="21"/>
                <w:szCs w:val="21"/>
              </w:rPr>
            </w:pPr>
            <w:r>
              <w:rPr>
                <w:rFonts w:hint="eastAsia" w:ascii="Times New Roman" w:hAnsi="Times New Roman" w:eastAsia="宋体" w:cs="Times New Roman"/>
                <w:b/>
                <w:sz w:val="21"/>
                <w:szCs w:val="21"/>
              </w:rPr>
              <w:t>噪声</w:t>
            </w:r>
          </w:p>
        </w:tc>
        <w:tc>
          <w:tcPr>
            <w:tcW w:w="7453" w:type="dxa"/>
            <w:gridSpan w:val="4"/>
            <w:vAlign w:val="center"/>
          </w:tcPr>
          <w:p>
            <w:pPr>
              <w:adjustRightInd w:val="0"/>
              <w:snapToGrid w:val="0"/>
              <w:spacing w:line="360" w:lineRule="auto"/>
              <w:ind w:firstLine="420" w:firstLineChars="200"/>
              <w:rPr>
                <w:rFonts w:ascii="Times New Roman" w:hAnsi="Times New Roman" w:eastAsia="宋体" w:cs="Times New Roman"/>
                <w:sz w:val="21"/>
                <w:szCs w:val="21"/>
                <w:highlight w:val="cyan"/>
              </w:rPr>
            </w:pPr>
            <w:r>
              <w:rPr>
                <w:rFonts w:ascii="Times New Roman" w:hAnsi="Times New Roman" w:eastAsia="宋体" w:cs="Times New Roman"/>
                <w:sz w:val="21"/>
                <w:szCs w:val="21"/>
              </w:rPr>
              <w:t>项目噪声源主要为</w:t>
            </w:r>
            <w:r>
              <w:rPr>
                <w:rFonts w:hint="eastAsia" w:ascii="Times New Roman" w:hAnsi="Times New Roman" w:eastAsia="宋体" w:cs="Times New Roman"/>
                <w:sz w:val="21"/>
                <w:szCs w:val="21"/>
              </w:rPr>
              <w:t>加油机等设备运行时产生的噪声和车辆来往产生的噪声</w:t>
            </w:r>
            <w:r>
              <w:rPr>
                <w:rFonts w:ascii="Times New Roman" w:hAnsi="Times New Roman" w:eastAsia="宋体" w:cs="Times New Roman"/>
                <w:sz w:val="21"/>
                <w:szCs w:val="21"/>
              </w:rPr>
              <w:t>。设备噪声声压等级约为65dB（A），经</w:t>
            </w:r>
            <w:r>
              <w:rPr>
                <w:rFonts w:hint="eastAsia" w:ascii="Times New Roman" w:hAnsi="Times New Roman" w:eastAsia="宋体" w:cs="Times New Roman"/>
                <w:sz w:val="21"/>
                <w:szCs w:val="21"/>
              </w:rPr>
              <w:t>距离衰减后</w:t>
            </w:r>
            <w:r>
              <w:rPr>
                <w:rFonts w:ascii="Times New Roman" w:hAnsi="Times New Roman" w:eastAsia="宋体" w:cs="Times New Roman"/>
                <w:sz w:val="21"/>
                <w:szCs w:val="21"/>
              </w:rPr>
              <w:t>，车辆噪声通过加强管理，</w:t>
            </w:r>
            <w:r>
              <w:rPr>
                <w:rFonts w:hint="eastAsia" w:ascii="Times New Roman" w:hAnsi="Times New Roman" w:eastAsia="宋体" w:cs="Times New Roman"/>
                <w:sz w:val="21"/>
                <w:szCs w:val="21"/>
              </w:rPr>
              <w:t>可</w:t>
            </w:r>
            <w:r>
              <w:rPr>
                <w:rFonts w:ascii="Times New Roman" w:hAnsi="Times New Roman" w:eastAsia="宋体" w:cs="Times New Roman"/>
                <w:sz w:val="21"/>
                <w:szCs w:val="21"/>
              </w:rPr>
              <w:t>满足《工业企业厂界环境噪声排放标准》（GB12348-</w:t>
            </w:r>
            <w:r>
              <w:rPr>
                <w:rFonts w:ascii="Times New Roman" w:hAnsi="Times New Roman" w:eastAsia="宋体" w:cs="Times New Roman"/>
                <w:color w:val="000000" w:themeColor="text1"/>
                <w:sz w:val="21"/>
                <w:szCs w:val="21"/>
                <w14:textFill>
                  <w14:solidFill>
                    <w14:schemeClr w14:val="tx1"/>
                  </w14:solidFill>
                </w14:textFill>
              </w:rPr>
              <w:t>2008）2类</w:t>
            </w:r>
            <w:r>
              <w:rPr>
                <w:rFonts w:hint="eastAsia" w:ascii="Times New Roman" w:hAnsi="Times New Roman" w:eastAsia="宋体" w:cs="Times New Roman"/>
                <w:color w:val="000000" w:themeColor="text1"/>
                <w:sz w:val="21"/>
                <w:szCs w:val="21"/>
                <w:lang w:eastAsia="zh-CN"/>
                <w14:textFill>
                  <w14:solidFill>
                    <w14:schemeClr w14:val="tx1"/>
                  </w14:solidFill>
                </w14:textFill>
              </w:rPr>
              <w:t>和</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4类标准</w:t>
            </w:r>
            <w:r>
              <w:rPr>
                <w:rFonts w:ascii="Times New Roman" w:hAnsi="Times New Roman" w:eastAsia="宋体" w:cs="Times New Roman"/>
                <w:color w:val="000000" w:themeColor="text1"/>
                <w:sz w:val="21"/>
                <w:szCs w:val="21"/>
                <w14:textFill>
                  <w14:solidFill>
                    <w14:schemeClr w14:val="tx1"/>
                  </w14:solidFill>
                </w14:textFill>
              </w:rPr>
              <w:t>，</w:t>
            </w:r>
            <w:r>
              <w:rPr>
                <w:rFonts w:ascii="Times New Roman" w:hAnsi="Times New Roman" w:eastAsia="宋体" w:cs="Times New Roman"/>
                <w:sz w:val="21"/>
                <w:szCs w:val="21"/>
              </w:rPr>
              <w:t>因此本项目在生产过程中产生的噪声对周围声环境影响较小</w:t>
            </w:r>
            <w:r>
              <w:rPr>
                <w:rFonts w:hint="eastAsia" w:ascii="Times New Roman" w:hAnsi="Times New Roman" w:eastAsia="宋体" w:cs="Times New Roman"/>
                <w:sz w:val="21"/>
                <w:szCs w:val="21"/>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75" w:type="dxa"/>
            <w:vAlign w:val="center"/>
          </w:tcPr>
          <w:p>
            <w:pPr>
              <w:adjustRightInd w:val="0"/>
              <w:snapToGrid w:val="0"/>
              <w:spacing w:line="240" w:lineRule="auto"/>
              <w:ind w:firstLine="0" w:firstLineChars="0"/>
              <w:jc w:val="center"/>
              <w:rPr>
                <w:rFonts w:ascii="Times New Roman" w:hAnsi="Times New Roman" w:eastAsia="宋体" w:cs="Times New Roman"/>
                <w:b/>
                <w:sz w:val="21"/>
                <w:szCs w:val="21"/>
              </w:rPr>
            </w:pPr>
            <w:r>
              <w:rPr>
                <w:rFonts w:hint="eastAsia" w:ascii="Times New Roman" w:hAnsi="Times New Roman" w:eastAsia="宋体" w:cs="Times New Roman"/>
                <w:b/>
                <w:sz w:val="21"/>
                <w:szCs w:val="21"/>
              </w:rPr>
              <w:t>其他</w:t>
            </w:r>
          </w:p>
        </w:tc>
        <w:tc>
          <w:tcPr>
            <w:tcW w:w="7453" w:type="dxa"/>
            <w:gridSpan w:val="4"/>
            <w:vAlign w:val="center"/>
          </w:tcPr>
          <w:p>
            <w:pPr>
              <w:adjustRightInd w:val="0"/>
              <w:snapToGrid w:val="0"/>
              <w:spacing w:line="360" w:lineRule="auto"/>
              <w:ind w:firstLine="420" w:firstLineChars="200"/>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rPr>
              <w:t>环境风险：本项目为</w:t>
            </w:r>
            <w:r>
              <w:rPr>
                <w:rFonts w:hint="eastAsia" w:cs="Times New Roman"/>
                <w:sz w:val="21"/>
                <w:szCs w:val="21"/>
                <w:lang w:eastAsia="zh-CN"/>
              </w:rPr>
              <w:t>一级加油站</w:t>
            </w:r>
            <w:r>
              <w:rPr>
                <w:rFonts w:hint="eastAsia" w:ascii="Times New Roman" w:hAnsi="Times New Roman" w:eastAsia="宋体" w:cs="Times New Roman"/>
                <w:sz w:val="21"/>
                <w:szCs w:val="21"/>
              </w:rPr>
              <w:t>，油品属易燃易爆物品，存在一定的火灾、爆炸等风险</w:t>
            </w:r>
            <w:r>
              <w:rPr>
                <w:rFonts w:hint="eastAsia" w:ascii="Times New Roman" w:hAnsi="Times New Roman" w:eastAsia="宋体" w:cs="Times New Roman"/>
                <w:sz w:val="21"/>
                <w:szCs w:val="21"/>
                <w:lang w:eastAsia="zh-CN"/>
              </w:rPr>
              <w:t>。</w:t>
            </w:r>
          </w:p>
        </w:tc>
      </w:tr>
      <w:tr>
        <w:tblPrEx>
          <w:tblBorders>
            <w:top w:val="single" w:color="auto" w:sz="6" w:space="0"/>
            <w:left w:val="single" w:color="auto" w:sz="8" w:space="0"/>
            <w:bottom w:val="single" w:color="auto" w:sz="8"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62" w:hRule="atLeast"/>
          <w:jc w:val="center"/>
        </w:trPr>
        <w:tc>
          <w:tcPr>
            <w:tcW w:w="8428" w:type="dxa"/>
            <w:gridSpan w:val="5"/>
            <w:vAlign w:val="center"/>
          </w:tcPr>
          <w:p>
            <w:pPr>
              <w:adjustRightInd w:val="0"/>
              <w:snapToGrid w:val="0"/>
              <w:spacing w:line="240" w:lineRule="auto"/>
              <w:ind w:firstLine="0" w:firstLineChars="0"/>
              <w:rPr>
                <w:rFonts w:ascii="Times New Roman" w:hAnsi="Times New Roman" w:eastAsia="宋体" w:cs="Times New Roman"/>
                <w:b/>
                <w:sz w:val="21"/>
                <w:szCs w:val="21"/>
              </w:rPr>
            </w:pPr>
            <w:r>
              <w:rPr>
                <w:rFonts w:ascii="Times New Roman" w:hAnsi="Times New Roman" w:eastAsia="宋体" w:cs="Times New Roman"/>
                <w:b/>
                <w:sz w:val="21"/>
                <w:szCs w:val="21"/>
              </w:rPr>
              <w:t>主要生态影响：</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项目用地范围受人为活动影响较大，项目建设对区域生态环境影响主要为：</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1、建设项目在施工阶段，由于对地基的开挖和填埋，造成局部土层疏松、裸露、若在雨季会引发轻微水土流失。</w:t>
            </w:r>
          </w:p>
          <w:p>
            <w:pPr>
              <w:keepNext w:val="0"/>
              <w:keepLines w:val="0"/>
              <w:pageBreakBefore w:val="0"/>
              <w:widowControl w:val="0"/>
              <w:shd w:val="clear" w:color="auto" w:fill="auto"/>
              <w:kinsoku/>
              <w:wordWrap/>
              <w:overflowPunct/>
              <w:topLinePunct w:val="0"/>
              <w:autoSpaceDE/>
              <w:autoSpaceDN/>
              <w:bidi w:val="0"/>
              <w:spacing w:before="0" w:after="0" w:line="520" w:lineRule="exact"/>
              <w:ind w:right="0" w:firstLine="480" w:firstLineChars="200"/>
              <w:jc w:val="left"/>
              <w:textAlignment w:val="auto"/>
              <w:outlineLvl w:val="9"/>
              <w:rPr>
                <w:rFonts w:hint="eastAsia" w:ascii="宋体" w:hAnsi="宋体" w:eastAsia="宋体" w:cs="宋体"/>
                <w:kern w:val="2"/>
                <w:sz w:val="24"/>
                <w:szCs w:val="24"/>
                <w:u w:val="none"/>
                <w:lang w:val="en-US" w:eastAsia="zh-CN" w:bidi="ar-SA"/>
              </w:rPr>
            </w:pPr>
            <w:r>
              <w:rPr>
                <w:rFonts w:hint="eastAsia" w:ascii="宋体" w:hAnsi="宋体" w:eastAsia="宋体" w:cs="宋体"/>
                <w:color w:val="000000"/>
                <w:spacing w:val="0"/>
                <w:w w:val="100"/>
                <w:kern w:val="2"/>
                <w:position w:val="0"/>
                <w:sz w:val="24"/>
                <w:szCs w:val="24"/>
                <w:u w:val="none"/>
                <w:lang w:val="zh-CN" w:eastAsia="zh-CN" w:bidi="zh-CN"/>
              </w:rPr>
              <w:t>2、施工期建筑材料运输及堆置，会暂时性侵占工地周围的空地，对景观造成影响。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both"/>
              <w:textAlignment w:val="auto"/>
              <w:outlineLvl w:val="9"/>
              <w:rPr>
                <w:rFonts w:hint="eastAsia" w:ascii="宋体" w:hAnsi="宋体" w:eastAsia="宋体" w:cs="宋体"/>
                <w:color w:val="000000"/>
                <w:spacing w:val="0"/>
                <w:w w:val="100"/>
                <w:position w:val="0"/>
                <w:sz w:val="24"/>
                <w:szCs w:val="24"/>
                <w:lang w:val="zh-CN" w:eastAsia="zh-CN" w:bidi="zh-CN"/>
              </w:rPr>
            </w:pPr>
            <w:r>
              <w:rPr>
                <w:rFonts w:hint="eastAsia" w:ascii="宋体" w:hAnsi="宋体" w:eastAsia="宋体" w:cs="宋体"/>
                <w:color w:val="000000"/>
                <w:spacing w:val="0"/>
                <w:w w:val="100"/>
                <w:position w:val="0"/>
                <w:sz w:val="24"/>
                <w:szCs w:val="24"/>
                <w:lang w:val="zh-CN" w:eastAsia="zh-CN" w:bidi="zh-CN"/>
              </w:rPr>
              <w:t>3、项目建成后，人工绿化带的建设，对周围生态体系会有一定的改变。</w:t>
            </w: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pStyle w:val="29"/>
              <w:rPr>
                <w:rFonts w:hint="eastAsia" w:ascii="宋体" w:hAnsi="宋体" w:eastAsia="宋体" w:cs="宋体"/>
                <w:color w:val="000000"/>
                <w:spacing w:val="0"/>
                <w:w w:val="100"/>
                <w:position w:val="0"/>
                <w:sz w:val="24"/>
                <w:szCs w:val="24"/>
                <w:lang w:val="zh-CN" w:eastAsia="zh-CN" w:bidi="zh-CN"/>
              </w:rPr>
            </w:pPr>
          </w:p>
          <w:p>
            <w:pPr>
              <w:adjustRightInd w:val="0"/>
              <w:snapToGrid w:val="0"/>
              <w:spacing w:line="240" w:lineRule="auto"/>
              <w:ind w:firstLine="0" w:firstLineChars="0"/>
              <w:rPr>
                <w:rFonts w:ascii="Times New Roman" w:hAnsi="Times New Roman" w:eastAsia="宋体" w:cs="Times New Roman"/>
                <w:sz w:val="21"/>
                <w:szCs w:val="21"/>
              </w:rPr>
            </w:pPr>
          </w:p>
        </w:tc>
      </w:tr>
    </w:tbl>
    <w:p>
      <w:pPr>
        <w:rPr>
          <w:rFonts w:ascii="Times New Roman" w:hAnsi="Times New Roman" w:eastAsia="宋体" w:cs="Times New Roman"/>
          <w:b/>
          <w:bCs/>
          <w:kern w:val="44"/>
          <w:sz w:val="30"/>
          <w:szCs w:val="30"/>
        </w:rPr>
      </w:pPr>
      <w:r>
        <w:rPr>
          <w:rFonts w:ascii="Times New Roman" w:hAnsi="Times New Roman" w:eastAsia="宋体" w:cs="Times New Roman"/>
          <w:b/>
          <w:bCs/>
          <w:kern w:val="44"/>
          <w:sz w:val="30"/>
          <w:szCs w:val="30"/>
        </w:rPr>
        <w:br w:type="page"/>
      </w:r>
    </w:p>
    <w:p>
      <w:pPr>
        <w:spacing w:line="240" w:lineRule="auto"/>
        <w:ind w:firstLine="0" w:firstLineChars="0"/>
        <w:rPr>
          <w:rFonts w:ascii="Times New Roman" w:hAnsi="Times New Roman" w:eastAsia="宋体" w:cs="Times New Roman"/>
          <w:sz w:val="28"/>
          <w:szCs w:val="30"/>
        </w:rPr>
      </w:pPr>
      <w:r>
        <w:rPr>
          <w:rFonts w:ascii="Times New Roman" w:hAnsi="Times New Roman" w:eastAsia="宋体" w:cs="Times New Roman"/>
          <w:b/>
          <w:bCs/>
          <w:kern w:val="44"/>
          <w:sz w:val="30"/>
          <w:szCs w:val="30"/>
        </w:rPr>
        <w:t>环境影响分析</w:t>
      </w:r>
      <w:bookmarkEnd w:id="17"/>
      <w:bookmarkEnd w:id="18"/>
      <w:bookmarkEnd w:id="19"/>
    </w:p>
    <w:tbl>
      <w:tblPr>
        <w:tblStyle w:val="20"/>
        <w:tblW w:w="84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jc w:val="center"/>
        </w:trPr>
        <w:tc>
          <w:tcPr>
            <w:tcW w:w="8436" w:type="dxa"/>
          </w:tcPr>
          <w:p>
            <w:pPr>
              <w:widowControl/>
              <w:adjustRightInd w:val="0"/>
              <w:snapToGrid w:val="0"/>
              <w:spacing w:line="360" w:lineRule="auto"/>
              <w:ind w:firstLine="0" w:firstLineChars="0"/>
            </w:pPr>
            <w:bookmarkStart w:id="20" w:name="_Toc220262280"/>
            <w:bookmarkStart w:id="21" w:name="_Toc247526152"/>
            <w:bookmarkStart w:id="22" w:name="_Toc321930702"/>
            <w:bookmarkStart w:id="23" w:name="_Toc273215021"/>
            <w:r>
              <w:rPr>
                <w:rFonts w:hint="eastAsia"/>
              </w:rPr>
              <w:t>1、</w:t>
            </w:r>
            <w:bookmarkEnd w:id="20"/>
            <w:bookmarkEnd w:id="21"/>
            <w:bookmarkEnd w:id="22"/>
            <w:bookmarkEnd w:id="23"/>
            <w:r>
              <w:rPr>
                <w:rFonts w:hint="eastAsia"/>
              </w:rPr>
              <w:t>施工期环境影响分析</w:t>
            </w:r>
          </w:p>
          <w:p>
            <w:pPr>
              <w:widowControl/>
              <w:adjustRightInd w:val="0"/>
              <w:snapToGrid w:val="0"/>
              <w:spacing w:line="360" w:lineRule="auto"/>
              <w:ind w:firstLine="480" w:firstLineChars="200"/>
            </w:pPr>
            <w:r>
              <w:t>本项目为在原有场地改建，无需新增用地。目前，施工期的主要污染因素有施工作业废水、施工扬尘、施工机械噪声、施工固废等。</w:t>
            </w:r>
          </w:p>
          <w:p>
            <w:pPr>
              <w:widowControl w:val="0"/>
              <w:numPr>
                <w:ilvl w:val="1"/>
                <w:numId w:val="3"/>
              </w:numPr>
              <w:spacing w:line="360" w:lineRule="auto"/>
              <w:ind w:left="420" w:hanging="420" w:firstLineChars="0"/>
              <w:jc w:val="both"/>
              <w:rPr>
                <w:lang w:val="en-US" w:eastAsia="zh-CN"/>
              </w:rPr>
            </w:pPr>
            <w:r>
              <w:rPr>
                <w:rFonts w:hint="eastAsia"/>
                <w:lang w:val="en-US" w:eastAsia="zh-CN"/>
              </w:rPr>
              <w:t>大气环境影响</w:t>
            </w:r>
          </w:p>
          <w:p>
            <w:pPr>
              <w:widowControl w:val="0"/>
              <w:spacing w:line="360" w:lineRule="auto"/>
              <w:ind w:left="420" w:firstLine="0" w:firstLineChars="0"/>
              <w:jc w:val="both"/>
              <w:rPr>
                <w:lang w:val="en-US" w:eastAsia="zh-CN"/>
              </w:rPr>
            </w:pPr>
            <w:r>
              <w:rPr>
                <w:lang w:val="en-US" w:eastAsia="zh-CN"/>
              </w:rPr>
              <w:t>本项目在施工期间大气污染源为施工扬尘和</w:t>
            </w:r>
            <w:r>
              <w:rPr>
                <w:rFonts w:hint="eastAsia"/>
                <w:lang w:val="en-US" w:eastAsia="zh-CN"/>
              </w:rPr>
              <w:t>施工机械、运输车辆</w:t>
            </w:r>
            <w:r>
              <w:rPr>
                <w:lang w:val="en-US" w:eastAsia="zh-CN"/>
              </w:rPr>
              <w:t>尾气</w:t>
            </w:r>
            <w:r>
              <w:rPr>
                <w:rFonts w:hint="eastAsia"/>
                <w:lang w:val="en-US" w:eastAsia="zh-CN"/>
              </w:rPr>
              <w:t>。</w:t>
            </w:r>
          </w:p>
          <w:p>
            <w:pPr>
              <w:adjustRightInd w:val="0"/>
              <w:spacing w:line="360" w:lineRule="auto"/>
              <w:ind w:firstLine="480" w:firstLineChars="200"/>
            </w:pPr>
            <w:r>
              <w:rPr>
                <w:rFonts w:hint="eastAsia"/>
              </w:rPr>
              <w:t>（1）</w:t>
            </w:r>
            <w:r>
              <w:t>施工扬尘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施工扬尘主要产生于土地平整、建材运输、原料堆放装卸等过程。</w:t>
            </w:r>
            <w:r>
              <w:rPr>
                <w:rFonts w:hint="eastAsia"/>
              </w:rPr>
              <w:t>由于</w:t>
            </w:r>
            <w:r>
              <w:t>本项目工程量较小，物料堆放量</w:t>
            </w:r>
            <w:r>
              <w:rPr>
                <w:rFonts w:hint="eastAsia"/>
              </w:rPr>
              <w:t>及</w:t>
            </w:r>
            <w:r>
              <w:t>运输量不大，</w:t>
            </w:r>
            <w:r>
              <w:rPr>
                <w:rFonts w:hint="eastAsia"/>
              </w:rPr>
              <w:t>为</w:t>
            </w:r>
            <w:r>
              <w:t>保护项目周边</w:t>
            </w:r>
            <w:r>
              <w:rPr>
                <w:rFonts w:hint="eastAsia"/>
              </w:rPr>
              <w:t>的</w:t>
            </w:r>
            <w:r>
              <w:t>大气环境质量，进一步改善环境空气质量，加强</w:t>
            </w:r>
            <w:r>
              <w:rPr>
                <w:rFonts w:hint="eastAsia"/>
              </w:rPr>
              <w:t>施工扬尘</w:t>
            </w:r>
            <w:r>
              <w:t>污染控制，评价建议建设单位在施工期间采取以下措施防尘：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a、围挡的设置。施工期间，建筑施工工地设置2.5m以上围挡；围挡下方设置不低于20厘米高的防溢座以防止粉尘流失；任意两块围挡以及围挡与防溢座的拼接处都不能有大于0.5cm的缝隙，围挡不得有明显破损的漏洞。</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b、裸露地(含土方)覆盖。每一块独立裸露地面80%以上的面积都应采取覆盖措施；覆盖措施的完好率必须在90%以上。覆盖措施包括：钢板、防尘网（布）、绿化、化学抑尘剂，或达到同等效率的覆盖措施。项目主要覆盖措施为防尘网（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c、易扬尘物料覆盖。所有砂石、灰土、灰浆等易扬尘物料都必须以不透水的隔尘布完全覆盖或放置在顶部和四周均有遮蔽的范围内；防尘布或遮蔽装置的完好率必须大于95%；小批量且在8h之内投入使用的物料除外</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d、持续洒水降尘措施。施工现场定期喷洒，保证地面湿润，不起尘。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e、运输车辆冲洗装置。运输车辆驶出工地前，应对车轮、车身、车槽帮等部位进行清理或清洗以保证车辆清洁上路；洗车喷嘴静水压不低于0.5Mpa；洗车污水经处理后重复使用，回用率不得低于90%，回用水水质良好，悬浮物浓度不应大于150mg/L；施工场所车辆入口和出口30m以内部分的路面上不应有明显的泥印，以及砂石、灰土等易扬尘物料。</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f</w:t>
            </w:r>
            <w:r>
              <w:rPr>
                <w:rFonts w:hint="eastAsia"/>
              </w:rPr>
              <w:t>、道路</w:t>
            </w:r>
            <w:r>
              <w:t>硬化与管理。</w:t>
            </w:r>
            <w:r>
              <w:rPr>
                <w:rFonts w:hint="eastAsia"/>
              </w:rPr>
              <w:t>施工场所内80%以上面积的车行道路必须硬化。任何时候车行道路上都不能有明显的尘土。道路清扫时都必须采取洒水措施。</w:t>
            </w:r>
          </w:p>
          <w:p>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firstLine="480"/>
              <w:textAlignment w:val="auto"/>
              <w:rPr>
                <w:lang w:val="en-US"/>
              </w:rPr>
            </w:pPr>
            <w:r>
              <w:rPr>
                <w:rFonts w:hint="eastAsia"/>
                <w:lang w:val="en-US"/>
              </w:rPr>
              <w:t>为降低扬尘对周围环境产生的危害，保护项目区及周边大气环境，建设单位施工场地开工前必须做到</w:t>
            </w:r>
            <w:r>
              <w:rPr>
                <w:lang w:val="en-US"/>
              </w:rPr>
              <w:t>“</w:t>
            </w:r>
            <w:r>
              <w:rPr>
                <w:rFonts w:hint="eastAsia"/>
                <w:lang w:val="en-US"/>
              </w:rPr>
              <w:t>六个到位</w:t>
            </w:r>
            <w:r>
              <w:rPr>
                <w:lang w:val="en-US"/>
              </w:rPr>
              <w:t>”</w:t>
            </w:r>
            <w:r>
              <w:rPr>
                <w:rFonts w:hint="eastAsia"/>
                <w:lang w:val="en-US"/>
              </w:rPr>
              <w:t>，即：审批到位、报备到位、治理方案到位、配套措施到位、监控到位、人员到位（施工单位管理人员、责任部门监管人员）；施工过程中必须做到</w:t>
            </w:r>
            <w:r>
              <w:rPr>
                <w:lang w:val="en-US"/>
              </w:rPr>
              <w:t>6</w:t>
            </w:r>
            <w:r>
              <w:rPr>
                <w:rFonts w:hint="eastAsia"/>
                <w:lang w:val="en-US"/>
              </w:rPr>
              <w:t>个</w:t>
            </w:r>
            <w:r>
              <w:rPr>
                <w:lang w:val="en-US"/>
              </w:rPr>
              <w:t>100%</w:t>
            </w:r>
            <w:r>
              <w:rPr>
                <w:rFonts w:hint="eastAsia"/>
                <w:lang w:val="en-US"/>
              </w:rPr>
              <w:t>，即：</w:t>
            </w:r>
            <w:r>
              <w:rPr>
                <w:lang w:val="en-US"/>
              </w:rPr>
              <w:t xml:space="preserve"> a</w:t>
            </w:r>
            <w:r>
              <w:rPr>
                <w:rFonts w:hint="eastAsia"/>
                <w:lang w:val="en-US"/>
              </w:rPr>
              <w:t>、工地周边</w:t>
            </w:r>
            <w:r>
              <w:rPr>
                <w:lang w:val="en-US"/>
              </w:rPr>
              <w:t>100%</w:t>
            </w:r>
            <w:r>
              <w:rPr>
                <w:rFonts w:hint="eastAsia"/>
                <w:lang w:val="en-US"/>
              </w:rPr>
              <w:t>围挡：设置</w:t>
            </w:r>
            <w:r>
              <w:rPr>
                <w:lang w:val="en-US"/>
              </w:rPr>
              <w:t>2m</w:t>
            </w:r>
            <w:r>
              <w:rPr>
                <w:rFonts w:hint="eastAsia"/>
                <w:lang w:val="en-US"/>
              </w:rPr>
              <w:t>以上的围墙，严禁围墙</w:t>
            </w:r>
            <w:r>
              <w:rPr>
                <w:lang w:val="en-US"/>
              </w:rPr>
              <w:t xml:space="preserve"> (</w:t>
            </w:r>
            <w:r>
              <w:rPr>
                <w:rFonts w:hint="eastAsia"/>
                <w:lang w:val="en-US"/>
              </w:rPr>
              <w:t>挡</w:t>
            </w:r>
            <w:r>
              <w:rPr>
                <w:lang w:val="en-US"/>
              </w:rPr>
              <w:t>)</w:t>
            </w:r>
            <w:r>
              <w:rPr>
                <w:rFonts w:hint="eastAsia"/>
                <w:lang w:val="en-US"/>
              </w:rPr>
              <w:t>不严或敞开式施工；施工现场围墙</w:t>
            </w:r>
            <w:r>
              <w:rPr>
                <w:lang w:val="en-US"/>
              </w:rPr>
              <w:t xml:space="preserve"> (</w:t>
            </w:r>
            <w:r>
              <w:rPr>
                <w:rFonts w:hint="eastAsia"/>
                <w:lang w:val="en-US"/>
              </w:rPr>
              <w:t>挡</w:t>
            </w:r>
            <w:r>
              <w:rPr>
                <w:lang w:val="en-US"/>
              </w:rPr>
              <w:t>)</w:t>
            </w:r>
            <w:r>
              <w:rPr>
                <w:rFonts w:hint="eastAsia"/>
                <w:lang w:val="en-US"/>
              </w:rPr>
              <w:t>、场区起尘部位和道路两侧应设置自动喷淋装置。</w:t>
            </w:r>
            <w:r>
              <w:rPr>
                <w:lang w:val="en-US"/>
              </w:rPr>
              <w:t xml:space="preserve"> b</w:t>
            </w:r>
            <w:r>
              <w:rPr>
                <w:rFonts w:hint="eastAsia"/>
                <w:lang w:val="en-US"/>
              </w:rPr>
              <w:t>、物料堆放</w:t>
            </w:r>
            <w:r>
              <w:rPr>
                <w:lang w:val="en-US"/>
              </w:rPr>
              <w:t>100%</w:t>
            </w:r>
            <w:r>
              <w:rPr>
                <w:rFonts w:hint="eastAsia"/>
                <w:lang w:val="en-US"/>
              </w:rPr>
              <w:t>覆盖：采用防尘网</w:t>
            </w:r>
            <w:r>
              <w:rPr>
                <w:lang w:val="en-US"/>
              </w:rPr>
              <w:t>100%</w:t>
            </w:r>
            <w:r>
              <w:rPr>
                <w:rFonts w:hint="eastAsia"/>
                <w:lang w:val="en-US"/>
              </w:rPr>
              <w:t>覆盖，并定期洒水保持湿润。</w:t>
            </w:r>
            <w:r>
              <w:rPr>
                <w:lang w:val="en-US"/>
              </w:rPr>
              <w:t xml:space="preserve"> c</w:t>
            </w:r>
            <w:r>
              <w:rPr>
                <w:rFonts w:hint="eastAsia"/>
                <w:lang w:val="en-US"/>
              </w:rPr>
              <w:t>、施工现场道路</w:t>
            </w:r>
            <w:r>
              <w:rPr>
                <w:lang w:val="en-US"/>
              </w:rPr>
              <w:t>100%</w:t>
            </w:r>
            <w:r>
              <w:rPr>
                <w:rFonts w:hint="eastAsia"/>
                <w:lang w:val="en-US"/>
              </w:rPr>
              <w:t>硬化：施工现场出入口及场内主要道路必须硬化</w:t>
            </w:r>
            <w:r>
              <w:rPr>
                <w:lang w:val="en-US"/>
              </w:rPr>
              <w:t>,</w:t>
            </w:r>
            <w:r>
              <w:rPr>
                <w:rFonts w:hint="eastAsia"/>
                <w:lang w:val="en-US"/>
              </w:rPr>
              <w:t>其余裸露地面必须绿化或固化、覆盖。</w:t>
            </w:r>
            <w:r>
              <w:rPr>
                <w:lang w:val="en-US"/>
              </w:rPr>
              <w:t xml:space="preserve"> d</w:t>
            </w:r>
            <w:r>
              <w:rPr>
                <w:rFonts w:hint="eastAsia"/>
                <w:lang w:val="en-US"/>
              </w:rPr>
              <w:t>、出入车辆</w:t>
            </w:r>
            <w:r>
              <w:rPr>
                <w:lang w:val="en-US"/>
              </w:rPr>
              <w:t>100%</w:t>
            </w:r>
            <w:r>
              <w:rPr>
                <w:rFonts w:hint="eastAsia"/>
                <w:lang w:val="en-US"/>
              </w:rPr>
              <w:t>冲洗：工地出入口设置施工车辆洗车平台，对驶离工地车辆采取清洗轮胎及车身除尘措施，不得带泥上路，并要求收集和处理好洗车、施工以及降水过程中产生的废水和泥浆。</w:t>
            </w:r>
            <w:r>
              <w:rPr>
                <w:lang w:val="en-US"/>
              </w:rPr>
              <w:t xml:space="preserve"> e</w:t>
            </w:r>
            <w:r>
              <w:rPr>
                <w:rFonts w:hint="eastAsia"/>
                <w:lang w:val="en-US"/>
              </w:rPr>
              <w:t>、拆迁工地</w:t>
            </w:r>
            <w:r>
              <w:rPr>
                <w:lang w:val="en-US"/>
              </w:rPr>
              <w:t>100%</w:t>
            </w:r>
            <w:r>
              <w:rPr>
                <w:rFonts w:hint="eastAsia"/>
                <w:lang w:val="en-US"/>
              </w:rPr>
              <w:t>湿法作业：拆除作业时，应提前</w:t>
            </w:r>
            <w:r>
              <w:rPr>
                <w:lang w:val="en-US"/>
              </w:rPr>
              <w:t>72h</w:t>
            </w:r>
            <w:r>
              <w:rPr>
                <w:rFonts w:hint="eastAsia"/>
                <w:lang w:val="en-US"/>
              </w:rPr>
              <w:t>不间断持续加压洒水，对建筑物进行湿化处理；需机械、爆破作业的拆除工程，应采取同步持续高压喷淋或洒水降尘措施。</w:t>
            </w:r>
            <w:r>
              <w:rPr>
                <w:lang w:val="en-US"/>
              </w:rPr>
              <w:t xml:space="preserve"> f</w:t>
            </w:r>
            <w:r>
              <w:rPr>
                <w:rFonts w:hint="eastAsia"/>
                <w:lang w:val="en-US"/>
              </w:rPr>
              <w:t>、渣土车辆</w:t>
            </w:r>
            <w:r>
              <w:rPr>
                <w:lang w:val="en-US"/>
              </w:rPr>
              <w:t>100%</w:t>
            </w:r>
            <w:r>
              <w:rPr>
                <w:rFonts w:hint="eastAsia"/>
                <w:lang w:val="en-US"/>
              </w:rPr>
              <w:t>密闭运输：采取密闭运输，车身应保持整洁，防止建筑材料、垃圾和工程渣土飞扬、洒落、流溢，严禁抛扔或随意倾倒，对不符合要求的运输车辆和驾驶人员，严禁进场进行装运作业。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采取以上</w:t>
            </w:r>
            <w:r>
              <w:t>控制措施</w:t>
            </w:r>
            <w:r>
              <w:rPr>
                <w:rFonts w:hint="eastAsia"/>
              </w:rPr>
              <w:t>后，</w:t>
            </w:r>
            <w:r>
              <w:t>本项目施工期扬尘能得到有效控制，对周围</w:t>
            </w:r>
            <w:r>
              <w:rPr>
                <w:rFonts w:hint="eastAsia"/>
              </w:rPr>
              <w:t>敏感点</w:t>
            </w:r>
            <w:r>
              <w:t>影响较小</w:t>
            </w:r>
            <w:r>
              <w:rPr>
                <w:rFonts w:hint="eastAsia"/>
              </w:rPr>
              <w:t>。</w:t>
            </w:r>
          </w:p>
          <w:p>
            <w:pPr>
              <w:adjustRightInd w:val="0"/>
              <w:spacing w:line="360" w:lineRule="auto"/>
              <w:ind w:firstLine="480" w:firstLineChars="200"/>
            </w:pPr>
            <w:r>
              <w:t>（2）</w:t>
            </w:r>
            <w:r>
              <w:rPr>
                <w:rFonts w:hint="eastAsia"/>
              </w:rPr>
              <w:t>施工机械、运输车辆</w:t>
            </w:r>
            <w:r>
              <w:t>尾气</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施工期间燃油机械一般采用柴油作为动力。燃柴油的大型施工运输车辆如自卸车、载重汽车等尾气排放量及污染物含量均较燃汽油车辆高，作业时会产生一些废气，其主要污染物为NOX、CO和THC。施工机械燃料以轻质柴油为主，燃油机械在使用轻质柴油时，燃烧废气中NOX、CO和THC排放量较少，由于本项目</w:t>
            </w:r>
            <w:r>
              <w:t>施工场地较小</w:t>
            </w:r>
            <w:r>
              <w:rPr>
                <w:rFonts w:hint="eastAsia"/>
              </w:rPr>
              <w:t>、施工周期短，施工期间施工机械布设较分散，产生的污染物经自然扩散浓度很小，对周围大气环境影响较小。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为了进一步改善环境空气质量，有效控制施工机械、车辆尾气污染，评价建议运输车辆禁止超载，不得使用劣质燃料；同时建议缩短车辆怠速、减速和加速的时间，增加正常运行时间，以减少NOx及CO等机动车尾气的排放量。</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评价认为，经采取相应大气污染防治措施后，可以将施工期大气环境影响降到较小程度，并且施工期的环境影响是暂时的，随着施工期的结束，该影响随之消失，不会对大气环境造成长远影响。</w:t>
            </w:r>
          </w:p>
          <w:p>
            <w:pPr>
              <w:adjustRightInd w:val="0"/>
              <w:spacing w:line="360" w:lineRule="auto"/>
              <w:ind w:firstLine="0" w:firstLineChars="0"/>
            </w:pPr>
            <w:r>
              <w:rPr>
                <w:rFonts w:hint="eastAsia"/>
              </w:rPr>
              <w:t>1.2 水环境影响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本项目施工期废水主要</w:t>
            </w:r>
            <w:r>
              <w:rPr>
                <w:rFonts w:hint="eastAsia"/>
              </w:rPr>
              <w:t>包括施工废水和</w:t>
            </w:r>
            <w:bookmarkStart w:id="24" w:name="OLE_LINK1"/>
            <w:r>
              <w:rPr>
                <w:rFonts w:hint="eastAsia"/>
              </w:rPr>
              <w:t>施工人员生活污水</w:t>
            </w:r>
            <w:bookmarkEnd w:id="24"/>
            <w: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施工废水污染源主要为机械设备运转的冷却水</w:t>
            </w:r>
            <w:r>
              <w:rPr>
                <w:rFonts w:hint="eastAsia"/>
              </w:rPr>
              <w:t>、</w:t>
            </w:r>
            <w:r>
              <w:t>洗涤水</w:t>
            </w:r>
            <w:r>
              <w:rPr>
                <w:rFonts w:hint="eastAsia"/>
              </w:rPr>
              <w:t>和</w:t>
            </w:r>
            <w:r>
              <w:t>车辆冲洗等废水。</w:t>
            </w:r>
            <w:r>
              <w:rPr>
                <w:rFonts w:hint="eastAsia"/>
              </w:rPr>
              <w:t>类比调查，施工机械及运输车辆冲洗水用量为</w:t>
            </w:r>
            <w:r>
              <w:t>1m3/d</w:t>
            </w:r>
            <w:r>
              <w:rPr>
                <w:rFonts w:hint="eastAsia"/>
              </w:rPr>
              <w:t>，施工期</w:t>
            </w:r>
            <w:r>
              <w:t>1</w:t>
            </w:r>
            <w:r>
              <w:rPr>
                <w:rFonts w:hint="eastAsia"/>
              </w:rPr>
              <w:t>个月，则施工期产生施工废水</w:t>
            </w:r>
            <w:r>
              <w:t>30m3</w:t>
            </w:r>
            <w:r>
              <w:rPr>
                <w:rFonts w:hint="eastAsia"/>
              </w:rPr>
              <w:t>。</w:t>
            </w:r>
            <w:r>
              <w:t>该废水悬浮物浓度较大，</w:t>
            </w:r>
            <w:r>
              <w:rPr>
                <w:rFonts w:hint="eastAsia"/>
              </w:rPr>
              <w:t>SS的浓度约</w:t>
            </w:r>
            <w:r>
              <w:t>为500~1</w:t>
            </w:r>
            <w:r>
              <w:rPr>
                <w:rFonts w:hint="eastAsia"/>
              </w:rPr>
              <w:t>5</w:t>
            </w:r>
            <w:r>
              <w:t>00mg/L</w:t>
            </w:r>
            <w:r>
              <w:rPr>
                <w:rFonts w:hint="eastAsia"/>
              </w:rPr>
              <w:t>，</w:t>
            </w:r>
            <w:r>
              <w:t>但不含其它可溶性的有害物质</w:t>
            </w:r>
            <w:r>
              <w:rPr>
                <w:rFonts w:hint="eastAsia"/>
              </w:rPr>
              <w:t>。评价建议施工废水</w:t>
            </w:r>
            <w:r>
              <w:t>采用</w:t>
            </w:r>
            <w:r>
              <w:rPr>
                <w:rFonts w:hint="eastAsia"/>
              </w:rPr>
              <w:t>临时</w:t>
            </w:r>
            <w:r>
              <w:t>沉淀池</w:t>
            </w:r>
            <w:r>
              <w:rPr>
                <w:rFonts w:hint="eastAsia"/>
              </w:rPr>
              <w:t>（池容</w:t>
            </w:r>
            <w:r>
              <w:t>2m3</w:t>
            </w:r>
            <w:r>
              <w:rPr>
                <w:rFonts w:hint="eastAsia"/>
              </w:rPr>
              <w:t>）</w:t>
            </w:r>
            <w:r>
              <w:t>沉淀后</w:t>
            </w:r>
            <w:r>
              <w:rPr>
                <w:rFonts w:hint="eastAsia"/>
              </w:rPr>
              <w:t>循环利用或</w:t>
            </w:r>
            <w:r>
              <w:t>用于施工场地和道路洒</w:t>
            </w:r>
            <w:r>
              <w:rPr>
                <w:rFonts w:hint="eastAsia"/>
              </w:rPr>
              <w:t>水</w:t>
            </w:r>
            <w:r>
              <w:t>抑尘，</w:t>
            </w:r>
            <w:r>
              <w:rPr>
                <w:rFonts w:hint="eastAsia"/>
              </w:rPr>
              <w:t>施工废水</w:t>
            </w:r>
            <w:r>
              <w:t>不外排</w:t>
            </w:r>
            <w:r>
              <w:rPr>
                <w:rFonts w:hint="eastAsia"/>
              </w:rPr>
              <w:t>，施工结束后临时沉淀池拆除。</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本项目施工人员均为附近村民，不在工地住宿，</w:t>
            </w:r>
            <w:r>
              <w:t>施工高峰期间人员约</w:t>
            </w:r>
            <w:r>
              <w:rPr>
                <w:rFonts w:hint="eastAsia"/>
                <w:lang w:eastAsia="zh-CN"/>
              </w:rPr>
              <w:t>6人</w:t>
            </w:r>
            <w:r>
              <w:rPr>
                <w:rFonts w:hint="eastAsia"/>
              </w:rPr>
              <w:t>，施工人员生活用水按</w:t>
            </w:r>
            <w:r>
              <w:t>20</w:t>
            </w:r>
            <w:r>
              <w:rPr>
                <w:rFonts w:hint="eastAsia"/>
              </w:rPr>
              <w:t>L/人</w:t>
            </w:r>
            <w:r>
              <w:t>·d</w:t>
            </w:r>
            <w:r>
              <w:rPr>
                <w:rFonts w:hint="eastAsia"/>
              </w:rPr>
              <w:t>计，则施工期生活用水量为</w:t>
            </w:r>
            <w:r>
              <w:t>0.2m3/d</w:t>
            </w:r>
            <w:r>
              <w:rPr>
                <w:rFonts w:hint="eastAsia"/>
              </w:rPr>
              <w:t>，</w:t>
            </w:r>
            <w:r>
              <w:t>根据《给排水设计手册》，生活废水产生量按日用水量的80%计，</w:t>
            </w:r>
            <w:r>
              <w:rPr>
                <w:rFonts w:hint="eastAsia"/>
              </w:rPr>
              <w:t>则每天产生的生活污水量为</w:t>
            </w:r>
            <w:r>
              <w:t>0.16m3/d</w:t>
            </w:r>
            <w:r>
              <w:rPr>
                <w:rFonts w:hint="eastAsia"/>
              </w:rPr>
              <w:t>，施工期间施工人员产生生活污水</w:t>
            </w:r>
            <w:r>
              <w:t>4.8m3</w:t>
            </w:r>
            <w:r>
              <w:rPr>
                <w:rFonts w:hint="eastAsia"/>
              </w:rPr>
              <w:t>，</w:t>
            </w:r>
            <w:r>
              <w:t>这部分污水经收集后，可直接用于场地洒水、降尘，不外排。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采取上述措施后，项目</w:t>
            </w:r>
            <w:r>
              <w:t>施工期</w:t>
            </w:r>
            <w:r>
              <w:rPr>
                <w:rFonts w:hint="eastAsia"/>
              </w:rPr>
              <w:t>产生的废水不外排</w:t>
            </w:r>
            <w:r>
              <w:t>，</w:t>
            </w:r>
            <w:r>
              <w:rPr>
                <w:rFonts w:hint="eastAsia"/>
              </w:rPr>
              <w:t>对附近地表水</w:t>
            </w:r>
            <w:r>
              <w:t>影响较小。</w:t>
            </w:r>
          </w:p>
          <w:p>
            <w:pPr>
              <w:adjustRightInd w:val="0"/>
              <w:spacing w:line="360" w:lineRule="auto"/>
              <w:ind w:firstLine="0" w:firstLineChars="0"/>
            </w:pPr>
            <w:r>
              <w:rPr>
                <w:rFonts w:hint="eastAsia"/>
              </w:rPr>
              <w:t>1.3 声环境影响</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t>本项目施工期主要噪声源为挖掘机、推土机、装载车、平地机等施工机具的运转及运输车辆都将产生噪声，设备噪声值一般为85~100dB（A）左右。施工期高噪声设备持续时间较短，施工期的噪声对周围环境的影响只是暂时的，会随施工期的结束而结束。为确保施工场界噪声满足《建筑施工场界环境噪声排放标准》（GB12523-2011）标准要求评价建议在施工期采取以下措施：</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pPr>
            <w:r>
              <w:rPr>
                <w:rFonts w:hint="eastAsia"/>
              </w:rPr>
              <w:t>①</w:t>
            </w:r>
            <w:r>
              <w:t>合理布置施工现场，应尽量避免在施工现场的同一地点安排大量的高噪声设备，将有固定工作地点的施工机械尽量设置在距</w:t>
            </w:r>
            <w:r>
              <w:rPr>
                <w:rFonts w:hint="eastAsia"/>
              </w:rPr>
              <w:t>东侧民房</w:t>
            </w:r>
            <w:r>
              <w:t>较远的位置。</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②</w:t>
            </w:r>
            <w:r>
              <w:t>降低设备声级，采用较先进、噪声较低的施工设备；固定机械设备与挖土、运土设备如挖土机、推土机等，可通过排气管加装消音器和隔离发动机振动部件的方法降低噪声；对动力机械设备定期进行维修和养护，避免因松动部件振动或消声器损坏而加大设备工作时的声级；废弃不用的设备应立即关闭，运输车辆进入现场应减速，并较少鸣笛。</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③</w:t>
            </w:r>
            <w:r>
              <w:t>对于位置相对固定的机械设备，能设在隔声棚内操作的尽量进入隔声棚，隔声棚的高度应超过设备1.5m以上，顶部采用双层石棉瓦加盖；对不能入棚的机械设备，可适当建立单面声屏障，声屏障可采用砖石料、混凝土、木材、金属、轻型多孔吸声复合材料建造，当采用木材和多口吸声材料时，应作防火、防腐处理。</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eastAsia"/>
              </w:rPr>
              <w:t>④</w:t>
            </w:r>
            <w:r>
              <w:t>减少人为噪声，模板、支架拆卸过程中应遵守作业规定，减少碰撞噪音；尽量减少用哨子、喇叭等指挥作业，减少人为噪声。</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t>采取以上措施后，在施工期的机械噪声经过距离衰减后，项目场地边界可以达到《建筑施工场界环境噪声排放标准》（GB12523-2011）标准要求，对周围环境影响</w:t>
            </w:r>
            <w:r>
              <w:rPr>
                <w:rFonts w:hint="eastAsia"/>
              </w:rPr>
              <w:t>很小</w:t>
            </w:r>
            <w:r>
              <w:t>。</w:t>
            </w:r>
          </w:p>
          <w:p>
            <w:pPr>
              <w:adjustRightInd w:val="0"/>
              <w:spacing w:line="360" w:lineRule="auto"/>
              <w:ind w:firstLine="0" w:firstLineChars="0"/>
            </w:pPr>
            <w:r>
              <w:rPr>
                <w:rFonts w:hint="eastAsia"/>
              </w:rPr>
              <w:t>1.4 固体废物影响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施工期固废主要来自施工人员产生的生活垃圾和施工所产生的建筑垃圾。施工人员所产生的生活垃圾量以施工期1个月，施工人数</w:t>
            </w:r>
            <w:r>
              <w:rPr>
                <w:rFonts w:hint="eastAsia"/>
                <w:lang w:eastAsia="zh-CN"/>
              </w:rPr>
              <w:t>6人</w:t>
            </w:r>
            <w:r>
              <w:t>，排放系数取0.3kg/（p·d）计，则生活垃圾产生量约为3kg/d，施工期间生活垃圾总产生量为0.09t。生活垃圾要集中定点收集，由环卫部门定期清运处理，以减少对环境的影响。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本项目建设过程中产生的建筑垃圾主要为建筑耗材垃圾，包括金属构件</w:t>
            </w:r>
            <w:r>
              <w:rPr>
                <w:rFonts w:hint="eastAsia"/>
              </w:rPr>
              <w:t>、</w:t>
            </w:r>
            <w:r>
              <w:t>碎砖块、水泥块、废木料、废土方等，按每平方米建筑面积产生建筑垃圾0.05t计，则本项目将产生建筑垃圾约</w:t>
            </w:r>
            <w:r>
              <w:rPr>
                <w:rFonts w:hint="eastAsia"/>
              </w:rPr>
              <w:t>20.85</w:t>
            </w:r>
            <w:r>
              <w:t>t，评价建议尽量</w:t>
            </w:r>
            <w:r>
              <w:rPr>
                <w:rFonts w:hint="eastAsia"/>
              </w:rPr>
              <w:t>分类</w:t>
            </w:r>
            <w:r>
              <w:t>回收有用材料，金属构件收集后外售，不能利用的部分需办理建筑垃圾清运许可证并严格按照相关部门的规定执行。</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通过执行</w:t>
            </w:r>
            <w:r>
              <w:t>评价建议，本项目施工期固体废物均能合理有效处置，对周围环境</w:t>
            </w:r>
            <w:r>
              <w:rPr>
                <w:rFonts w:hint="eastAsia"/>
              </w:rPr>
              <w:t>影响较小</w:t>
            </w:r>
            <w:r>
              <w:t>。</w:t>
            </w:r>
          </w:p>
          <w:p>
            <w:pPr>
              <w:adjustRightInd w:val="0"/>
              <w:snapToGrid w:val="0"/>
              <w:spacing w:line="360" w:lineRule="auto"/>
              <w:ind w:firstLine="0" w:firstLineChars="0"/>
            </w:pPr>
            <w:r>
              <w:rPr>
                <w:rFonts w:hint="eastAsia"/>
              </w:rPr>
              <w:t>2、</w:t>
            </w:r>
            <w:r>
              <w:t>营运期环境影响分析</w:t>
            </w:r>
          </w:p>
          <w:p>
            <w:pPr>
              <w:adjustRightInd w:val="0"/>
              <w:snapToGrid w:val="0"/>
              <w:spacing w:line="360" w:lineRule="auto"/>
              <w:ind w:firstLine="0" w:firstLineChars="0"/>
              <w:textAlignment w:val="baseline"/>
            </w:pPr>
            <w:r>
              <w:t>2.1</w:t>
            </w:r>
            <w:r>
              <w:rPr>
                <w:rFonts w:hint="eastAsia"/>
              </w:rPr>
              <w:t>、</w:t>
            </w:r>
            <w:r>
              <w:t>环境空气</w:t>
            </w:r>
            <w:r>
              <w:rPr>
                <w:rFonts w:hint="eastAsia"/>
              </w:rPr>
              <w:t>影响</w:t>
            </w:r>
            <w:r>
              <w:t>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本项目储油罐灌注、油罐车装卸、加油作业等过程造成燃料油以气态形式逸出进入大气环境，以非甲烷总烃计。</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本项目汽油的无组织排放主要分为储油罐呼吸损耗、卸油损失、加油作业损失、作业跑、冒、滴、漏损失三个部分。根据《河南省 2017 年挥发性有机物专项治理工作方案》和《关于全省开展工业企业挥发性有机物专项治理工作中排放建议值的通知》（豫环攻坚办[2017]162 号）的要求，本项目对汽油安装卸油、加油二级油气回收系统对油气进行控制，对卸油和加油过程中的油气回收率可达 95%以上</w:t>
            </w:r>
            <w:r>
              <w:rPr>
                <w:rFonts w:hint="eastAsia"/>
              </w:rPr>
              <w:t>。</w:t>
            </w:r>
          </w:p>
          <w:p>
            <w:pPr>
              <w:adjustRightInd w:val="0"/>
              <w:snapToGrid w:val="0"/>
              <w:spacing w:line="360" w:lineRule="auto"/>
              <w:ind w:firstLine="480" w:firstLineChars="200"/>
            </w:pPr>
            <w:r>
              <w:rPr>
                <w:rFonts w:hint="eastAsia"/>
              </w:rPr>
              <w:t>（1）卸油、储油、加油等过程中油品挥发产生的非甲烷总烃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本项目在卸油、储油、加油作业等过程会产生一定的油气排放，主要大气污染物为非甲烷总烃（C2~C8 可挥发碳氢化和物）。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①卸油损失：本项目采用自流密闭卸油方式卸油。油料因位差自流进入埋地油罐内，罐内油气便因正压排出油罐进入油槽车内。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根据《散装液态石油产品损耗标准》，卸油过程中汽油、柴油会分别产生0.23 %、0.05 %的油气，按照年销售汽油100吨、柴油10</w:t>
            </w:r>
            <w:r>
              <w:t>0</w:t>
            </w:r>
            <w:r>
              <w:rPr>
                <w:rFonts w:hint="eastAsia"/>
              </w:rPr>
              <w:t>吨计算，得出项目汽油油气排放量为</w:t>
            </w:r>
            <w:r>
              <w:t>0.</w:t>
            </w:r>
            <w:r>
              <w:rPr>
                <w:rFonts w:hint="eastAsia"/>
              </w:rPr>
              <w:t>23t/a，柴油油气排放量为</w:t>
            </w:r>
            <w:r>
              <w:t>0.</w:t>
            </w:r>
            <w:r>
              <w:rPr>
                <w:rFonts w:hint="eastAsia"/>
              </w:rPr>
              <w:t>05t/a。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②储油损失：储油过程油气排放包括地下油罐“小呼吸”、卸油多余油气及加油多余油气。根据《散装液态石油产品损耗标准》，储油过程会产生0.01 %的油气排放，按照年销售汽油100吨、柴油10</w:t>
            </w:r>
            <w:r>
              <w:t>0</w:t>
            </w:r>
            <w:r>
              <w:rPr>
                <w:rFonts w:hint="eastAsia"/>
              </w:rPr>
              <w:t>吨计算，得出项目储存过程中汽油油气排放量为</w:t>
            </w:r>
            <w:r>
              <w:t>0.0</w:t>
            </w:r>
            <w:r>
              <w:rPr>
                <w:rFonts w:hint="eastAsia"/>
              </w:rPr>
              <w:t>1t/a，柴油油气排放量为</w:t>
            </w:r>
            <w:r>
              <w:t>0.0</w:t>
            </w:r>
            <w:r>
              <w:rPr>
                <w:rFonts w:hint="eastAsia"/>
              </w:rPr>
              <w:t>1t/a。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③加油损失：汽车加油过程中因加油箱都是敞开式，加油流速较快，油气排放量较大。据《散装液态石油产品损耗标准》，加油过程中汽油、柴油会产生 0.29%、0.08%的油气排放，按照年销售汽油10</w:t>
            </w:r>
            <w:r>
              <w:t>0</w:t>
            </w:r>
            <w:r>
              <w:rPr>
                <w:rFonts w:hint="eastAsia"/>
              </w:rPr>
              <w:t>吨、柴油10</w:t>
            </w:r>
            <w:r>
              <w:t>0</w:t>
            </w:r>
            <w:r>
              <w:rPr>
                <w:rFonts w:hint="eastAsia"/>
              </w:rPr>
              <w:t>吨计算，得出项目汽油油气排放量为</w:t>
            </w:r>
            <w:r>
              <w:t>0.</w:t>
            </w:r>
            <w:r>
              <w:rPr>
                <w:rFonts w:hint="eastAsia"/>
              </w:rPr>
              <w:t>29t/a，柴油油气排放量为</w:t>
            </w:r>
            <w:r>
              <w:t>0.</w:t>
            </w:r>
            <w:r>
              <w:rPr>
                <w:rFonts w:hint="eastAsia"/>
              </w:rPr>
              <w:t>08t/a。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评价</w:t>
            </w:r>
            <w:r>
              <w:t>要求</w:t>
            </w:r>
            <w:r>
              <w:rPr>
                <w:rFonts w:hint="eastAsia"/>
              </w:rPr>
              <w:t>本项目油</w:t>
            </w:r>
            <w:r>
              <w:t>罐</w:t>
            </w:r>
            <w:r>
              <w:rPr>
                <w:rFonts w:hint="eastAsia"/>
                <w:lang w:eastAsia="zh-CN"/>
              </w:rPr>
              <w:t>设置一套</w:t>
            </w:r>
            <w:r>
              <w:rPr>
                <w:rFonts w:hint="eastAsia"/>
              </w:rPr>
              <w:t>一次油气</w:t>
            </w:r>
            <w:r>
              <w:t>回收系统、加油</w:t>
            </w:r>
            <w:r>
              <w:rPr>
                <w:rFonts w:hint="eastAsia"/>
              </w:rPr>
              <w:t>枪</w:t>
            </w:r>
            <w:r>
              <w:rPr>
                <w:rFonts w:hint="eastAsia"/>
                <w:lang w:eastAsia="zh-CN"/>
              </w:rPr>
              <w:t>设置一套</w:t>
            </w:r>
            <w:r>
              <w:t>二次</w:t>
            </w:r>
            <w:r>
              <w:rPr>
                <w:rFonts w:hint="eastAsia"/>
              </w:rPr>
              <w:t>油气回收系统进行油气回收。油气回收系统一般分为两阶段的油气回收；第一阶段是油罐车卸油时采用密封式卸油，油罐车卸下一定数量的油品，就需吸入大致相等的气体补气，而加油站内的埋地油罐也因注入油品而向外排出相当数量的油气，此油气经过导管重新输回到油罐车内，完成油气循环的卸油工作。回收到油罐车内的油气，可由油罐车带回油库后，再经冷凝、吸附或燃烧等方式处理。第二阶段是汽车加油时，利用油枪上的特殊装置，将原本会有汽车油箱溢散于空气中的油气，经加油枪、抽气马达、回收入油罐内，并在储油罐的出气口安装阻火通气帽。</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该套油气回收效率可达到95%以上，经油气回收系统回收后，剩余的油气直接无组织排放。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项目在卸油、储油、加油作业等过程产生的非甲烷总烃排放汇总情况见表</w:t>
            </w:r>
            <w:r>
              <w:rPr>
                <w:rFonts w:hint="eastAsia"/>
                <w:lang w:val="en-US" w:eastAsia="zh-CN"/>
              </w:rPr>
              <w:t>23</w:t>
            </w:r>
            <w:r>
              <w:rPr>
                <w:rFonts w:hint="eastAsia"/>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lang w:val="en-US" w:eastAsia="zh-CN"/>
              </w:rPr>
            </w:pPr>
            <w:r>
              <w:rPr>
                <w:rFonts w:hint="eastAsia"/>
                <w:lang w:val="en-US" w:eastAsia="zh-CN"/>
              </w:rPr>
              <w:t>表23  项目非甲烷总烃排放情况 单位：t/a</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2"/>
              <w:gridCol w:w="1696"/>
              <w:gridCol w:w="1964"/>
              <w:gridCol w:w="1517"/>
              <w:gridCol w:w="12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8"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项目</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排放系数</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非甲烷总烃</w:t>
                  </w:r>
                  <w:r>
                    <w:rPr>
                      <w:rFonts w:hint="eastAsia"/>
                      <w:lang w:val="en-US" w:eastAsia="zh-CN"/>
                    </w:rPr>
                    <w:t>产生量</w:t>
                  </w:r>
                  <w:r>
                    <w:rPr>
                      <w:rFonts w:hint="default"/>
                      <w:lang w:val="en-US" w:eastAsia="zh-CN"/>
                    </w:rPr>
                    <w:t>（</w:t>
                  </w:r>
                  <w:r>
                    <w:rPr>
                      <w:rFonts w:hint="eastAsia"/>
                      <w:lang w:val="en-US" w:eastAsia="zh-CN"/>
                    </w:rPr>
                    <w:t>t</w:t>
                  </w:r>
                  <w:r>
                    <w:rPr>
                      <w:rFonts w:hint="default"/>
                      <w:lang w:val="en-US" w:eastAsia="zh-CN"/>
                    </w:rPr>
                    <w:t>/a）</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油气回收装置回收率</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default"/>
                      <w:lang w:val="en-US" w:eastAsia="zh-CN"/>
                    </w:rPr>
                    <w:t>排放量（</w:t>
                  </w:r>
                  <w:r>
                    <w:rPr>
                      <w:rFonts w:hint="eastAsia"/>
                      <w:lang w:val="en-US" w:eastAsia="zh-CN"/>
                    </w:rPr>
                    <w:t>t</w:t>
                  </w:r>
                  <w:r>
                    <w:rPr>
                      <w:rFonts w:hint="default"/>
                      <w:lang w:val="en-US" w:eastAsia="zh-CN"/>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卸油工序损失</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2.3kg/t汽油</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4.25</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0.027kg/t柴油</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储油工序损失</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0.16kg/t汽油</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柴油忽略不计</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restar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eastAsia"/>
                      <w:lang w:val="en-US" w:eastAsia="zh-CN"/>
                    </w:rPr>
                  </w:pPr>
                  <w:r>
                    <w:rPr>
                      <w:rFonts w:hint="eastAsia"/>
                      <w:lang w:val="en-US" w:eastAsia="zh-CN"/>
                    </w:rPr>
                    <w:t>加油工序损失</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2.49kg/t汽油</w:t>
                  </w:r>
                </w:p>
              </w:tc>
              <w:tc>
                <w:tcPr>
                  <w:tcW w:w="118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4.60</w:t>
                  </w:r>
                </w:p>
              </w:tc>
              <w:tc>
                <w:tcPr>
                  <w:tcW w:w="914"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95%</w:t>
                  </w:r>
                </w:p>
              </w:tc>
              <w:tc>
                <w:tcPr>
                  <w:tcW w:w="780"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098" w:type="pct"/>
                  <w:vMerge w:val="continue"/>
                </w:tcPr>
                <w:p>
                  <w:pPr>
                    <w:keepNext w:val="0"/>
                    <w:keepLines w:val="0"/>
                    <w:suppressLineNumbers w:val="0"/>
                    <w:adjustRightInd w:val="0"/>
                    <w:spacing w:before="0" w:beforeAutospacing="0" w:after="0" w:afterAutospacing="0" w:line="360" w:lineRule="auto"/>
                    <w:ind w:left="0" w:right="0" w:firstLine="0" w:firstLineChars="0"/>
                    <w:jc w:val="center"/>
                    <w:rPr>
                      <w:rFonts w:hint="default"/>
                    </w:rPr>
                  </w:pP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0.192kg/t柴油</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0.012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98" w:type="pct"/>
                </w:tcPr>
                <w:p>
                  <w:pPr>
                    <w:keepNext w:val="0"/>
                    <w:keepLines w:val="0"/>
                    <w:suppressLineNumbers w:val="0"/>
                    <w:adjustRightInd w:val="0"/>
                    <w:spacing w:before="0" w:beforeAutospacing="0" w:after="0" w:afterAutospacing="0" w:line="360" w:lineRule="auto"/>
                    <w:ind w:left="0" w:right="0" w:firstLine="0" w:firstLineChars="0"/>
                    <w:jc w:val="center"/>
                    <w:rPr>
                      <w:rFonts w:hint="eastAsia"/>
                      <w:lang w:eastAsia="zh-CN"/>
                    </w:rPr>
                  </w:pPr>
                  <w:r>
                    <w:rPr>
                      <w:rFonts w:hint="eastAsia"/>
                      <w:lang w:eastAsia="zh-CN"/>
                    </w:rPr>
                    <w:t>合计</w:t>
                  </w:r>
                </w:p>
              </w:tc>
              <w:tc>
                <w:tcPr>
                  <w:tcW w:w="1022" w:type="pct"/>
                </w:tcPr>
                <w:p>
                  <w:pPr>
                    <w:keepNext w:val="0"/>
                    <w:keepLines w:val="0"/>
                    <w:numPr>
                      <w:ilvl w:val="0"/>
                      <w:numId w:val="0"/>
                    </w:numPr>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118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9.159</w:t>
                  </w:r>
                </w:p>
              </w:tc>
              <w:tc>
                <w:tcPr>
                  <w:tcW w:w="914"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w:t>
                  </w:r>
                </w:p>
              </w:tc>
              <w:tc>
                <w:tcPr>
                  <w:tcW w:w="780" w:type="pct"/>
                </w:tcPr>
                <w:p>
                  <w:pPr>
                    <w:keepNext w:val="0"/>
                    <w:keepLines w:val="0"/>
                    <w:suppressLineNumbers w:val="0"/>
                    <w:adjustRightInd w:val="0"/>
                    <w:spacing w:before="0" w:beforeAutospacing="0" w:after="0" w:afterAutospacing="0" w:line="360" w:lineRule="auto"/>
                    <w:ind w:left="0" w:right="0" w:firstLine="0" w:firstLineChars="0"/>
                    <w:jc w:val="center"/>
                    <w:rPr>
                      <w:rFonts w:hint="default"/>
                      <w:lang w:val="en-US" w:eastAsia="zh-CN"/>
                    </w:rPr>
                  </w:pPr>
                  <w:r>
                    <w:rPr>
                      <w:rFonts w:hint="eastAsia"/>
                      <w:lang w:val="en-US" w:eastAsia="zh-CN"/>
                    </w:rPr>
                    <w:t>0.758</w:t>
                  </w:r>
                </w:p>
              </w:tc>
            </w:tr>
          </w:tbl>
          <w:p>
            <w:pPr>
              <w:keepNext w:val="0"/>
              <w:keepLines w:val="0"/>
              <w:suppressLineNumbers w:val="0"/>
              <w:adjustRightInd w:val="0"/>
              <w:spacing w:before="0" w:beforeAutospacing="0" w:after="0" w:afterAutospacing="0" w:line="360" w:lineRule="auto"/>
              <w:ind w:left="0" w:right="0" w:firstLine="480" w:firstLineChars="200"/>
              <w:rPr>
                <w:rFonts w:hint="eastAsia"/>
                <w:lang w:val="en-US" w:eastAsia="zh-CN"/>
              </w:rPr>
            </w:pPr>
            <w:r>
              <w:rPr>
                <w:rFonts w:hint="eastAsia"/>
                <w:lang w:val="en-US" w:eastAsia="zh-CN"/>
              </w:rPr>
              <w:t>由上表可知，该项目建成后，由于采用了油气回收装置，排入大气的挥发烃类有机污染物比采取措施前减少了91.7%，排入大气的挥发烃类有机污染物合计为0.758t/a，占成品油总销量的0.035%，年损失量不大。</w:t>
            </w:r>
          </w:p>
          <w:p>
            <w:pPr>
              <w:keepNext w:val="0"/>
              <w:keepLines w:val="0"/>
              <w:suppressLineNumbers w:val="0"/>
              <w:adjustRightInd w:val="0"/>
              <w:snapToGrid w:val="0"/>
              <w:spacing w:before="0" w:beforeAutospacing="0" w:after="0" w:afterAutospacing="0" w:line="360" w:lineRule="auto"/>
              <w:ind w:left="0" w:right="0" w:firstLine="480" w:firstLineChars="200"/>
              <w:rPr>
                <w:rFonts w:hint="eastAsia"/>
              </w:rPr>
            </w:pPr>
            <w:r>
              <w:rPr>
                <w:rFonts w:hint="eastAsia"/>
              </w:rPr>
              <w:t>建设单位根据加油站加油量选用</w:t>
            </w:r>
            <w:r>
              <w:rPr>
                <w:rFonts w:hint="eastAsia"/>
                <w:lang w:eastAsia="zh-CN"/>
              </w:rPr>
              <w:t>一套一次</w:t>
            </w:r>
            <w:r>
              <w:rPr>
                <w:rFonts w:hint="eastAsia"/>
              </w:rPr>
              <w:t>油气</w:t>
            </w:r>
            <w:r>
              <w:rPr>
                <w:rFonts w:hint="eastAsia"/>
                <w:lang w:eastAsia="zh-CN"/>
              </w:rPr>
              <w:t>回收装置，</w:t>
            </w:r>
            <w:r>
              <w:rPr>
                <w:rFonts w:hint="eastAsia"/>
                <w:lang w:val="en-US" w:eastAsia="zh-CN"/>
              </w:rPr>
              <w:t>8套二次油气回收装置</w:t>
            </w:r>
            <w:r>
              <w:rPr>
                <w:rFonts w:hint="eastAsia"/>
              </w:rPr>
              <w:t>设备</w:t>
            </w:r>
            <w:r>
              <w:rPr>
                <w:rFonts w:hint="eastAsia"/>
                <w:lang w:val="en-US" w:eastAsia="zh-CN"/>
              </w:rPr>
              <w:t>，</w:t>
            </w:r>
            <w:r>
              <w:rPr>
                <w:rFonts w:hint="eastAsia"/>
              </w:rPr>
              <w:t>根据同类装置检测数据，油气排放浓度小于《加油站大气污染物排放标准》（</w:t>
            </w:r>
            <w:r>
              <w:rPr>
                <w:rFonts w:hint="default"/>
              </w:rPr>
              <w:t>GB20952-2007</w:t>
            </w:r>
            <w:r>
              <w:rPr>
                <w:rFonts w:hint="eastAsia"/>
              </w:rPr>
              <w:t>）中标准限值要求：</w:t>
            </w:r>
            <w:r>
              <w:rPr>
                <w:rFonts w:hint="default"/>
              </w:rPr>
              <w:t>25g/</w:t>
            </w:r>
            <w:r>
              <w:rPr>
                <w:rFonts w:hint="eastAsia"/>
                <w:lang w:eastAsia="zh-CN"/>
              </w:rPr>
              <w:t>m³</w:t>
            </w:r>
            <w:r>
              <w:rPr>
                <w:rFonts w:hint="eastAsia"/>
              </w:rPr>
              <w:t>。要求建设单位按照该标准要求，每年至少检测</w:t>
            </w:r>
            <w:r>
              <w:rPr>
                <w:rFonts w:hint="default"/>
              </w:rPr>
              <w:t>1</w:t>
            </w:r>
            <w:r>
              <w:rPr>
                <w:rFonts w:hint="eastAsia"/>
              </w:rPr>
              <w:t>次呼吸阀排放浓度、油气回收系统的气液比、油气回收管线液阻以及容器、设备、回收系统气密性，保证非甲烷总烃气体达标排放，并确保加油油气回收系统的气液比均应在大于等于</w:t>
            </w:r>
            <w:r>
              <w:rPr>
                <w:rFonts w:hint="default"/>
              </w:rPr>
              <w:t>1.0</w:t>
            </w:r>
            <w:r>
              <w:rPr>
                <w:rFonts w:hint="eastAsia"/>
              </w:rPr>
              <w:t>和小于等于</w:t>
            </w:r>
            <w:r>
              <w:rPr>
                <w:rFonts w:hint="default"/>
              </w:rPr>
              <w:t>1.2</w:t>
            </w:r>
            <w:r>
              <w:rPr>
                <w:rFonts w:hint="eastAsia"/>
              </w:rPr>
              <w:t>范围内，液阻小于标准中表</w:t>
            </w:r>
            <w:r>
              <w:rPr>
                <w:rFonts w:hint="default"/>
              </w:rPr>
              <w:t>1</w:t>
            </w:r>
            <w:r>
              <w:rPr>
                <w:rFonts w:hint="eastAsia"/>
              </w:rPr>
              <w:t>规定的最大压力限值，气密性监测值应大于标准中表</w:t>
            </w:r>
            <w:r>
              <w:rPr>
                <w:rFonts w:hint="default"/>
              </w:rPr>
              <w:t>2</w:t>
            </w:r>
            <w:r>
              <w:rPr>
                <w:rFonts w:hint="eastAsia"/>
              </w:rPr>
              <w:t>规定的最小剩余压力限值。</w:t>
            </w:r>
          </w:p>
          <w:p>
            <w:pPr>
              <w:adjustRightInd w:val="0"/>
              <w:snapToGrid w:val="0"/>
              <w:spacing w:line="500" w:lineRule="exact"/>
              <w:ind w:firstLine="480" w:firstLineChars="200"/>
            </w:pPr>
            <w:r>
              <w:rPr>
                <w:rFonts w:hint="eastAsia"/>
                <w:lang w:val="en-US" w:eastAsia="zh-CN"/>
              </w:rPr>
              <w:t>为了进一步减小加油站油气损失，本加油站采用地埋式工艺安放储罐，保持了油罐的恒温，有效减少了烃类气体的排放；对油罐设置呼吸阀挡板，采用自封式加油枪及密闭卸油等方式，一定程度上减少了油气的排放。因此，项目散失非甲烷总烃对周围大气环境的影响程度很小。</w:t>
            </w:r>
          </w:p>
          <w:p>
            <w:pPr>
              <w:adjustRightInd w:val="0"/>
              <w:snapToGrid w:val="0"/>
              <w:spacing w:line="500" w:lineRule="exact"/>
              <w:ind w:firstLine="480" w:firstLineChars="200"/>
            </w:pPr>
            <w:r>
              <w:rPr>
                <w:rFonts w:hint="eastAsia"/>
              </w:rPr>
              <w:t>（</w:t>
            </w:r>
            <w:r>
              <w:t>2</w:t>
            </w:r>
            <w:r>
              <w:rPr>
                <w:rFonts w:hint="eastAsia"/>
              </w:rPr>
              <w:t>）无组织排放厂界浓度预测</w:t>
            </w:r>
          </w:p>
          <w:p>
            <w:pPr>
              <w:adjustRightInd w:val="0"/>
              <w:snapToGrid w:val="0"/>
              <w:spacing w:line="500" w:lineRule="exact"/>
              <w:ind w:firstLine="480" w:firstLineChars="200"/>
              <w:rPr>
                <w:rFonts w:hint="eastAsia"/>
              </w:rPr>
            </w:pPr>
            <w:r>
              <w:rPr>
                <w:rFonts w:hint="eastAsia"/>
              </w:rPr>
              <w:t>采用《环境影响评价技术导则—大气环境》（</w:t>
            </w:r>
            <w:r>
              <w:rPr>
                <w:rFonts w:hint="default"/>
              </w:rPr>
              <w:t>HJ2.2-2018</w:t>
            </w:r>
            <w:r>
              <w:rPr>
                <w:rFonts w:hint="eastAsia"/>
              </w:rPr>
              <w:t>）推荐的估算模型</w:t>
            </w:r>
            <w:r>
              <w:rPr>
                <w:rFonts w:hint="default"/>
              </w:rPr>
              <w:t>AERSCREEN</w:t>
            </w:r>
            <w:r>
              <w:rPr>
                <w:rFonts w:hint="eastAsia"/>
              </w:rPr>
              <w:t>对本项目进行估算，估算参数见下表。</w:t>
            </w:r>
          </w:p>
          <w:p>
            <w:pPr>
              <w:bidi w:val="0"/>
              <w:jc w:val="center"/>
              <w:rPr>
                <w:rFonts w:hint="default"/>
                <w:lang w:val="en-US" w:eastAsia="zh-CN"/>
              </w:rPr>
            </w:pPr>
            <w:r>
              <w:rPr>
                <w:rFonts w:hint="eastAsia"/>
                <w:lang w:val="en-US" w:eastAsia="zh-CN"/>
              </w:rPr>
              <w:t xml:space="preserve">表24  </w:t>
            </w:r>
            <w:r>
              <w:rPr>
                <w:rFonts w:hint="default"/>
                <w:lang w:val="en-US" w:eastAsia="zh-CN"/>
              </w:rPr>
              <w:t xml:space="preserve"> </w:t>
            </w:r>
            <w:r>
              <w:rPr>
                <w:rFonts w:hint="eastAsia"/>
                <w:lang w:val="en-US" w:eastAsia="zh-CN"/>
              </w:rPr>
              <w:t>南加油站矩形面源参数表</w:t>
            </w:r>
          </w:p>
          <w:tbl>
            <w:tblPr>
              <w:tblStyle w:val="20"/>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98"/>
              <w:gridCol w:w="864"/>
              <w:gridCol w:w="1024"/>
              <w:gridCol w:w="1283"/>
              <w:gridCol w:w="1154"/>
              <w:gridCol w:w="768"/>
              <w:gridCol w:w="208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名称</w:t>
                  </w:r>
                </w:p>
              </w:tc>
              <w:tc>
                <w:tcPr>
                  <w:tcW w:w="864"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面源</w:t>
                  </w:r>
                </w:p>
                <w:p>
                  <w:pPr>
                    <w:widowControl w:val="0"/>
                    <w:spacing w:line="240" w:lineRule="auto"/>
                    <w:ind w:firstLine="0" w:firstLineChars="0"/>
                    <w:jc w:val="center"/>
                    <w:rPr>
                      <w:lang w:val="en-US" w:eastAsia="zh-CN"/>
                    </w:rPr>
                  </w:pPr>
                  <w:r>
                    <w:rPr>
                      <w:rFonts w:hint="eastAsia"/>
                      <w:lang w:val="en-US" w:eastAsia="zh-CN"/>
                    </w:rPr>
                    <w:t>长度</w:t>
                  </w:r>
                  <w:r>
                    <w:rPr>
                      <w:lang w:val="en-US" w:eastAsia="zh-CN"/>
                    </w:rPr>
                    <w:t>/m</w:t>
                  </w:r>
                </w:p>
              </w:tc>
              <w:tc>
                <w:tcPr>
                  <w:tcW w:w="1024"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面源</w:t>
                  </w:r>
                </w:p>
                <w:p>
                  <w:pPr>
                    <w:widowControl w:val="0"/>
                    <w:spacing w:line="240" w:lineRule="auto"/>
                    <w:ind w:firstLine="0" w:firstLineChars="0"/>
                    <w:jc w:val="center"/>
                    <w:rPr>
                      <w:lang w:val="en-US" w:eastAsia="zh-CN"/>
                    </w:rPr>
                  </w:pPr>
                  <w:r>
                    <w:rPr>
                      <w:rFonts w:hint="eastAsia"/>
                      <w:lang w:val="en-US" w:eastAsia="zh-CN"/>
                    </w:rPr>
                    <w:t>宽度</w:t>
                  </w:r>
                  <w:r>
                    <w:rPr>
                      <w:lang w:val="en-US" w:eastAsia="zh-CN"/>
                    </w:rPr>
                    <w:t>/m</w:t>
                  </w:r>
                </w:p>
              </w:tc>
              <w:tc>
                <w:tcPr>
                  <w:tcW w:w="1283"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面源有效</w:t>
                  </w:r>
                </w:p>
                <w:p>
                  <w:pPr>
                    <w:widowControl w:val="0"/>
                    <w:spacing w:line="240" w:lineRule="auto"/>
                    <w:ind w:firstLine="0" w:firstLineChars="0"/>
                    <w:jc w:val="center"/>
                    <w:rPr>
                      <w:lang w:val="en-US" w:eastAsia="zh-CN"/>
                    </w:rPr>
                  </w:pPr>
                  <w:r>
                    <w:rPr>
                      <w:rFonts w:hint="eastAsia"/>
                      <w:lang w:val="en-US" w:eastAsia="zh-CN"/>
                    </w:rPr>
                    <w:t>排放高度</w:t>
                  </w:r>
                  <w:r>
                    <w:rPr>
                      <w:lang w:val="en-US" w:eastAsia="zh-CN"/>
                    </w:rPr>
                    <w:t>/m</w:t>
                  </w:r>
                </w:p>
              </w:tc>
              <w:tc>
                <w:tcPr>
                  <w:tcW w:w="1154"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年排放</w:t>
                  </w:r>
                </w:p>
                <w:p>
                  <w:pPr>
                    <w:widowControl w:val="0"/>
                    <w:spacing w:line="240" w:lineRule="auto"/>
                    <w:ind w:firstLine="0" w:firstLineChars="0"/>
                    <w:jc w:val="center"/>
                    <w:rPr>
                      <w:lang w:val="en-US" w:eastAsia="zh-CN"/>
                    </w:rPr>
                  </w:pPr>
                  <w:r>
                    <w:rPr>
                      <w:rFonts w:hint="eastAsia"/>
                      <w:lang w:val="en-US" w:eastAsia="zh-CN"/>
                    </w:rPr>
                    <w:t>小时数</w:t>
                  </w:r>
                  <w:r>
                    <w:rPr>
                      <w:lang w:val="en-US" w:eastAsia="zh-CN"/>
                    </w:rPr>
                    <w:t>/h</w:t>
                  </w:r>
                </w:p>
              </w:tc>
              <w:tc>
                <w:tcPr>
                  <w:tcW w:w="768"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排放</w:t>
                  </w:r>
                </w:p>
                <w:p>
                  <w:pPr>
                    <w:widowControl w:val="0"/>
                    <w:spacing w:line="240" w:lineRule="auto"/>
                    <w:ind w:firstLine="0" w:firstLineChars="0"/>
                    <w:jc w:val="center"/>
                    <w:rPr>
                      <w:lang w:val="en-US" w:eastAsia="zh-CN"/>
                    </w:rPr>
                  </w:pPr>
                  <w:r>
                    <w:rPr>
                      <w:rFonts w:hint="eastAsia"/>
                      <w:lang w:val="en-US" w:eastAsia="zh-CN"/>
                    </w:rPr>
                    <w:t>工况</w:t>
                  </w:r>
                </w:p>
              </w:tc>
              <w:tc>
                <w:tcPr>
                  <w:tcW w:w="2086" w:type="dxa"/>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污染物排放速率</w:t>
                  </w:r>
                  <w:r>
                    <w:rPr>
                      <w:lang w:val="en-US" w:eastAsia="zh-CN"/>
                    </w:rPr>
                    <w:t>/</w:t>
                  </w:r>
                  <w:r>
                    <w:rPr>
                      <w:rFonts w:hint="eastAsia"/>
                      <w:lang w:val="en-US" w:eastAsia="zh-CN"/>
                    </w:rPr>
                    <w:t>（</w:t>
                  </w:r>
                  <w:r>
                    <w:rPr>
                      <w:lang w:val="en-US" w:eastAsia="zh-CN"/>
                    </w:rPr>
                    <w:t>kg/h</w:t>
                  </w: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vMerge w:val="continue"/>
                  <w:tcBorders>
                    <w:left w:val="single" w:color="auto" w:sz="4" w:space="0"/>
                  </w:tcBorders>
                  <w:noWrap w:val="0"/>
                  <w:vAlign w:val="center"/>
                </w:tcPr>
                <w:p>
                  <w:pPr>
                    <w:widowControl w:val="0"/>
                    <w:spacing w:line="240" w:lineRule="auto"/>
                    <w:ind w:firstLine="0" w:firstLineChars="0"/>
                    <w:jc w:val="center"/>
                    <w:rPr>
                      <w:lang w:val="en-US" w:eastAsia="zh-CN"/>
                    </w:rPr>
                  </w:pPr>
                </w:p>
              </w:tc>
              <w:tc>
                <w:tcPr>
                  <w:tcW w:w="864" w:type="dxa"/>
                  <w:vMerge w:val="continue"/>
                  <w:noWrap w:val="0"/>
                  <w:vAlign w:val="center"/>
                </w:tcPr>
                <w:p>
                  <w:pPr>
                    <w:widowControl w:val="0"/>
                    <w:spacing w:line="240" w:lineRule="auto"/>
                    <w:ind w:firstLine="0" w:firstLineChars="0"/>
                    <w:jc w:val="center"/>
                    <w:rPr>
                      <w:lang w:val="en-US" w:eastAsia="zh-CN"/>
                    </w:rPr>
                  </w:pPr>
                </w:p>
              </w:tc>
              <w:tc>
                <w:tcPr>
                  <w:tcW w:w="1024" w:type="dxa"/>
                  <w:vMerge w:val="continue"/>
                  <w:noWrap w:val="0"/>
                  <w:vAlign w:val="center"/>
                </w:tcPr>
                <w:p>
                  <w:pPr>
                    <w:widowControl w:val="0"/>
                    <w:spacing w:line="240" w:lineRule="auto"/>
                    <w:ind w:firstLine="0" w:firstLineChars="0"/>
                    <w:jc w:val="center"/>
                    <w:rPr>
                      <w:lang w:val="en-US" w:eastAsia="zh-CN"/>
                    </w:rPr>
                  </w:pPr>
                </w:p>
              </w:tc>
              <w:tc>
                <w:tcPr>
                  <w:tcW w:w="1283" w:type="dxa"/>
                  <w:vMerge w:val="continue"/>
                  <w:noWrap w:val="0"/>
                  <w:vAlign w:val="center"/>
                </w:tcPr>
                <w:p>
                  <w:pPr>
                    <w:widowControl w:val="0"/>
                    <w:spacing w:line="240" w:lineRule="auto"/>
                    <w:ind w:firstLine="0" w:firstLineChars="0"/>
                    <w:jc w:val="center"/>
                    <w:rPr>
                      <w:lang w:val="en-US" w:eastAsia="zh-CN"/>
                    </w:rPr>
                  </w:pPr>
                </w:p>
              </w:tc>
              <w:tc>
                <w:tcPr>
                  <w:tcW w:w="1154" w:type="dxa"/>
                  <w:vMerge w:val="continue"/>
                  <w:noWrap w:val="0"/>
                  <w:vAlign w:val="center"/>
                </w:tcPr>
                <w:p>
                  <w:pPr>
                    <w:widowControl w:val="0"/>
                    <w:spacing w:line="240" w:lineRule="auto"/>
                    <w:ind w:firstLine="0" w:firstLineChars="0"/>
                    <w:jc w:val="center"/>
                    <w:rPr>
                      <w:lang w:val="en-US" w:eastAsia="zh-CN"/>
                    </w:rPr>
                  </w:pPr>
                </w:p>
              </w:tc>
              <w:tc>
                <w:tcPr>
                  <w:tcW w:w="768" w:type="dxa"/>
                  <w:vMerge w:val="continue"/>
                  <w:noWrap w:val="0"/>
                  <w:vAlign w:val="center"/>
                </w:tcPr>
                <w:p>
                  <w:pPr>
                    <w:widowControl w:val="0"/>
                    <w:spacing w:line="240" w:lineRule="auto"/>
                    <w:ind w:firstLine="0" w:firstLineChars="0"/>
                    <w:jc w:val="center"/>
                    <w:rPr>
                      <w:lang w:val="en-US" w:eastAsia="zh-CN"/>
                    </w:rPr>
                  </w:pPr>
                </w:p>
              </w:tc>
              <w:tc>
                <w:tcPr>
                  <w:tcW w:w="2086" w:type="dxa"/>
                  <w:tcBorders>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98" w:type="dxa"/>
                  <w:tcBorders>
                    <w:left w:val="single" w:color="auto" w:sz="4" w:space="0"/>
                    <w:bottom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加油站</w:t>
                  </w:r>
                </w:p>
              </w:tc>
              <w:tc>
                <w:tcPr>
                  <w:tcW w:w="864" w:type="dxa"/>
                  <w:tcBorders>
                    <w:bottom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75</w:t>
                  </w:r>
                </w:p>
              </w:tc>
              <w:tc>
                <w:tcPr>
                  <w:tcW w:w="1024" w:type="dxa"/>
                  <w:tcBorders>
                    <w:bottom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25</w:t>
                  </w:r>
                </w:p>
              </w:tc>
              <w:tc>
                <w:tcPr>
                  <w:tcW w:w="1283" w:type="dxa"/>
                  <w:tcBorders>
                    <w:bottom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6.5</w:t>
                  </w:r>
                </w:p>
              </w:tc>
              <w:tc>
                <w:tcPr>
                  <w:tcW w:w="1154" w:type="dxa"/>
                  <w:tcBorders>
                    <w:bottom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8760</w:t>
                  </w:r>
                </w:p>
              </w:tc>
              <w:tc>
                <w:tcPr>
                  <w:tcW w:w="768" w:type="dxa"/>
                  <w:tcBorders>
                    <w:bottom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正常</w:t>
                  </w:r>
                </w:p>
              </w:tc>
              <w:tc>
                <w:tcPr>
                  <w:tcW w:w="2086" w:type="dxa"/>
                  <w:tcBorders>
                    <w:bottom w:val="single" w:color="auto" w:sz="8" w:space="0"/>
                    <w:right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0.0865</w:t>
                  </w:r>
                </w:p>
              </w:tc>
            </w:tr>
          </w:tbl>
          <w:p>
            <w:pPr>
              <w:adjustRightInd w:val="0"/>
              <w:snapToGrid w:val="0"/>
              <w:spacing w:line="500" w:lineRule="exact"/>
              <w:ind w:firstLine="480" w:firstLineChars="200"/>
              <w:rPr>
                <w:rFonts w:hint="eastAsia"/>
              </w:rPr>
            </w:pPr>
            <w:r>
              <w:rPr>
                <w:rFonts w:hint="eastAsia"/>
              </w:rPr>
              <w:t>（1）评价等级判断</w:t>
            </w:r>
          </w:p>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1 \* GB3 </w:instrText>
            </w:r>
            <w:r>
              <w:rPr>
                <w:rFonts w:hint="eastAsia"/>
              </w:rPr>
              <w:fldChar w:fldCharType="separate"/>
            </w:r>
            <w:r>
              <w:rPr>
                <w:rFonts w:hint="eastAsia"/>
              </w:rPr>
              <w:t>①</w:t>
            </w:r>
            <w:r>
              <w:rPr>
                <w:rFonts w:hint="eastAsia"/>
              </w:rPr>
              <w:fldChar w:fldCharType="end"/>
            </w:r>
            <w:r>
              <w:rPr>
                <w:rFonts w:hint="eastAsia"/>
              </w:rPr>
              <w:t>评价因子和评价标准筛选</w:t>
            </w:r>
          </w:p>
          <w:p>
            <w:pPr>
              <w:adjustRightInd w:val="0"/>
              <w:snapToGrid w:val="0"/>
              <w:spacing w:line="500" w:lineRule="exact"/>
              <w:ind w:firstLine="480" w:firstLineChars="200"/>
              <w:rPr>
                <w:rFonts w:hint="eastAsia"/>
              </w:rPr>
            </w:pPr>
            <w:r>
              <w:rPr>
                <w:rFonts w:hint="eastAsia"/>
              </w:rPr>
              <w:t>本项目评价因子和评价标准见下表。</w:t>
            </w:r>
          </w:p>
          <w:p>
            <w:pPr>
              <w:bidi w:val="0"/>
              <w:jc w:val="center"/>
              <w:rPr>
                <w:rFonts w:hint="eastAsia"/>
                <w:lang w:val="en-US" w:eastAsia="zh-CN"/>
              </w:rPr>
            </w:pPr>
            <w:r>
              <w:rPr>
                <w:rFonts w:hint="eastAsia"/>
                <w:lang w:val="en-US" w:eastAsia="zh-CN"/>
              </w:rPr>
              <w:t>表25    评价因子和评价标准</w:t>
            </w:r>
          </w:p>
          <w:tbl>
            <w:tblPr>
              <w:tblStyle w:val="20"/>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49"/>
              <w:gridCol w:w="1305"/>
              <w:gridCol w:w="1614"/>
              <w:gridCol w:w="430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lang w:val="en-US" w:eastAsia="zh-CN"/>
                    </w:rPr>
                  </w:pPr>
                  <w:r>
                    <w:rPr>
                      <w:rFonts w:hint="eastAsia"/>
                      <w:lang w:val="en-US" w:eastAsia="zh-CN"/>
                    </w:rPr>
                    <w:t>评价因子</w:t>
                  </w:r>
                </w:p>
              </w:tc>
              <w:tc>
                <w:tcPr>
                  <w:tcW w:w="1305" w:type="dxa"/>
                  <w:noWrap w:val="0"/>
                  <w:vAlign w:val="center"/>
                </w:tcPr>
                <w:p>
                  <w:pPr>
                    <w:widowControl w:val="0"/>
                    <w:spacing w:line="240" w:lineRule="auto"/>
                    <w:ind w:firstLine="0" w:firstLineChars="0"/>
                    <w:jc w:val="center"/>
                    <w:rPr>
                      <w:lang w:val="en-US" w:eastAsia="zh-CN"/>
                    </w:rPr>
                  </w:pPr>
                  <w:r>
                    <w:rPr>
                      <w:rFonts w:hint="eastAsia"/>
                      <w:lang w:val="en-US" w:eastAsia="zh-CN"/>
                    </w:rPr>
                    <w:t>平均时段</w:t>
                  </w:r>
                </w:p>
              </w:tc>
              <w:tc>
                <w:tcPr>
                  <w:tcW w:w="1614" w:type="dxa"/>
                  <w:noWrap w:val="0"/>
                  <w:vAlign w:val="center"/>
                </w:tcPr>
                <w:p>
                  <w:pPr>
                    <w:widowControl w:val="0"/>
                    <w:spacing w:line="240" w:lineRule="auto"/>
                    <w:ind w:firstLine="0" w:firstLineChars="0"/>
                    <w:jc w:val="center"/>
                    <w:rPr>
                      <w:lang w:val="en-US" w:eastAsia="zh-CN"/>
                    </w:rPr>
                  </w:pPr>
                  <w:r>
                    <w:rPr>
                      <w:rFonts w:hint="eastAsia"/>
                      <w:lang w:val="en-US" w:eastAsia="zh-CN"/>
                    </w:rPr>
                    <w:t>标准值（</w:t>
                  </w:r>
                  <w:r>
                    <w:rPr>
                      <w:lang w:val="en-US" w:eastAsia="zh-CN"/>
                    </w:rPr>
                    <w:t>mg/m3</w:t>
                  </w:r>
                  <w:r>
                    <w:rPr>
                      <w:rFonts w:hint="eastAsia"/>
                      <w:lang w:val="en-US" w:eastAsia="zh-CN"/>
                    </w:rPr>
                    <w:t>）</w:t>
                  </w:r>
                </w:p>
              </w:tc>
              <w:tc>
                <w:tcPr>
                  <w:tcW w:w="4309" w:type="dxa"/>
                  <w:noWrap w:val="0"/>
                  <w:vAlign w:val="center"/>
                </w:tcPr>
                <w:p>
                  <w:pPr>
                    <w:widowControl w:val="0"/>
                    <w:spacing w:line="240" w:lineRule="auto"/>
                    <w:ind w:firstLine="0" w:firstLineChars="0"/>
                    <w:jc w:val="center"/>
                    <w:rPr>
                      <w:lang w:val="en-US" w:eastAsia="zh-CN"/>
                    </w:rPr>
                  </w:pPr>
                  <w:r>
                    <w:rPr>
                      <w:rFonts w:hint="eastAsia"/>
                      <w:lang w:val="en-US"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049" w:type="dxa"/>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非甲烷总烃</w:t>
                  </w:r>
                </w:p>
              </w:tc>
              <w:tc>
                <w:tcPr>
                  <w:tcW w:w="1305" w:type="dxa"/>
                  <w:noWrap w:val="0"/>
                  <w:vAlign w:val="center"/>
                </w:tcPr>
                <w:p>
                  <w:pPr>
                    <w:widowControl w:val="0"/>
                    <w:spacing w:line="240" w:lineRule="auto"/>
                    <w:ind w:firstLine="0" w:firstLineChars="0"/>
                    <w:jc w:val="center"/>
                    <w:rPr>
                      <w:lang w:val="en-US" w:eastAsia="zh-CN"/>
                    </w:rPr>
                  </w:pPr>
                  <w:r>
                    <w:rPr>
                      <w:rFonts w:hint="eastAsia"/>
                      <w:lang w:val="en-US" w:eastAsia="zh-CN"/>
                    </w:rPr>
                    <w:t>1小时平均</w:t>
                  </w:r>
                </w:p>
              </w:tc>
              <w:tc>
                <w:tcPr>
                  <w:tcW w:w="1614" w:type="dxa"/>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2</w:t>
                  </w:r>
                </w:p>
              </w:tc>
              <w:tc>
                <w:tcPr>
                  <w:tcW w:w="4309" w:type="dxa"/>
                  <w:noWrap w:val="0"/>
                  <w:vAlign w:val="center"/>
                </w:tcPr>
                <w:p>
                  <w:pPr>
                    <w:widowControl w:val="0"/>
                    <w:spacing w:line="240" w:lineRule="auto"/>
                    <w:ind w:firstLine="0" w:firstLineChars="0"/>
                    <w:jc w:val="center"/>
                    <w:rPr>
                      <w:lang w:val="en-US" w:eastAsia="zh-CN"/>
                    </w:rPr>
                  </w:pPr>
                  <w:r>
                    <w:rPr>
                      <w:rFonts w:hint="eastAsia"/>
                      <w:lang w:val="en-US" w:eastAsia="zh-CN"/>
                    </w:rPr>
                    <w:t>《大气污染物综合排放标准详解》</w:t>
                  </w:r>
                </w:p>
              </w:tc>
            </w:tr>
          </w:tbl>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2 \* GB3 </w:instrText>
            </w:r>
            <w:r>
              <w:rPr>
                <w:rFonts w:hint="eastAsia"/>
              </w:rPr>
              <w:fldChar w:fldCharType="separate"/>
            </w:r>
            <w:r>
              <w:rPr>
                <w:rFonts w:hint="eastAsia"/>
              </w:rPr>
              <w:t>②</w:t>
            </w:r>
            <w:r>
              <w:rPr>
                <w:rFonts w:hint="eastAsia"/>
              </w:rPr>
              <w:fldChar w:fldCharType="end"/>
            </w:r>
            <w:r>
              <w:rPr>
                <w:rFonts w:hint="eastAsia"/>
              </w:rPr>
              <w:t>主要污染估算模型计算结果</w:t>
            </w:r>
          </w:p>
          <w:p>
            <w:pPr>
              <w:adjustRightInd w:val="0"/>
              <w:snapToGrid w:val="0"/>
              <w:spacing w:line="500" w:lineRule="exact"/>
              <w:ind w:firstLine="480" w:firstLineChars="200"/>
              <w:rPr>
                <w:rFonts w:hint="eastAsia"/>
              </w:rPr>
            </w:pPr>
            <w:r>
              <w:rPr>
                <w:rFonts w:hint="eastAsia"/>
              </w:rPr>
              <w:t>主要污染估算模型计算结果见下表。</w:t>
            </w:r>
          </w:p>
          <w:p>
            <w:pPr>
              <w:bidi w:val="0"/>
              <w:jc w:val="center"/>
              <w:rPr>
                <w:rFonts w:hint="default"/>
                <w:lang w:val="en-US" w:eastAsia="zh-CN"/>
              </w:rPr>
            </w:pPr>
            <w:r>
              <w:rPr>
                <w:rFonts w:hint="eastAsia"/>
                <w:lang w:val="en-US" w:eastAsia="zh-CN"/>
              </w:rPr>
              <w:t>表26 主要污染源（面源）估算模型计算结果表(NAN</w:t>
            </w:r>
          </w:p>
          <w:tbl>
            <w:tblPr>
              <w:tblStyle w:val="20"/>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305"/>
              <w:gridCol w:w="2616"/>
              <w:gridCol w:w="23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restart"/>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下风向距离</w:t>
                  </w:r>
                  <w:r>
                    <w:rPr>
                      <w:lang w:val="en-US" w:eastAsia="zh-CN"/>
                    </w:rPr>
                    <w:t>/m</w:t>
                  </w:r>
                </w:p>
              </w:tc>
              <w:tc>
                <w:tcPr>
                  <w:tcW w:w="4972" w:type="dxa"/>
                  <w:gridSpan w:val="2"/>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1#车间  颗粒物</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vMerge w:val="continue"/>
                  <w:tcBorders>
                    <w:left w:val="single" w:color="auto" w:sz="4" w:space="0"/>
                  </w:tcBorders>
                  <w:noWrap w:val="0"/>
                  <w:vAlign w:val="center"/>
                </w:tcPr>
                <w:p>
                  <w:pPr>
                    <w:widowControl w:val="0"/>
                    <w:spacing w:line="240" w:lineRule="auto"/>
                    <w:ind w:firstLine="0" w:firstLineChars="0"/>
                    <w:jc w:val="center"/>
                    <w:rPr>
                      <w:lang w:val="en-US" w:eastAsia="zh-CN"/>
                    </w:rPr>
                  </w:pPr>
                </w:p>
              </w:tc>
              <w:tc>
                <w:tcPr>
                  <w:tcW w:w="2616" w:type="dxa"/>
                  <w:noWrap w:val="0"/>
                  <w:vAlign w:val="center"/>
                </w:tcPr>
                <w:p>
                  <w:pPr>
                    <w:widowControl w:val="0"/>
                    <w:spacing w:line="240" w:lineRule="auto"/>
                    <w:ind w:firstLine="0" w:firstLineChars="0"/>
                    <w:jc w:val="center"/>
                    <w:rPr>
                      <w:lang w:val="en-US" w:eastAsia="zh-CN"/>
                    </w:rPr>
                  </w:pPr>
                  <w:r>
                    <w:rPr>
                      <w:rFonts w:hint="eastAsia"/>
                      <w:lang w:val="en-US" w:eastAsia="zh-CN"/>
                    </w:rPr>
                    <w:t>预测质量浓度</w:t>
                  </w:r>
                  <w:r>
                    <w:rPr>
                      <w:lang w:val="en-US" w:eastAsia="zh-CN"/>
                    </w:rPr>
                    <w:t xml:space="preserve"> (mg/m3)</w:t>
                  </w:r>
                </w:p>
              </w:tc>
              <w:tc>
                <w:tcPr>
                  <w:tcW w:w="2356" w:type="dxa"/>
                  <w:tcBorders>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占标率</w:t>
                  </w:r>
                  <w:r>
                    <w:rPr>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lang w:val="en-US" w:eastAsia="zh-CN"/>
                    </w:rPr>
                  </w:pPr>
                  <w:r>
                    <w:rPr>
                      <w:rFonts w:hint="eastAsia"/>
                      <w:lang w:val="en-US" w:eastAsia="zh-CN"/>
                    </w:rPr>
                    <w:t>下风向最大质量浓度及占标率</w:t>
                  </w:r>
                </w:p>
              </w:tc>
              <w:tc>
                <w:tcPr>
                  <w:tcW w:w="2616" w:type="dxa"/>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0.07</w:t>
                  </w:r>
                </w:p>
              </w:tc>
              <w:tc>
                <w:tcPr>
                  <w:tcW w:w="2356" w:type="dxa"/>
                  <w:tcBorders>
                    <w:right w:val="single" w:color="auto" w:sz="8" w:space="0"/>
                  </w:tcBorders>
                  <w:noWrap w:val="0"/>
                  <w:vAlign w:val="center"/>
                </w:tcPr>
                <w:p>
                  <w:pPr>
                    <w:widowControl w:val="0"/>
                    <w:spacing w:line="240" w:lineRule="auto"/>
                    <w:ind w:firstLine="0" w:firstLineChars="0"/>
                    <w:jc w:val="center"/>
                    <w:rPr>
                      <w:rFonts w:hint="default"/>
                      <w:lang w:val="en-US" w:eastAsia="zh-CN"/>
                    </w:rPr>
                  </w:pPr>
                  <w:r>
                    <w:rPr>
                      <w:rFonts w:hint="eastAsia"/>
                      <w:lang w:val="en-US" w:eastAsia="zh-CN"/>
                    </w:rPr>
                    <w:t>5.88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3305" w:type="dxa"/>
                  <w:tcBorders>
                    <w:left w:val="single" w:color="auto" w:sz="4"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评价等级</w:t>
                  </w:r>
                </w:p>
              </w:tc>
              <w:tc>
                <w:tcPr>
                  <w:tcW w:w="4972" w:type="dxa"/>
                  <w:gridSpan w:val="2"/>
                  <w:tcBorders>
                    <w:right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二级</w:t>
                  </w:r>
                </w:p>
              </w:tc>
            </w:tr>
          </w:tbl>
          <w:p>
            <w:pPr>
              <w:adjustRightInd w:val="0"/>
              <w:snapToGrid w:val="0"/>
              <w:spacing w:line="500" w:lineRule="exact"/>
              <w:ind w:firstLine="480" w:firstLineChars="200"/>
              <w:rPr>
                <w:rFonts w:hint="eastAsia"/>
              </w:rPr>
            </w:pPr>
            <w:r>
              <w:rPr>
                <w:rFonts w:hint="eastAsia"/>
              </w:rPr>
              <w:fldChar w:fldCharType="begin"/>
            </w:r>
            <w:r>
              <w:rPr>
                <w:rFonts w:hint="eastAsia"/>
              </w:rPr>
              <w:instrText xml:space="preserve"> = 3 \* GB3 </w:instrText>
            </w:r>
            <w:r>
              <w:rPr>
                <w:rFonts w:hint="eastAsia"/>
              </w:rPr>
              <w:fldChar w:fldCharType="separate"/>
            </w:r>
            <w:r>
              <w:rPr>
                <w:rFonts w:hint="eastAsia"/>
              </w:rPr>
              <w:t>③</w:t>
            </w:r>
            <w:r>
              <w:rPr>
                <w:rFonts w:hint="eastAsia"/>
              </w:rPr>
              <w:fldChar w:fldCharType="end"/>
            </w:r>
            <w:r>
              <w:rPr>
                <w:rFonts w:hint="eastAsia"/>
              </w:rPr>
              <w:t>评价等级判定</w:t>
            </w:r>
          </w:p>
          <w:p>
            <w:pPr>
              <w:adjustRightInd w:val="0"/>
              <w:snapToGrid w:val="0"/>
              <w:spacing w:line="500" w:lineRule="exact"/>
              <w:ind w:firstLine="480" w:firstLineChars="200"/>
              <w:rPr>
                <w:rFonts w:hint="eastAsia"/>
              </w:rPr>
            </w:pPr>
            <w:r>
              <w:rPr>
                <w:rFonts w:hint="eastAsia"/>
              </w:rPr>
              <w:t>评价等级判别见下表。</w:t>
            </w:r>
          </w:p>
          <w:p>
            <w:pPr>
              <w:bidi w:val="0"/>
              <w:jc w:val="center"/>
              <w:rPr>
                <w:rFonts w:hint="eastAsia"/>
                <w:lang w:val="en-US" w:eastAsia="zh-CN"/>
              </w:rPr>
            </w:pPr>
            <w:r>
              <w:rPr>
                <w:rFonts w:hint="eastAsia"/>
                <w:lang w:val="en-US" w:eastAsia="zh-CN"/>
              </w:rPr>
              <w:t>表27    评价等级判别表</w:t>
            </w:r>
          </w:p>
          <w:tbl>
            <w:tblPr>
              <w:tblStyle w:val="20"/>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3885"/>
              <w:gridCol w:w="43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top w:val="single" w:color="auto" w:sz="8" w:space="0"/>
                  </w:tcBorders>
                  <w:noWrap w:val="0"/>
                  <w:vAlign w:val="center"/>
                </w:tcPr>
                <w:p>
                  <w:pPr>
                    <w:spacing w:line="240" w:lineRule="auto"/>
                    <w:ind w:firstLine="420" w:firstLineChars="0"/>
                    <w:jc w:val="center"/>
                  </w:pPr>
                  <w:r>
                    <w:rPr>
                      <w:rFonts w:hint="eastAsia"/>
                    </w:rPr>
                    <w:t>评价工作等级</w:t>
                  </w:r>
                </w:p>
              </w:tc>
              <w:tc>
                <w:tcPr>
                  <w:tcW w:w="4392" w:type="dxa"/>
                  <w:tcBorders>
                    <w:top w:val="single" w:color="auto" w:sz="8" w:space="0"/>
                    <w:right w:val="single" w:color="auto" w:sz="8" w:space="0"/>
                  </w:tcBorders>
                  <w:noWrap w:val="0"/>
                  <w:vAlign w:val="center"/>
                </w:tcPr>
                <w:p>
                  <w:pPr>
                    <w:spacing w:line="240" w:lineRule="auto"/>
                    <w:ind w:firstLine="420" w:firstLineChars="0"/>
                    <w:jc w:val="center"/>
                  </w:pPr>
                  <w:r>
                    <w:rPr>
                      <w:rFonts w:hint="eastAsia"/>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一级评价</w:t>
                  </w:r>
                </w:p>
              </w:tc>
              <w:tc>
                <w:tcPr>
                  <w:tcW w:w="4392" w:type="dxa"/>
                  <w:tcBorders>
                    <w:right w:val="single" w:color="auto" w:sz="8" w:space="0"/>
                  </w:tcBorders>
                  <w:noWrap w:val="0"/>
                  <w:vAlign w:val="center"/>
                </w:tcPr>
                <w:p>
                  <w:pPr>
                    <w:spacing w:line="240" w:lineRule="auto"/>
                    <w:ind w:firstLine="420" w:firstLineChars="0"/>
                    <w:jc w:val="center"/>
                  </w:pPr>
                  <w:r>
                    <w:t>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tcBorders>
                  <w:noWrap w:val="0"/>
                  <w:vAlign w:val="center"/>
                </w:tcPr>
                <w:p>
                  <w:pPr>
                    <w:spacing w:line="240" w:lineRule="auto"/>
                    <w:ind w:firstLine="420" w:firstLineChars="0"/>
                    <w:jc w:val="center"/>
                  </w:pPr>
                  <w:r>
                    <w:rPr>
                      <w:rFonts w:hint="eastAsia"/>
                    </w:rPr>
                    <w:t>二级评价</w:t>
                  </w:r>
                </w:p>
              </w:tc>
              <w:tc>
                <w:tcPr>
                  <w:tcW w:w="4392" w:type="dxa"/>
                  <w:tcBorders>
                    <w:right w:val="single" w:color="auto" w:sz="8" w:space="0"/>
                  </w:tcBorders>
                  <w:noWrap w:val="0"/>
                  <w:vAlign w:val="center"/>
                </w:tcPr>
                <w:p>
                  <w:pPr>
                    <w:spacing w:line="240" w:lineRule="auto"/>
                    <w:ind w:firstLine="420" w:firstLineChars="0"/>
                    <w:jc w:val="center"/>
                  </w:pPr>
                  <w:r>
                    <w:t>1%≤Pmax≤10%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6" w:hRule="exact"/>
                <w:jc w:val="center"/>
              </w:trPr>
              <w:tc>
                <w:tcPr>
                  <w:tcW w:w="3885" w:type="dxa"/>
                  <w:tcBorders>
                    <w:left w:val="single" w:color="auto" w:sz="4" w:space="0"/>
                    <w:bottom w:val="single" w:color="auto" w:sz="8" w:space="0"/>
                  </w:tcBorders>
                  <w:noWrap w:val="0"/>
                  <w:vAlign w:val="center"/>
                </w:tcPr>
                <w:p>
                  <w:pPr>
                    <w:spacing w:line="240" w:lineRule="auto"/>
                    <w:ind w:firstLine="420" w:firstLineChars="0"/>
                    <w:jc w:val="center"/>
                  </w:pPr>
                  <w:r>
                    <w:rPr>
                      <w:rFonts w:hint="eastAsia"/>
                    </w:rPr>
                    <w:t>三级评价</w:t>
                  </w:r>
                </w:p>
              </w:tc>
              <w:tc>
                <w:tcPr>
                  <w:tcW w:w="4392" w:type="dxa"/>
                  <w:tcBorders>
                    <w:bottom w:val="single" w:color="auto" w:sz="8" w:space="0"/>
                    <w:right w:val="single" w:color="auto" w:sz="8" w:space="0"/>
                  </w:tcBorders>
                  <w:noWrap w:val="0"/>
                  <w:vAlign w:val="center"/>
                </w:tcPr>
                <w:p>
                  <w:pPr>
                    <w:spacing w:line="240" w:lineRule="auto"/>
                    <w:ind w:firstLine="420" w:firstLineChars="0"/>
                    <w:jc w:val="center"/>
                  </w:pPr>
                  <w:r>
                    <w:t>Pmax≤1%</w:t>
                  </w:r>
                </w:p>
              </w:tc>
            </w:tr>
          </w:tbl>
          <w:p>
            <w:pPr>
              <w:adjustRightInd w:val="0"/>
              <w:snapToGrid w:val="0"/>
              <w:spacing w:line="500" w:lineRule="exact"/>
              <w:ind w:firstLine="480" w:firstLineChars="200"/>
              <w:rPr>
                <w:rFonts w:hint="eastAsia"/>
              </w:rPr>
            </w:pPr>
            <w:r>
              <w:t>由上表可知，本项目评价工作为二级，评价范围为边长5km的矩形区域。项目污染物在各厂界浓度值满足《大气污染物综合排放标准》（GB16297-1996）表2中非甲烷总烃周界外浓度最高点4.0 mg/m³的要求，</w:t>
            </w:r>
            <w:r>
              <w:rPr>
                <w:rFonts w:hint="eastAsia"/>
              </w:rPr>
              <w:t>满足《加油站大气污染物排放标准》（GB20952-2007）中的油气控制浓度限值（≦25 mg/m3）</w:t>
            </w:r>
            <w:r>
              <w:t>的要求</w:t>
            </w:r>
            <w:r>
              <w:rPr>
                <w:rFonts w:hint="eastAsia"/>
              </w:rPr>
              <w:t>，</w:t>
            </w:r>
            <w:r>
              <w:t>以及河南省环境污染防治攻坚战领导小组办公室《关于全省开展工业企业挥发性有机物专项治理工作中排放建议值的通知》（豫环攻坚办[2017]162号）中企业边界挥发性有机物排放建议值</w:t>
            </w:r>
            <w:r>
              <w:rPr>
                <w:rFonts w:hint="eastAsia"/>
              </w:rPr>
              <w:t>非甲烷总烃</w:t>
            </w:r>
            <w:r>
              <w:t>2.0mg/m³的要求，因此本项目非甲烷总烃在</w:t>
            </w:r>
            <w:r>
              <w:rPr>
                <w:rFonts w:hint="eastAsia"/>
              </w:rPr>
              <w:t>各</w:t>
            </w:r>
            <w:r>
              <w:t>厂界均可达标排放</w:t>
            </w:r>
            <w:r>
              <w:rPr>
                <w:rFonts w:hint="eastAsia"/>
              </w:rPr>
              <w:t>。</w:t>
            </w:r>
          </w:p>
          <w:p>
            <w:pPr>
              <w:adjustRightInd w:val="0"/>
              <w:snapToGrid w:val="0"/>
              <w:spacing w:line="500" w:lineRule="exact"/>
              <w:ind w:firstLine="480" w:firstLineChars="200"/>
              <w:rPr>
                <w:rFonts w:hint="eastAsia"/>
              </w:rPr>
            </w:pPr>
            <w:r>
              <w:rPr>
                <w:rFonts w:hint="eastAsia"/>
              </w:rPr>
              <w:t>（2）污染物排放量核算</w:t>
            </w:r>
          </w:p>
          <w:p>
            <w:pPr>
              <w:adjustRightInd w:val="0"/>
              <w:snapToGrid w:val="0"/>
              <w:spacing w:line="500" w:lineRule="exact"/>
              <w:ind w:firstLine="480" w:firstLineChars="200"/>
              <w:rPr>
                <w:rFonts w:hint="eastAsia"/>
              </w:rPr>
            </w:pPr>
            <w:r>
              <w:rPr>
                <w:rFonts w:hint="eastAsia"/>
              </w:rPr>
              <w:t>本项目大气污染物排放量核算见下表。</w:t>
            </w:r>
          </w:p>
          <w:p>
            <w:pPr>
              <w:bidi w:val="0"/>
              <w:jc w:val="center"/>
              <w:rPr>
                <w:rFonts w:hint="eastAsia"/>
                <w:lang w:val="en-US" w:eastAsia="zh-CN"/>
              </w:rPr>
            </w:pPr>
            <w:bookmarkStart w:id="25" w:name="_Toc358359718"/>
            <w:bookmarkEnd w:id="25"/>
            <w:r>
              <w:rPr>
                <w:rFonts w:hint="eastAsia"/>
                <w:lang w:val="en-US" w:eastAsia="zh-CN"/>
              </w:rPr>
              <w:t>表28     大气污染物无组织排放量核算表</w:t>
            </w:r>
          </w:p>
          <w:tbl>
            <w:tblPr>
              <w:tblStyle w:val="20"/>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87"/>
              <w:gridCol w:w="949"/>
              <w:gridCol w:w="1376"/>
              <w:gridCol w:w="1863"/>
              <w:gridCol w:w="1831"/>
              <w:gridCol w:w="107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restart"/>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产污环节</w:t>
                  </w:r>
                </w:p>
              </w:tc>
              <w:tc>
                <w:tcPr>
                  <w:tcW w:w="949" w:type="dxa"/>
                  <w:vMerge w:val="restart"/>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污染物</w:t>
                  </w:r>
                </w:p>
              </w:tc>
              <w:tc>
                <w:tcPr>
                  <w:tcW w:w="1376" w:type="dxa"/>
                  <w:vMerge w:val="restart"/>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主要污染防治措施</w:t>
                  </w:r>
                </w:p>
              </w:tc>
              <w:tc>
                <w:tcPr>
                  <w:tcW w:w="3694" w:type="dxa"/>
                  <w:gridSpan w:val="2"/>
                  <w:tcBorders>
                    <w:top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国家或地方污染物排放标准</w:t>
                  </w:r>
                </w:p>
              </w:tc>
              <w:tc>
                <w:tcPr>
                  <w:tcW w:w="1071" w:type="dxa"/>
                  <w:vMerge w:val="restart"/>
                  <w:tcBorders>
                    <w:top w:val="single" w:color="auto" w:sz="8" w:space="0"/>
                    <w:right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年排放量</w:t>
                  </w:r>
                  <w:r>
                    <w:rPr>
                      <w:lang w:val="en-US" w:eastAsia="zh-CN"/>
                    </w:rPr>
                    <w:t>/</w:t>
                  </w:r>
                  <w:r>
                    <w:rPr>
                      <w:rFonts w:hint="eastAsia"/>
                      <w:lang w:val="en-US" w:eastAsia="zh-CN"/>
                    </w:rPr>
                    <w:t>（</w:t>
                  </w:r>
                  <w:r>
                    <w:rPr>
                      <w:lang w:val="en-US" w:eastAsia="zh-CN"/>
                    </w:rPr>
                    <w:t>t/a</w:t>
                  </w:r>
                  <w:r>
                    <w:rPr>
                      <w:rFonts w:hint="eastAsia"/>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87" w:type="dxa"/>
                  <w:vMerge w:val="continue"/>
                  <w:tcBorders>
                    <w:left w:val="single" w:color="auto" w:sz="4" w:space="0"/>
                  </w:tcBorders>
                  <w:noWrap w:val="0"/>
                  <w:vAlign w:val="center"/>
                </w:tcPr>
                <w:p>
                  <w:pPr>
                    <w:widowControl w:val="0"/>
                    <w:spacing w:line="360" w:lineRule="exact"/>
                    <w:ind w:firstLine="0" w:firstLineChars="0"/>
                    <w:jc w:val="center"/>
                    <w:rPr>
                      <w:lang w:val="en-US" w:eastAsia="zh-CN"/>
                    </w:rPr>
                  </w:pPr>
                </w:p>
              </w:tc>
              <w:tc>
                <w:tcPr>
                  <w:tcW w:w="949" w:type="dxa"/>
                  <w:vMerge w:val="continue"/>
                  <w:noWrap w:val="0"/>
                  <w:vAlign w:val="center"/>
                </w:tcPr>
                <w:p>
                  <w:pPr>
                    <w:widowControl w:val="0"/>
                    <w:spacing w:line="360" w:lineRule="exact"/>
                    <w:ind w:firstLine="0" w:firstLineChars="0"/>
                    <w:jc w:val="center"/>
                    <w:rPr>
                      <w:lang w:val="en-US" w:eastAsia="zh-CN"/>
                    </w:rPr>
                  </w:pPr>
                </w:p>
              </w:tc>
              <w:tc>
                <w:tcPr>
                  <w:tcW w:w="1376" w:type="dxa"/>
                  <w:vMerge w:val="continue"/>
                  <w:noWrap w:val="0"/>
                  <w:vAlign w:val="center"/>
                </w:tcPr>
                <w:p>
                  <w:pPr>
                    <w:widowControl w:val="0"/>
                    <w:spacing w:line="360" w:lineRule="exact"/>
                    <w:ind w:firstLine="0" w:firstLineChars="0"/>
                    <w:jc w:val="center"/>
                    <w:rPr>
                      <w:lang w:val="en-US" w:eastAsia="zh-CN"/>
                    </w:rPr>
                  </w:pPr>
                </w:p>
              </w:tc>
              <w:tc>
                <w:tcPr>
                  <w:tcW w:w="1863" w:type="dxa"/>
                  <w:noWrap w:val="0"/>
                  <w:vAlign w:val="center"/>
                </w:tcPr>
                <w:p>
                  <w:pPr>
                    <w:widowControl w:val="0"/>
                    <w:spacing w:line="360" w:lineRule="exact"/>
                    <w:ind w:firstLine="0" w:firstLineChars="0"/>
                    <w:jc w:val="center"/>
                    <w:rPr>
                      <w:lang w:val="en-US" w:eastAsia="zh-CN"/>
                    </w:rPr>
                  </w:pPr>
                  <w:r>
                    <w:rPr>
                      <w:rFonts w:hint="eastAsia"/>
                      <w:lang w:val="en-US" w:eastAsia="zh-CN"/>
                    </w:rPr>
                    <w:t>标准名称</w:t>
                  </w:r>
                </w:p>
              </w:tc>
              <w:tc>
                <w:tcPr>
                  <w:tcW w:w="1831" w:type="dxa"/>
                  <w:noWrap w:val="0"/>
                  <w:vAlign w:val="center"/>
                </w:tcPr>
                <w:p>
                  <w:pPr>
                    <w:widowControl w:val="0"/>
                    <w:spacing w:line="360" w:lineRule="exact"/>
                    <w:ind w:firstLine="0" w:firstLineChars="0"/>
                    <w:jc w:val="center"/>
                    <w:rPr>
                      <w:lang w:val="en-US" w:eastAsia="zh-CN"/>
                    </w:rPr>
                  </w:pPr>
                  <w:r>
                    <w:rPr>
                      <w:rFonts w:hint="eastAsia"/>
                      <w:lang w:val="en-US" w:eastAsia="zh-CN"/>
                    </w:rPr>
                    <w:t>浓度限值</w:t>
                  </w:r>
                  <w:r>
                    <w:rPr>
                      <w:lang w:val="en-US" w:eastAsia="zh-CN"/>
                    </w:rPr>
                    <w:t>(mg/m3)</w:t>
                  </w:r>
                </w:p>
              </w:tc>
              <w:tc>
                <w:tcPr>
                  <w:tcW w:w="1071" w:type="dxa"/>
                  <w:vMerge w:val="continue"/>
                  <w:tcBorders>
                    <w:right w:val="single" w:color="auto" w:sz="8" w:space="0"/>
                  </w:tcBorders>
                  <w:noWrap w:val="0"/>
                  <w:vAlign w:val="center"/>
                </w:tcPr>
                <w:p>
                  <w:pPr>
                    <w:widowControl w:val="0"/>
                    <w:spacing w:line="360" w:lineRule="exact"/>
                    <w:ind w:firstLine="0" w:firstLineChars="0"/>
                    <w:jc w:val="center"/>
                    <w:rPr>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1" w:hRule="atLeast"/>
                <w:jc w:val="center"/>
              </w:trPr>
              <w:tc>
                <w:tcPr>
                  <w:tcW w:w="1187" w:type="dxa"/>
                  <w:tcBorders>
                    <w:left w:val="single" w:color="auto" w:sz="4" w:space="0"/>
                    <w:bottom w:val="single" w:color="auto" w:sz="8" w:space="0"/>
                  </w:tcBorders>
                  <w:noWrap w:val="0"/>
                  <w:vAlign w:val="center"/>
                </w:tcPr>
                <w:p>
                  <w:pPr>
                    <w:widowControl w:val="0"/>
                    <w:spacing w:line="360" w:lineRule="exact"/>
                    <w:ind w:firstLine="0" w:firstLineChars="0"/>
                    <w:jc w:val="center"/>
                    <w:rPr>
                      <w:rFonts w:hint="eastAsia"/>
                      <w:lang w:val="en-US" w:eastAsia="zh-CN"/>
                    </w:rPr>
                  </w:pPr>
                  <w:r>
                    <w:rPr>
                      <w:rFonts w:hint="eastAsia"/>
                      <w:lang w:val="en-US" w:eastAsia="zh-CN"/>
                    </w:rPr>
                    <w:t>加油站</w:t>
                  </w:r>
                </w:p>
              </w:tc>
              <w:tc>
                <w:tcPr>
                  <w:tcW w:w="949" w:type="dxa"/>
                  <w:tcBorders>
                    <w:bottom w:val="single" w:color="auto" w:sz="8" w:space="0"/>
                  </w:tcBorders>
                  <w:noWrap w:val="0"/>
                  <w:vAlign w:val="center"/>
                </w:tcPr>
                <w:p>
                  <w:pPr>
                    <w:widowControl w:val="0"/>
                    <w:spacing w:line="360" w:lineRule="exact"/>
                    <w:ind w:firstLine="0" w:firstLineChars="0"/>
                    <w:jc w:val="center"/>
                    <w:rPr>
                      <w:rFonts w:hint="eastAsia"/>
                      <w:lang w:val="en-US" w:eastAsia="zh-CN"/>
                    </w:rPr>
                  </w:pPr>
                  <w:r>
                    <w:rPr>
                      <w:rFonts w:hint="eastAsia"/>
                      <w:lang w:val="en-US" w:eastAsia="zh-CN"/>
                    </w:rPr>
                    <w:t>非甲烷总烃</w:t>
                  </w:r>
                </w:p>
              </w:tc>
              <w:tc>
                <w:tcPr>
                  <w:tcW w:w="1376" w:type="dxa"/>
                  <w:tcBorders>
                    <w:bottom w:val="single" w:color="auto" w:sz="8" w:space="0"/>
                  </w:tcBorders>
                  <w:noWrap w:val="0"/>
                  <w:vAlign w:val="center"/>
                </w:tcPr>
                <w:p>
                  <w:pPr>
                    <w:widowControl w:val="0"/>
                    <w:spacing w:line="360" w:lineRule="exact"/>
                    <w:ind w:firstLine="0" w:firstLineChars="0"/>
                    <w:jc w:val="center"/>
                    <w:rPr>
                      <w:rFonts w:hint="eastAsia"/>
                      <w:lang w:val="en-US" w:eastAsia="zh-CN"/>
                    </w:rPr>
                  </w:pPr>
                  <w:r>
                    <w:rPr>
                      <w:rFonts w:hint="eastAsia"/>
                      <w:lang w:val="en-US" w:eastAsia="zh-CN"/>
                    </w:rPr>
                    <w:t>油气回收系统</w:t>
                  </w:r>
                </w:p>
              </w:tc>
              <w:tc>
                <w:tcPr>
                  <w:tcW w:w="1863" w:type="dxa"/>
                  <w:tcBorders>
                    <w:bottom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豫环攻坚办[</w:t>
                  </w:r>
                  <w:r>
                    <w:rPr>
                      <w:lang w:val="en-US" w:eastAsia="zh-CN"/>
                    </w:rPr>
                    <w:t>2017]162</w:t>
                  </w:r>
                </w:p>
              </w:tc>
              <w:tc>
                <w:tcPr>
                  <w:tcW w:w="1831" w:type="dxa"/>
                  <w:tcBorders>
                    <w:bottom w:val="single" w:color="auto" w:sz="8" w:space="0"/>
                  </w:tcBorders>
                  <w:noWrap w:val="0"/>
                  <w:vAlign w:val="center"/>
                </w:tcPr>
                <w:p>
                  <w:pPr>
                    <w:widowControl w:val="0"/>
                    <w:spacing w:line="360" w:lineRule="exact"/>
                    <w:ind w:firstLine="0" w:firstLineChars="0"/>
                    <w:jc w:val="center"/>
                    <w:rPr>
                      <w:lang w:val="en-US" w:eastAsia="zh-CN"/>
                    </w:rPr>
                  </w:pPr>
                  <w:r>
                    <w:rPr>
                      <w:rFonts w:hint="eastAsia"/>
                      <w:lang w:val="en-US" w:eastAsia="zh-CN"/>
                    </w:rPr>
                    <w:t>2.</w:t>
                  </w:r>
                  <w:r>
                    <w:rPr>
                      <w:lang w:val="en-US" w:eastAsia="zh-CN"/>
                    </w:rPr>
                    <w:t>0mg/m3</w:t>
                  </w:r>
                </w:p>
              </w:tc>
              <w:tc>
                <w:tcPr>
                  <w:tcW w:w="1071" w:type="dxa"/>
                  <w:tcBorders>
                    <w:bottom w:val="single" w:color="auto" w:sz="8" w:space="0"/>
                    <w:right w:val="single" w:color="auto" w:sz="8" w:space="0"/>
                  </w:tcBorders>
                  <w:noWrap w:val="0"/>
                  <w:vAlign w:val="center"/>
                </w:tcPr>
                <w:p>
                  <w:pPr>
                    <w:widowControl w:val="0"/>
                    <w:spacing w:line="360" w:lineRule="exact"/>
                    <w:ind w:firstLine="0" w:firstLineChars="0"/>
                    <w:jc w:val="center"/>
                    <w:rPr>
                      <w:rFonts w:hint="default"/>
                      <w:lang w:val="en-US" w:eastAsia="zh-CN"/>
                    </w:rPr>
                  </w:pPr>
                  <w:r>
                    <w:rPr>
                      <w:rFonts w:hint="eastAsia"/>
                      <w:lang w:val="en-US" w:eastAsia="zh-CN"/>
                    </w:rPr>
                    <w:t>0.176</w:t>
                  </w:r>
                </w:p>
              </w:tc>
            </w:tr>
          </w:tbl>
          <w:p>
            <w:pPr>
              <w:adjustRightInd w:val="0"/>
              <w:snapToGrid w:val="0"/>
              <w:spacing w:line="500" w:lineRule="exact"/>
              <w:ind w:firstLine="480" w:firstLineChars="200"/>
              <w:rPr>
                <w:rFonts w:hint="eastAsia"/>
              </w:rPr>
            </w:pPr>
            <w:r>
              <w:rPr>
                <w:rFonts w:hint="eastAsia"/>
              </w:rPr>
              <w:t>（3）环境监测计划</w:t>
            </w:r>
          </w:p>
          <w:p>
            <w:pPr>
              <w:adjustRightInd w:val="0"/>
              <w:snapToGrid w:val="0"/>
              <w:spacing w:line="500" w:lineRule="exact"/>
              <w:ind w:firstLine="480" w:firstLineChars="200"/>
              <w:rPr>
                <w:rFonts w:hint="eastAsia"/>
              </w:rPr>
            </w:pPr>
            <w:r>
              <w:rPr>
                <w:rFonts w:hint="eastAsia"/>
              </w:rPr>
              <w:t>本项目污染源监测计划见下表。</w:t>
            </w:r>
          </w:p>
          <w:p>
            <w:pPr>
              <w:bidi w:val="0"/>
              <w:jc w:val="center"/>
              <w:rPr>
                <w:rFonts w:hint="eastAsia"/>
                <w:lang w:val="en-US" w:eastAsia="zh-CN"/>
              </w:rPr>
            </w:pPr>
            <w:r>
              <w:rPr>
                <w:rFonts w:hint="eastAsia"/>
                <w:lang w:val="en-US" w:eastAsia="zh-CN"/>
              </w:rPr>
              <w:t>表29    无组织排放废气监测计划表</w:t>
            </w:r>
          </w:p>
          <w:tbl>
            <w:tblPr>
              <w:tblStyle w:val="20"/>
              <w:tblW w:w="8277"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18"/>
              <w:gridCol w:w="1397"/>
              <w:gridCol w:w="1605"/>
              <w:gridCol w:w="33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918" w:type="dxa"/>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监测点位</w:t>
                  </w:r>
                </w:p>
              </w:tc>
              <w:tc>
                <w:tcPr>
                  <w:tcW w:w="1397" w:type="dxa"/>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监测指标</w:t>
                  </w:r>
                </w:p>
              </w:tc>
              <w:tc>
                <w:tcPr>
                  <w:tcW w:w="1605" w:type="dxa"/>
                  <w:tcBorders>
                    <w:top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监测频次</w:t>
                  </w:r>
                </w:p>
              </w:tc>
              <w:tc>
                <w:tcPr>
                  <w:tcW w:w="3357" w:type="dxa"/>
                  <w:tcBorders>
                    <w:top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55" w:hRule="atLeast"/>
                <w:jc w:val="center"/>
              </w:trPr>
              <w:tc>
                <w:tcPr>
                  <w:tcW w:w="1918" w:type="dxa"/>
                  <w:tcBorders>
                    <w:left w:val="single" w:color="auto" w:sz="4" w:space="0"/>
                    <w:bottom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厂界外上风向一个点，厂界外下风向三个点</w:t>
                  </w:r>
                </w:p>
              </w:tc>
              <w:tc>
                <w:tcPr>
                  <w:tcW w:w="1397" w:type="dxa"/>
                  <w:tcBorders>
                    <w:bottom w:val="single" w:color="auto" w:sz="8" w:space="0"/>
                  </w:tcBorders>
                  <w:noWrap w:val="0"/>
                  <w:vAlign w:val="center"/>
                </w:tcPr>
                <w:p>
                  <w:pPr>
                    <w:widowControl w:val="0"/>
                    <w:spacing w:line="240" w:lineRule="auto"/>
                    <w:ind w:firstLine="0" w:firstLineChars="0"/>
                    <w:jc w:val="center"/>
                    <w:rPr>
                      <w:rFonts w:hint="eastAsia"/>
                      <w:lang w:val="en-US" w:eastAsia="zh-CN"/>
                    </w:rPr>
                  </w:pPr>
                  <w:r>
                    <w:rPr>
                      <w:rFonts w:hint="eastAsia"/>
                      <w:lang w:val="en-US" w:eastAsia="zh-CN"/>
                    </w:rPr>
                    <w:t>非甲烷总烃</w:t>
                  </w:r>
                </w:p>
              </w:tc>
              <w:tc>
                <w:tcPr>
                  <w:tcW w:w="1605" w:type="dxa"/>
                  <w:tcBorders>
                    <w:bottom w:val="single" w:color="auto" w:sz="8" w:space="0"/>
                  </w:tcBorders>
                  <w:noWrap w:val="0"/>
                  <w:vAlign w:val="center"/>
                </w:tcPr>
                <w:p>
                  <w:pPr>
                    <w:widowControl w:val="0"/>
                    <w:spacing w:line="240" w:lineRule="auto"/>
                    <w:ind w:firstLine="0" w:firstLineChars="0"/>
                    <w:jc w:val="center"/>
                    <w:rPr>
                      <w:lang w:val="en-US" w:eastAsia="zh-CN"/>
                    </w:rPr>
                  </w:pPr>
                  <w:r>
                    <w:rPr>
                      <w:lang w:val="en-US" w:eastAsia="zh-CN"/>
                    </w:rPr>
                    <w:t>1</w:t>
                  </w:r>
                  <w:r>
                    <w:rPr>
                      <w:rFonts w:hint="eastAsia"/>
                      <w:lang w:val="en-US" w:eastAsia="zh-CN"/>
                    </w:rPr>
                    <w:t>次</w:t>
                  </w:r>
                  <w:r>
                    <w:rPr>
                      <w:lang w:val="en-US" w:eastAsia="zh-CN"/>
                    </w:rPr>
                    <w:t>/</w:t>
                  </w:r>
                  <w:r>
                    <w:rPr>
                      <w:rFonts w:hint="eastAsia"/>
                      <w:lang w:val="en-US" w:eastAsia="zh-CN"/>
                    </w:rPr>
                    <w:t>年</w:t>
                  </w:r>
                </w:p>
              </w:tc>
              <w:tc>
                <w:tcPr>
                  <w:tcW w:w="3357" w:type="dxa"/>
                  <w:tcBorders>
                    <w:bottom w:val="single" w:color="auto" w:sz="8" w:space="0"/>
                    <w:right w:val="single" w:color="auto" w:sz="8" w:space="0"/>
                  </w:tcBorders>
                  <w:noWrap w:val="0"/>
                  <w:vAlign w:val="center"/>
                </w:tcPr>
                <w:p>
                  <w:pPr>
                    <w:widowControl w:val="0"/>
                    <w:spacing w:line="240" w:lineRule="auto"/>
                    <w:ind w:firstLine="0" w:firstLineChars="0"/>
                    <w:jc w:val="center"/>
                    <w:rPr>
                      <w:lang w:val="en-US" w:eastAsia="zh-CN"/>
                    </w:rPr>
                  </w:pPr>
                  <w:r>
                    <w:rPr>
                      <w:rFonts w:hint="eastAsia"/>
                      <w:lang w:val="en-US" w:eastAsia="zh-CN"/>
                    </w:rPr>
                    <w:t>豫环攻坚办[</w:t>
                  </w:r>
                  <w:r>
                    <w:rPr>
                      <w:lang w:val="en-US" w:eastAsia="zh-CN"/>
                    </w:rPr>
                    <w:t>2017]162</w:t>
                  </w:r>
                </w:p>
              </w:tc>
            </w:tr>
          </w:tbl>
          <w:p>
            <w:pPr>
              <w:keepNext w:val="0"/>
              <w:keepLines w:val="0"/>
              <w:pageBreakBefore w:val="0"/>
              <w:widowControl/>
              <w:numPr>
                <w:ilvl w:val="0"/>
                <w:numId w:val="0"/>
              </w:numPr>
              <w:kinsoku/>
              <w:wordWrap/>
              <w:overflowPunct/>
              <w:topLinePunct w:val="0"/>
              <w:autoSpaceDE/>
              <w:autoSpaceDN/>
              <w:bidi w:val="0"/>
              <w:adjustRightInd/>
              <w:snapToGrid/>
              <w:spacing w:before="157" w:beforeLines="50" w:beforeAutospacing="0" w:after="0" w:afterAutospacing="0" w:line="360" w:lineRule="auto"/>
              <w:ind w:firstLine="480" w:firstLineChars="200"/>
              <w:jc w:val="left"/>
              <w:textAlignment w:val="auto"/>
              <w:rPr>
                <w:rFonts w:hint="default"/>
                <w:lang w:val="en-US" w:eastAsia="zh-CN"/>
              </w:rPr>
            </w:pPr>
            <w:r>
              <w:rPr>
                <w:rFonts w:hint="default"/>
                <w:lang w:val="en-US" w:eastAsia="zh-CN"/>
              </w:rPr>
              <w:t>（4）《“十三五”挥发性有机物污染防治工作方案》分析</w:t>
            </w:r>
          </w:p>
          <w:p>
            <w:pPr>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rPr>
                <w:lang w:val="en-US" w:eastAsia="zh-CN"/>
              </w:rPr>
            </w:pPr>
            <w:r>
              <w:rPr>
                <w:rFonts w:hint="eastAsia"/>
                <w:lang w:val="en-US" w:eastAsia="zh-CN"/>
              </w:rPr>
              <w:t>该《方案》要求，</w:t>
            </w:r>
            <w:r>
              <w:rPr>
                <w:lang w:val="en-US" w:eastAsia="zh-CN"/>
              </w:rPr>
              <w:t>全面加强油品储运销油气回收治理。全面加强汽油储运销油气排放控制，重点地区逐步推进港口储存和装卸、油品装船油气回收治理任务。</w:t>
            </w:r>
          </w:p>
          <w:p>
            <w:pPr>
              <w:keepNext w:val="0"/>
              <w:keepLines w:val="0"/>
              <w:pageBreakBefore w:val="0"/>
              <w:kinsoku/>
              <w:wordWrap/>
              <w:overflowPunct/>
              <w:topLinePunct w:val="0"/>
              <w:autoSpaceDE/>
              <w:autoSpaceDN/>
              <w:bidi w:val="0"/>
              <w:adjustRightInd/>
              <w:snapToGrid/>
              <w:spacing w:line="360" w:lineRule="auto"/>
              <w:ind w:firstLine="480" w:firstLineChars="200"/>
              <w:jc w:val="both"/>
              <w:textAlignment w:val="baseline"/>
            </w:pPr>
            <w:r>
              <w:t>加强汽油储运销油气排放控制。减少油品周转次数。严格按照排放标准要求，加快完成加油站、储油库、油罐车油气回收治理工作，重点地区全面推进行政区域内所有加油站油气回收治理。建设油气回收自动监测系统平台，储油库和年销售汽油量大于5000吨的加油站加快安装油气回收自动监测设备。制定加油站、储油库油气回收自动监测系统技术规范，企业要加强对油气回收系统外观检测和仪器检测，确保油气回收系统正常运转。</w:t>
            </w:r>
            <w:r>
              <w:rPr>
                <w:rFonts w:hint="eastAsia"/>
              </w:rPr>
              <w:t>本项目属于</w:t>
            </w:r>
            <w:r>
              <w:t>年销售汽油量</w:t>
            </w:r>
            <w:r>
              <w:rPr>
                <w:rFonts w:hint="eastAsia"/>
              </w:rPr>
              <w:t>小</w:t>
            </w:r>
            <w:r>
              <w:t>于5000吨的加油站不用安装油气回收在线监测设备。</w:t>
            </w:r>
          </w:p>
          <w:p>
            <w:pPr>
              <w:adjustRightInd w:val="0"/>
              <w:snapToGrid w:val="0"/>
              <w:spacing w:line="500" w:lineRule="exact"/>
              <w:ind w:firstLine="0" w:firstLineChars="0"/>
              <w:textAlignment w:val="baseline"/>
              <w:outlineLvl w:val="3"/>
            </w:pPr>
            <w:r>
              <w:t>2.2</w:t>
            </w:r>
            <w:r>
              <w:rPr>
                <w:rFonts w:hint="eastAsia"/>
              </w:rPr>
              <w:t>、</w:t>
            </w:r>
            <w:r>
              <w:t>水环境</w:t>
            </w:r>
            <w:r>
              <w:rPr>
                <w:rFonts w:hint="eastAsia"/>
              </w:rPr>
              <w:t>影响</w:t>
            </w:r>
            <w:r>
              <w:t>分析</w:t>
            </w:r>
          </w:p>
          <w:p>
            <w:pPr>
              <w:adjustRightInd w:val="0"/>
              <w:snapToGrid w:val="0"/>
              <w:spacing w:line="500" w:lineRule="exact"/>
              <w:ind w:firstLine="480" w:firstLineChars="200"/>
            </w:pPr>
            <w:r>
              <w:rPr>
                <w:rFonts w:hint="eastAsia"/>
              </w:rPr>
              <w:t>（一）地表水环境影响分析</w:t>
            </w:r>
          </w:p>
          <w:p>
            <w:pPr>
              <w:widowControl w:val="0"/>
              <w:spacing w:line="520" w:lineRule="exact"/>
              <w:ind w:firstLine="480" w:firstLineChars="200"/>
              <w:jc w:val="both"/>
              <w:rPr>
                <w:lang w:val="en-US" w:eastAsia="zh-CN"/>
              </w:rPr>
            </w:pPr>
            <w:r>
              <w:rPr>
                <w:lang w:val="en-US" w:eastAsia="zh-CN"/>
              </w:rPr>
              <w:t>项目储油罐每5年由专业的清洗公司清理一次，</w:t>
            </w:r>
            <w:r>
              <w:rPr>
                <w:rFonts w:hint="eastAsia"/>
                <w:lang w:val="en-US" w:eastAsia="zh-CN"/>
              </w:rPr>
              <w:t>清洗过程采用</w:t>
            </w:r>
            <w:r>
              <w:rPr>
                <w:lang w:val="en-US" w:eastAsia="zh-CN"/>
              </w:rPr>
              <w:t>COW原油清洗工艺</w:t>
            </w:r>
            <w:r>
              <w:rPr>
                <w:rFonts w:hint="eastAsia"/>
                <w:lang w:val="en-US" w:eastAsia="zh-CN"/>
              </w:rPr>
              <w:t>，此工艺</w:t>
            </w:r>
            <w:r>
              <w:rPr>
                <w:lang w:val="en-US" w:eastAsia="zh-CN"/>
              </w:rPr>
              <w:t>利用喷射清洗机将清洗介质</w:t>
            </w:r>
            <w:r>
              <w:rPr>
                <w:rFonts w:hint="eastAsia"/>
                <w:lang w:val="en-US" w:eastAsia="zh-CN"/>
              </w:rPr>
              <w:t>（原油）</w:t>
            </w:r>
            <w:r>
              <w:rPr>
                <w:lang w:val="en-US" w:eastAsia="zh-CN"/>
              </w:rPr>
              <w:t>在一定的温度、压力和流量下喷射到</w:t>
            </w:r>
            <w:r>
              <w:rPr>
                <w:rFonts w:hint="eastAsia"/>
                <w:lang w:val="en-US" w:eastAsia="zh-CN"/>
              </w:rPr>
              <w:t>储罐内</w:t>
            </w:r>
            <w:r>
              <w:rPr>
                <w:lang w:val="en-US" w:eastAsia="zh-CN"/>
              </w:rPr>
              <w:t>表面，除去</w:t>
            </w:r>
            <w:r>
              <w:rPr>
                <w:rFonts w:hint="eastAsia"/>
                <w:lang w:val="en-US" w:eastAsia="zh-CN"/>
              </w:rPr>
              <w:t>储罐内</w:t>
            </w:r>
            <w:r>
              <w:rPr>
                <w:lang w:val="en-US" w:eastAsia="zh-CN"/>
              </w:rPr>
              <w:t>表面</w:t>
            </w:r>
            <w:r>
              <w:rPr>
                <w:rFonts w:hint="eastAsia"/>
                <w:lang w:val="en-US" w:eastAsia="zh-CN"/>
              </w:rPr>
              <w:t>的</w:t>
            </w:r>
            <w:r>
              <w:rPr>
                <w:lang w:val="en-US" w:eastAsia="zh-CN"/>
              </w:rPr>
              <w:t>凝结物和</w:t>
            </w:r>
            <w:r>
              <w:rPr>
                <w:rFonts w:hint="eastAsia"/>
                <w:lang w:val="en-US" w:eastAsia="zh-CN"/>
              </w:rPr>
              <w:t>油</w:t>
            </w:r>
            <w:r>
              <w:rPr>
                <w:lang w:val="en-US" w:eastAsia="zh-CN"/>
              </w:rPr>
              <w:t>渣，并对</w:t>
            </w:r>
            <w:r>
              <w:rPr>
                <w:rFonts w:hint="eastAsia"/>
                <w:lang w:val="en-US" w:eastAsia="zh-CN"/>
              </w:rPr>
              <w:t>油渣</w:t>
            </w:r>
            <w:r>
              <w:rPr>
                <w:lang w:val="en-US" w:eastAsia="zh-CN"/>
              </w:rPr>
              <w:t>进行处理和回收</w:t>
            </w:r>
            <w:r>
              <w:rPr>
                <w:rFonts w:hint="eastAsia"/>
                <w:lang w:val="en-US" w:eastAsia="zh-CN"/>
              </w:rPr>
              <w:t>。</w:t>
            </w:r>
            <w:r>
              <w:rPr>
                <w:lang w:val="en-US" w:eastAsia="zh-CN"/>
              </w:rPr>
              <w:t>原油中含有轻质组分即溶剂成分，</w:t>
            </w:r>
            <w:r>
              <w:rPr>
                <w:rFonts w:hint="eastAsia"/>
                <w:lang w:val="en-US" w:eastAsia="zh-CN"/>
              </w:rPr>
              <w:t>可</w:t>
            </w:r>
            <w:r>
              <w:rPr>
                <w:lang w:val="en-US" w:eastAsia="zh-CN"/>
              </w:rPr>
              <w:t>加速沉积物油分中的凝结物和淤渣的解体，经破碎后的淤渣与清洗</w:t>
            </w:r>
            <w:r>
              <w:rPr>
                <w:rFonts w:hint="eastAsia"/>
                <w:lang w:val="en-US" w:eastAsia="zh-CN"/>
              </w:rPr>
              <w:t>原</w:t>
            </w:r>
            <w:r>
              <w:rPr>
                <w:lang w:val="en-US" w:eastAsia="zh-CN"/>
              </w:rPr>
              <w:t>油混合、溶解、扩散，最终被抽吸回收</w:t>
            </w:r>
            <w:r>
              <w:rPr>
                <w:rFonts w:hint="eastAsia"/>
                <w:lang w:val="en-US" w:eastAsia="zh-CN"/>
              </w:rPr>
              <w:t>至</w:t>
            </w:r>
            <w:r>
              <w:rPr>
                <w:lang w:val="en-US" w:eastAsia="zh-CN"/>
              </w:rPr>
              <w:t>回收罐</w:t>
            </w:r>
            <w:r>
              <w:rPr>
                <w:rFonts w:hint="eastAsia"/>
                <w:lang w:val="en-US" w:eastAsia="zh-CN"/>
              </w:rPr>
              <w:t>中</w:t>
            </w:r>
            <w:r>
              <w:rPr>
                <w:lang w:val="en-US" w:eastAsia="zh-CN"/>
              </w:rPr>
              <w:t>。根据类比</w:t>
            </w:r>
            <w:r>
              <w:rPr>
                <w:rFonts w:hint="eastAsia"/>
                <w:lang w:val="en-US" w:eastAsia="zh-CN"/>
              </w:rPr>
              <w:t>新蔡县</w:t>
            </w:r>
            <w:r>
              <w:rPr>
                <w:lang w:val="en-US" w:eastAsia="zh-CN"/>
              </w:rPr>
              <w:t>其他加油站项目分析，清洗一次产生的废水量约为0.5t，所产生的废水由清洗公司拉走后交由有资质的单位统一处置，本项目内不存放清洗废水。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本项目营运期</w:t>
            </w:r>
            <w:r>
              <w:rPr>
                <w:rFonts w:hint="eastAsia"/>
              </w:rPr>
              <w:t>废水主要为职工</w:t>
            </w:r>
            <w:r>
              <w:t>办公</w:t>
            </w:r>
            <w:r>
              <w:rPr>
                <w:rFonts w:hint="eastAsia"/>
              </w:rPr>
              <w:t>生活废水及客户生活废水。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w:t>
            </w:r>
            <w:r>
              <w:t>营运期职工</w:t>
            </w:r>
            <w:r>
              <w:rPr>
                <w:rFonts w:hint="eastAsia"/>
              </w:rPr>
              <w:t>共计</w:t>
            </w:r>
            <w:r>
              <w:rPr>
                <w:rFonts w:hint="eastAsia"/>
                <w:lang w:val="en-US" w:eastAsia="zh-CN"/>
              </w:rPr>
              <w:t>6</w:t>
            </w:r>
            <w:r>
              <w:rPr>
                <w:rFonts w:hint="eastAsia"/>
              </w:rPr>
              <w:t>人</w:t>
            </w:r>
            <w:r>
              <w:t>，均不在站区食宿，</w:t>
            </w:r>
            <w:r>
              <w:rPr>
                <w:rFonts w:hint="eastAsia"/>
              </w:rPr>
              <w:t>职工生活用水量按40</w:t>
            </w:r>
            <w:r>
              <w:t>L</w:t>
            </w:r>
            <w:r>
              <w:rPr>
                <w:rFonts w:hint="eastAsia"/>
              </w:rPr>
              <w:t>/（人</w:t>
            </w:r>
            <w:r>
              <w:t>·</w:t>
            </w:r>
            <w:r>
              <w:rPr>
                <w:rFonts w:hint="eastAsia"/>
              </w:rPr>
              <w:t>d）计</w:t>
            </w:r>
            <w:r>
              <w:t>，</w:t>
            </w:r>
            <w:r>
              <w:rPr>
                <w:rFonts w:hint="eastAsia"/>
              </w:rPr>
              <w:t>则营运期职工用水量</w:t>
            </w:r>
            <w:r>
              <w:t>为0.</w:t>
            </w:r>
            <w:r>
              <w:rPr>
                <w:rFonts w:hint="eastAsia"/>
                <w:lang w:val="en-US" w:eastAsia="zh-CN"/>
              </w:rPr>
              <w:t>24</w:t>
            </w:r>
            <w:r>
              <w:t>m3</w:t>
            </w:r>
            <w:r>
              <w:rPr>
                <w:rFonts w:hint="eastAsia"/>
              </w:rPr>
              <w:t>/d（</w:t>
            </w:r>
            <w:r>
              <w:rPr>
                <w:rFonts w:hint="eastAsia"/>
                <w:lang w:val="en-US" w:eastAsia="zh-CN"/>
              </w:rPr>
              <w:t>87.6</w:t>
            </w:r>
            <w:r>
              <w:t>m3</w:t>
            </w:r>
            <w:r>
              <w:rPr>
                <w:rFonts w:hint="eastAsia"/>
              </w:rPr>
              <w: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本项目</w:t>
            </w:r>
            <w:r>
              <w:rPr>
                <w:rFonts w:hint="eastAsia"/>
              </w:rPr>
              <w:t>生活</w:t>
            </w:r>
            <w:r>
              <w:t>用水量为0.</w:t>
            </w:r>
            <w:r>
              <w:rPr>
                <w:rFonts w:hint="eastAsia"/>
                <w:lang w:val="en-US" w:eastAsia="zh-CN"/>
              </w:rPr>
              <w:t>24</w:t>
            </w:r>
            <w:r>
              <w:t>m3/d（</w:t>
            </w:r>
            <w:r>
              <w:rPr>
                <w:rFonts w:hint="eastAsia"/>
                <w:lang w:val="en-US" w:eastAsia="zh-CN"/>
              </w:rPr>
              <w:t>87.6</w:t>
            </w:r>
            <w:r>
              <w:t>m3/a）</w:t>
            </w:r>
            <w:r>
              <w:rPr>
                <w:rFonts w:hint="eastAsia"/>
              </w:rPr>
              <w:t>，生活用水耗损按20%计，则本项目营运期生活污水（主要为盥洗废水）产生量为</w:t>
            </w:r>
            <w:r>
              <w:rPr>
                <w:rFonts w:hint="eastAsia"/>
                <w:lang w:eastAsia="zh-CN"/>
              </w:rPr>
              <w:t>0.192</w:t>
            </w:r>
            <w:r>
              <w:t>m3/d（</w:t>
            </w:r>
            <w:r>
              <w:rPr>
                <w:rFonts w:hint="eastAsia"/>
                <w:lang w:val="en-US" w:eastAsia="zh-CN"/>
              </w:rPr>
              <w:t>70.8</w:t>
            </w:r>
            <w:r>
              <w:t>m3/a）</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项目</w:t>
            </w:r>
            <w:r>
              <w:t>生活污水</w:t>
            </w:r>
            <w:r>
              <w:rPr>
                <w:rFonts w:hint="eastAsia"/>
              </w:rPr>
              <w:t>经</w:t>
            </w:r>
            <w:r>
              <w:rPr>
                <w:rFonts w:hint="eastAsia"/>
                <w:lang w:eastAsia="zh-CN"/>
              </w:rPr>
              <w:t>隔油池和</w:t>
            </w:r>
            <w:r>
              <w:rPr>
                <w:rFonts w:hint="eastAsia"/>
              </w:rPr>
              <w:t>化粪池沤肥，</w:t>
            </w:r>
            <w:r>
              <w:t>定期由周边村民清运用于肥田，项目生活污水不外排。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综上，本项目对地表水环境影响较小。</w:t>
            </w:r>
          </w:p>
          <w:p>
            <w:pPr>
              <w:adjustRightInd w:val="0"/>
              <w:snapToGrid w:val="0"/>
              <w:spacing w:line="500" w:lineRule="exact"/>
              <w:ind w:firstLine="240" w:firstLineChars="100"/>
              <w:textAlignment w:val="baseline"/>
              <w:outlineLvl w:val="3"/>
            </w:pPr>
            <w:r>
              <w:rPr>
                <w:rFonts w:hint="eastAsia"/>
              </w:rPr>
              <w:t>（二）地下水</w:t>
            </w:r>
            <w:r>
              <w:t>环境影响分析</w:t>
            </w:r>
          </w:p>
          <w:p>
            <w:pPr>
              <w:adjustRightInd w:val="0"/>
              <w:snapToGrid w:val="0"/>
              <w:spacing w:line="360" w:lineRule="auto"/>
            </w:pPr>
            <w:r>
              <w:t>评价等级</w:t>
            </w:r>
          </w:p>
          <w:p>
            <w:pPr>
              <w:adjustRightInd w:val="0"/>
              <w:snapToGrid w:val="0"/>
              <w:spacing w:line="360" w:lineRule="auto"/>
              <w:ind w:firstLine="480" w:firstLineChars="200"/>
            </w:pPr>
            <w:r>
              <w:t>依据</w:t>
            </w:r>
            <w:r>
              <w:rPr>
                <w:lang w:val="en-GB"/>
              </w:rPr>
              <w:t>《环境影响评价技术导则 地下水环境》</w:t>
            </w:r>
            <w:r>
              <w:t>(HJ 610-2016)，根据建设项目对地下水环境影响的程度，结合《建设项目环境影响评价分类管理名录》，将建设项目分为四类，本项目属于</w:t>
            </w:r>
            <w:r>
              <w:rPr>
                <w:rFonts w:hint="eastAsia"/>
              </w:rPr>
              <w:t>Ⅱ</w:t>
            </w:r>
            <w:r>
              <w:t>类项目。</w:t>
            </w:r>
          </w:p>
          <w:p>
            <w:pPr>
              <w:adjustRightInd w:val="0"/>
              <w:snapToGrid w:val="0"/>
              <w:spacing w:line="360" w:lineRule="auto"/>
              <w:ind w:firstLine="480" w:firstLineChars="200"/>
            </w:pPr>
            <w:r>
              <w:t>建设项目的地下水环境敏感程度可分为敏感、较敏感、不敏感三级，分级原则见表34。</w:t>
            </w:r>
          </w:p>
          <w:p>
            <w:pPr>
              <w:pStyle w:val="7"/>
            </w:pPr>
            <w:r>
              <w:t xml:space="preserve">表 </w:t>
            </w:r>
            <w:r>
              <w:rPr>
                <w:rFonts w:hint="eastAsia"/>
                <w:lang w:val="en-US" w:eastAsia="zh-CN"/>
              </w:rPr>
              <w:t>30</w:t>
            </w:r>
            <w:r>
              <w:t xml:space="preserve">   地下水环境敏感程度分级表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3"/>
              <w:gridCol w:w="6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敏感程度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地下水环境敏感特征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敏感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集中式饮用水水源（包括已建成的在用、备用、应急水源，在建和规划的饮用水水源）准保护区；除集中式饮用水水源以外的国家或地方政府设定的与地下水环境相关的其它保护区，如热水、矿泉水、温泉等特殊地下水资源保护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8"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较敏感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705" w:type="dxa"/>
                  <w:noWrap w:val="0"/>
                  <w:vAlign w:val="center"/>
                </w:tcPr>
                <w:p>
                  <w:pPr>
                    <w:widowControl w:val="0"/>
                    <w:bidi w:val="0"/>
                    <w:spacing w:line="240" w:lineRule="auto"/>
                    <w:ind w:firstLine="0" w:firstLineChars="0"/>
                    <w:jc w:val="center"/>
                    <w:rPr>
                      <w:lang w:val="en-US" w:eastAsia="zh-CN"/>
                    </w:rPr>
                  </w:pPr>
                  <w:r>
                    <w:rPr>
                      <w:lang w:val="en-US" w:eastAsia="zh-CN"/>
                    </w:rPr>
                    <w:t xml:space="preserve">不敏感 </w:t>
                  </w:r>
                </w:p>
              </w:tc>
              <w:tc>
                <w:tcPr>
                  <w:tcW w:w="7160" w:type="dxa"/>
                  <w:noWrap w:val="0"/>
                  <w:vAlign w:val="center"/>
                </w:tcPr>
                <w:p>
                  <w:pPr>
                    <w:widowControl w:val="0"/>
                    <w:bidi w:val="0"/>
                    <w:spacing w:line="240" w:lineRule="auto"/>
                    <w:ind w:firstLine="0" w:firstLineChars="0"/>
                    <w:jc w:val="center"/>
                    <w:rPr>
                      <w:lang w:val="en-US" w:eastAsia="zh-CN"/>
                    </w:rPr>
                  </w:pPr>
                  <w:r>
                    <w:rPr>
                      <w:lang w:val="en-US" w:eastAsia="zh-CN"/>
                    </w:rPr>
                    <w:t xml:space="preserve">上述地区之外的其它地区。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8865" w:type="dxa"/>
                  <w:gridSpan w:val="2"/>
                  <w:noWrap w:val="0"/>
                  <w:vAlign w:val="center"/>
                </w:tcPr>
                <w:p>
                  <w:pPr>
                    <w:widowControl w:val="0"/>
                    <w:bidi w:val="0"/>
                    <w:spacing w:line="240" w:lineRule="auto"/>
                    <w:ind w:firstLine="0" w:firstLineChars="0"/>
                    <w:jc w:val="center"/>
                    <w:rPr>
                      <w:lang w:val="en-US" w:eastAsia="zh-CN"/>
                    </w:rPr>
                  </w:pPr>
                  <w:r>
                    <w:rPr>
                      <w:lang w:val="en-US" w:eastAsia="zh-CN"/>
                    </w:rPr>
                    <w:t xml:space="preserve">注：a“环境敏感区”是指《建设项目环境影响评价分类管理名录》中所界定的涉及地下水的环境敏感区。 </w:t>
                  </w:r>
                </w:p>
              </w:tc>
            </w:tr>
          </w:tbl>
          <w:p>
            <w:pPr>
              <w:adjustRightInd w:val="0"/>
              <w:snapToGrid w:val="0"/>
              <w:spacing w:line="360" w:lineRule="auto"/>
              <w:ind w:firstLine="480" w:firstLineChars="200"/>
              <w:rPr>
                <w:rFonts w:hint="eastAsia"/>
              </w:rPr>
            </w:pPr>
            <w:r>
              <w:rPr>
                <w:rFonts w:hint="eastAsia"/>
                <w:lang w:eastAsia="zh-CN"/>
              </w:rPr>
              <w:t>根据</w:t>
            </w:r>
            <w:r>
              <w:t>2009年4月13日，河南省环境保护厅签发了文号为豫环函【2009】57号的《关于进一步明确平顶山地表饮用水源保护区范围的函》，同意平顶山市提出的地表水饮用水源保护区范围</w:t>
            </w:r>
            <w:r>
              <w:rPr>
                <w:rFonts w:hint="eastAsia"/>
                <w:lang w:eastAsia="zh-CN"/>
              </w:rPr>
              <w:t>，</w:t>
            </w:r>
            <w:r>
              <w:rPr>
                <w:rFonts w:hint="eastAsia"/>
              </w:rPr>
              <w:t>本项目位于平顶山市</w:t>
            </w:r>
            <w:r>
              <w:rPr>
                <w:rFonts w:hint="eastAsia"/>
                <w:lang w:eastAsia="zh-CN"/>
              </w:rPr>
              <w:t>鲁山县郑石高速石人山服务区南侧</w:t>
            </w:r>
            <w:r>
              <w:rPr>
                <w:rFonts w:hint="eastAsia"/>
              </w:rPr>
              <w:t>，</w:t>
            </w:r>
            <w:r>
              <w:rPr>
                <w:rFonts w:hint="eastAsia"/>
                <w:lang w:eastAsia="zh-CN"/>
              </w:rPr>
              <w:t>位于昭平台水库准保护区，本项目属于较敏感。</w:t>
            </w:r>
          </w:p>
          <w:p>
            <w:pPr>
              <w:adjustRightInd w:val="0"/>
              <w:snapToGrid w:val="0"/>
              <w:spacing w:line="360" w:lineRule="auto"/>
              <w:ind w:firstLine="480" w:firstLineChars="200"/>
            </w:pPr>
            <w:r>
              <w:t>建设项目地下水环境影响评价工作等级划分见表35。</w:t>
            </w:r>
          </w:p>
          <w:p>
            <w:pPr>
              <w:pStyle w:val="7"/>
            </w:pPr>
            <w:r>
              <w:t xml:space="preserve">表 </w:t>
            </w:r>
            <w:r>
              <w:rPr>
                <w:rFonts w:hint="eastAsia"/>
                <w:lang w:val="en-US" w:eastAsia="zh-CN"/>
              </w:rPr>
              <w:t>31</w:t>
            </w:r>
            <w:r>
              <w:t xml:space="preserve">   评价工作等级分级表</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76"/>
              <w:gridCol w:w="2033"/>
              <w:gridCol w:w="2033"/>
              <w:gridCol w:w="2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341" w:type="dxa"/>
                  <w:tcBorders>
                    <w:top w:val="single" w:color="auto" w:sz="4" w:space="0"/>
                    <w:left w:val="single" w:color="auto" w:sz="4" w:space="0"/>
                    <w:bottom w:val="single" w:color="auto" w:sz="4" w:space="0"/>
                    <w:tl2br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         项目类别</w:t>
                  </w:r>
                </w:p>
                <w:p>
                  <w:pPr>
                    <w:widowControl w:val="0"/>
                    <w:bidi w:val="0"/>
                    <w:spacing w:line="240" w:lineRule="auto"/>
                    <w:ind w:firstLine="0" w:firstLineChars="0"/>
                    <w:jc w:val="left"/>
                    <w:rPr>
                      <w:lang w:val="en-US" w:eastAsia="zh-CN"/>
                    </w:rPr>
                  </w:pPr>
                  <w:r>
                    <w:rPr>
                      <w:lang w:val="en-US" w:eastAsia="zh-CN"/>
                    </w:rPr>
                    <w:t xml:space="preserve">环境敏感程度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Ⅰ</w:t>
                  </w:r>
                  <w:r>
                    <w:rPr>
                      <w:lang w:val="en-US" w:eastAsia="zh-CN"/>
                    </w:rPr>
                    <w:t xml:space="preserve">类项目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Ⅱ</w:t>
                  </w:r>
                  <w:r>
                    <w:rPr>
                      <w:lang w:val="en-US" w:eastAsia="zh-CN"/>
                    </w:rPr>
                    <w:t>类项目</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rFonts w:hint="eastAsia"/>
                      <w:lang w:val="en-US" w:eastAsia="zh-CN"/>
                    </w:rPr>
                    <w:t>Ⅲ</w:t>
                  </w:r>
                  <w:r>
                    <w:rPr>
                      <w:lang w:val="en-US" w:eastAsia="zh-CN"/>
                    </w:rPr>
                    <w:t xml:space="preserve">类项目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一</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较敏感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一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二</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341" w:type="dxa"/>
                  <w:tcBorders>
                    <w:top w:val="single" w:color="auto" w:sz="4" w:space="0"/>
                    <w:left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不敏感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 xml:space="preserve">二 </w:t>
                  </w:r>
                </w:p>
              </w:tc>
              <w:tc>
                <w:tcPr>
                  <w:tcW w:w="2185" w:type="dxa"/>
                  <w:tcBorders>
                    <w:top w:val="single" w:color="auto" w:sz="4" w:space="0"/>
                    <w:bottom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c>
                <w:tcPr>
                  <w:tcW w:w="2185" w:type="dxa"/>
                  <w:tcBorders>
                    <w:top w:val="single" w:color="auto" w:sz="4" w:space="0"/>
                    <w:bottom w:val="single" w:color="auto" w:sz="4" w:space="0"/>
                    <w:right w:val="single" w:color="auto" w:sz="4" w:space="0"/>
                  </w:tcBorders>
                  <w:noWrap w:val="0"/>
                  <w:vAlign w:val="center"/>
                </w:tcPr>
                <w:p>
                  <w:pPr>
                    <w:widowControl w:val="0"/>
                    <w:bidi w:val="0"/>
                    <w:spacing w:line="240" w:lineRule="auto"/>
                    <w:ind w:firstLine="0" w:firstLineChars="0"/>
                    <w:jc w:val="center"/>
                    <w:rPr>
                      <w:lang w:val="en-US" w:eastAsia="zh-CN"/>
                    </w:rPr>
                  </w:pPr>
                  <w:r>
                    <w:rPr>
                      <w:lang w:val="en-US" w:eastAsia="zh-CN"/>
                    </w:rPr>
                    <w:t>三</w:t>
                  </w:r>
                </w:p>
              </w:tc>
            </w:tr>
          </w:tbl>
          <w:p>
            <w:pPr>
              <w:keepNext w:val="0"/>
              <w:keepLines w:val="0"/>
              <w:pageBreakBefore w:val="0"/>
              <w:widowControl w:val="0"/>
              <w:kinsoku/>
              <w:overflowPunct/>
              <w:autoSpaceDE/>
              <w:autoSpaceDN/>
              <w:bidi w:val="0"/>
              <w:adjustRightInd/>
              <w:snapToGrid/>
              <w:spacing w:after="0" w:line="360" w:lineRule="auto"/>
              <w:ind w:left="0" w:leftChars="0" w:right="0" w:firstLine="480" w:firstLineChars="200"/>
              <w:jc w:val="both"/>
              <w:textAlignment w:val="auto"/>
              <w:rPr>
                <w:lang w:val="en-US" w:eastAsia="zh-CN"/>
              </w:rPr>
            </w:pPr>
            <w:r>
              <w:rPr>
                <w:lang w:val="en-US" w:eastAsia="zh-CN"/>
              </w:rPr>
              <w:t>本项目属于</w:t>
            </w:r>
            <w:r>
              <w:rPr>
                <w:rFonts w:hint="eastAsia"/>
                <w:lang w:val="en-US" w:eastAsia="zh-CN"/>
              </w:rPr>
              <w:t>Ⅱ</w:t>
            </w:r>
            <w:r>
              <w:rPr>
                <w:lang w:val="en-US" w:eastAsia="zh-CN"/>
              </w:rPr>
              <w:t>类项目，区域地下水环境</w:t>
            </w:r>
            <w:r>
              <w:rPr>
                <w:rFonts w:hint="eastAsia"/>
                <w:lang w:val="en-US" w:eastAsia="zh-CN"/>
              </w:rPr>
              <w:t>较敏感区</w:t>
            </w:r>
            <w:r>
              <w:rPr>
                <w:lang w:val="en-US" w:eastAsia="zh-CN"/>
              </w:rPr>
              <w:t>，由上表地下水评价工作等级分级表可知，本项目地下水评价等级为</w:t>
            </w:r>
            <w:r>
              <w:rPr>
                <w:rFonts w:hint="eastAsia"/>
                <w:lang w:val="en-US" w:eastAsia="zh-CN"/>
              </w:rPr>
              <w:t>二</w:t>
            </w:r>
            <w:r>
              <w:rPr>
                <w:lang w:val="en-US" w:eastAsia="zh-CN"/>
              </w:rPr>
              <w:t>级。</w:t>
            </w:r>
          </w:p>
          <w:p>
            <w:pPr>
              <w:adjustRightInd w:val="0"/>
              <w:snapToGrid w:val="0"/>
              <w:spacing w:line="360" w:lineRule="auto"/>
            </w:pPr>
            <w:r>
              <w:t xml:space="preserve"> 评价范围</w:t>
            </w:r>
          </w:p>
          <w:p>
            <w:pPr>
              <w:adjustRightInd w:val="0"/>
              <w:snapToGrid w:val="0"/>
              <w:spacing w:line="360" w:lineRule="auto"/>
              <w:ind w:firstLine="480" w:firstLineChars="200"/>
            </w:pPr>
            <w:r>
              <w:t>本项目厂址位于冲洪积平原，地质水文条件相对简单。本次评价范围确定先根据导则推荐公式计算出理论范围值，然后根据厂址区域地下水环境保护目标分布情况调整理论范围值。</w:t>
            </w:r>
          </w:p>
          <w:p>
            <w:pPr>
              <w:adjustRightInd w:val="0"/>
              <w:snapToGrid w:val="0"/>
              <w:spacing w:line="360" w:lineRule="auto"/>
              <w:ind w:firstLine="480" w:firstLineChars="200"/>
            </w:pPr>
            <w:r>
              <w:t>L=α×K×I×T/ne</w:t>
            </w:r>
          </w:p>
          <w:p>
            <w:pPr>
              <w:adjustRightInd w:val="0"/>
              <w:snapToGrid w:val="0"/>
              <w:spacing w:line="360" w:lineRule="auto"/>
              <w:ind w:firstLine="480" w:firstLineChars="200"/>
            </w:pPr>
            <w:r>
              <w:t>式中：L—下游迁移距离，m；</w:t>
            </w:r>
          </w:p>
          <w:p>
            <w:pPr>
              <w:adjustRightInd w:val="0"/>
              <w:snapToGrid w:val="0"/>
              <w:spacing w:line="360" w:lineRule="auto"/>
              <w:ind w:firstLine="1200" w:firstLineChars="500"/>
            </w:pPr>
            <w:r>
              <w:t>α—变化系数，α≥1，一般取2；</w:t>
            </w:r>
          </w:p>
          <w:p>
            <w:pPr>
              <w:adjustRightInd w:val="0"/>
              <w:snapToGrid w:val="0"/>
              <w:spacing w:line="360" w:lineRule="auto"/>
              <w:ind w:firstLine="1200" w:firstLineChars="500"/>
            </w:pPr>
            <w:r>
              <w:t>K—渗透系数，本项目地下水稳定水位埋深约8.0~8.3m，含水层主要为第</w:t>
            </w:r>
            <w:r>
              <w:rPr>
                <w:rFonts w:hint="eastAsia"/>
              </w:rPr>
              <w:t>④</w:t>
            </w:r>
            <w:r>
              <w:t>层粉质粘土，参考《</w:t>
            </w:r>
            <w:r>
              <w:fldChar w:fldCharType="begin"/>
            </w:r>
            <w:r>
              <w:instrText xml:space="preserve"> HYPERLINK "http://kjs.mep.gov.cn/hjbhbz/bzwb/other/pjjsdz/201601/W020160401590165763311.pdf" </w:instrText>
            </w:r>
            <w:r>
              <w:fldChar w:fldCharType="separate"/>
            </w:r>
            <w:r>
              <w:t>环境影响评价技术导则-地下水环境(HJ 610-2016)</w:t>
            </w:r>
            <w:r>
              <w:fldChar w:fldCharType="end"/>
            </w:r>
            <w:r>
              <w:t>》常见渗透系数表见附录B.1，本项目取轻亚粘土渗透系数值0.1m/d；</w:t>
            </w:r>
          </w:p>
          <w:p>
            <w:pPr>
              <w:adjustRightInd w:val="0"/>
              <w:snapToGrid w:val="0"/>
              <w:spacing w:line="360" w:lineRule="auto"/>
              <w:ind w:firstLine="1200" w:firstLineChars="500"/>
            </w:pPr>
            <w:r>
              <w:t>I—水力坡度，无量纲；由本项目监测报告监测数据计算，本项目水力坡度取0.003。</w:t>
            </w:r>
          </w:p>
          <w:p>
            <w:pPr>
              <w:adjustRightInd w:val="0"/>
              <w:snapToGrid w:val="0"/>
              <w:spacing w:line="360" w:lineRule="auto"/>
              <w:ind w:firstLine="960" w:firstLineChars="400"/>
            </w:pPr>
            <w:r>
              <w:t>T—质点迁移天数，取值不小于5000d；</w:t>
            </w:r>
          </w:p>
          <w:p>
            <w:pPr>
              <w:adjustRightInd w:val="0"/>
              <w:snapToGrid w:val="0"/>
              <w:spacing w:line="360" w:lineRule="auto"/>
              <w:ind w:firstLine="960" w:firstLineChars="400"/>
            </w:pPr>
            <w:r>
              <w:t>ne—有效孔隙度，无量纲。根据《环境影响评价技术方法》（环境保护部环境工程评估中心编2012年版）不同地质材料的孔隙度，评价区域潜水含水介质以粉质粘土为主，孔隙度为0.34~0.6，有效孔隙度比孔隙度少5~10％，因此评价区域有效孔隙度取平均值0.45。</w:t>
            </w:r>
          </w:p>
          <w:p>
            <w:pPr>
              <w:adjustRightInd w:val="0"/>
              <w:snapToGrid w:val="0"/>
              <w:spacing w:line="360" w:lineRule="auto"/>
              <w:ind w:firstLine="480" w:firstLineChars="200"/>
            </w:pPr>
            <w:r>
              <w:t>经计算，L=6.67m，综合考虑《</w:t>
            </w:r>
            <w:r>
              <w:fldChar w:fldCharType="begin"/>
            </w:r>
            <w:r>
              <w:instrText xml:space="preserve"> HYPERLINK "http://kjs.mep.gov.cn/hjbhbz/bzwb/other/pjjsdz/201601/W020160401590165763311.pdf" </w:instrText>
            </w:r>
            <w:r>
              <w:fldChar w:fldCharType="separate"/>
            </w:r>
            <w:r>
              <w:t>环境影响评价技术导则-地下水环境</w:t>
            </w:r>
            <w:r>
              <w:fldChar w:fldCharType="end"/>
            </w:r>
            <w:r>
              <w:t>》(HJ 610-2016)中表3地下水环境现状调查评价范围参考表，确定本项目评价范围为6km2。由于地表水和中深层含水层间无明显的水力联系，中深层含水层和深层含水层无明显的水力联系，因此本次预测层位定为预测评价区域的潜水层。</w:t>
            </w:r>
          </w:p>
          <w:p>
            <w:pPr>
              <w:adjustRightInd w:val="0"/>
              <w:snapToGrid w:val="0"/>
              <w:spacing w:line="360" w:lineRule="auto"/>
            </w:pPr>
            <w:r>
              <w:rPr>
                <w:rFonts w:hint="eastAsia"/>
                <w:lang w:val="en-US" w:eastAsia="zh-CN"/>
              </w:rPr>
              <w:t>2</w:t>
            </w:r>
            <w:r>
              <w:t>.3 预测时段及情景设置</w:t>
            </w:r>
          </w:p>
          <w:p>
            <w:pPr>
              <w:adjustRightInd w:val="0"/>
              <w:snapToGrid w:val="0"/>
              <w:spacing w:line="360" w:lineRule="auto"/>
            </w:pPr>
            <w:r>
              <w:rPr>
                <w:rFonts w:hint="eastAsia"/>
                <w:lang w:val="en-US" w:eastAsia="zh-CN"/>
              </w:rPr>
              <w:t>2</w:t>
            </w:r>
            <w:r>
              <w:t>.3.1 预测时段</w:t>
            </w:r>
          </w:p>
          <w:p>
            <w:pPr>
              <w:adjustRightInd w:val="0"/>
              <w:snapToGrid w:val="0"/>
              <w:spacing w:line="360" w:lineRule="auto"/>
              <w:ind w:firstLine="480" w:firstLineChars="200"/>
            </w:pPr>
            <w:r>
              <w:t>地下水环境影响预测时段为污染发生后100d、1000d，服务年限（20年，即7300d）或能反映特征因子迁移规律的其他时间节点。</w:t>
            </w:r>
          </w:p>
          <w:p>
            <w:pPr>
              <w:adjustRightInd w:val="0"/>
              <w:snapToGrid w:val="0"/>
              <w:spacing w:line="360" w:lineRule="auto"/>
            </w:pPr>
            <w:r>
              <w:rPr>
                <w:rFonts w:hint="eastAsia"/>
                <w:lang w:val="en-US" w:eastAsia="zh-CN"/>
              </w:rPr>
              <w:t>2</w:t>
            </w:r>
            <w:r>
              <w:t>.3.2 情景设置</w:t>
            </w:r>
          </w:p>
          <w:p>
            <w:pPr>
              <w:adjustRightInd w:val="0"/>
              <w:snapToGrid w:val="0"/>
              <w:spacing w:line="360" w:lineRule="auto"/>
              <w:ind w:firstLine="480" w:firstLineChars="200"/>
            </w:pPr>
            <w:r>
              <w:t>项目营运期站区已依据《石油化工工程防渗技术规范》（GB/T50934-2013）设计地下水污染防渗措施，对地下水的影响较小。因此仅预测非正常状况情景下的影响结果。非正常状况通常为工艺设备、地下水环保措施因老化、腐蚀等原因不能正常运行或保护效果达不到设计要求。</w:t>
            </w:r>
          </w:p>
          <w:p>
            <w:pPr>
              <w:adjustRightInd w:val="0"/>
              <w:snapToGrid w:val="0"/>
              <w:spacing w:line="360" w:lineRule="auto"/>
              <w:ind w:firstLine="480" w:firstLineChars="200"/>
            </w:pPr>
            <w:r>
              <w:t>本项目主要涉及成品油的储存，特征污染因子为石油类。鉴于行业特性，设定本次非正常状况设定为设备老化破损，油品泄漏，经包气带进入地下潜水层。本次对主要污染物石油类进入地下水后的运移情况进行预测。根据预测结果，分析评价渗漏事故对评价区地下水环境的影响范围和程度。</w:t>
            </w:r>
          </w:p>
          <w:p>
            <w:pPr>
              <w:adjustRightInd w:val="0"/>
              <w:snapToGrid w:val="0"/>
              <w:spacing w:line="360" w:lineRule="auto"/>
            </w:pPr>
            <w:r>
              <w:rPr>
                <w:rFonts w:hint="eastAsia"/>
                <w:lang w:val="en-US" w:eastAsia="zh-CN"/>
              </w:rPr>
              <w:t>2.</w:t>
            </w:r>
            <w:r>
              <w:t>4 预测模型及源强</w:t>
            </w:r>
          </w:p>
          <w:p>
            <w:pPr>
              <w:adjustRightInd w:val="0"/>
              <w:snapToGrid w:val="0"/>
              <w:spacing w:line="360" w:lineRule="auto"/>
              <w:ind w:firstLine="480" w:firstLineChars="200"/>
              <w:rPr>
                <w:rFonts w:hint="eastAsia"/>
              </w:rPr>
            </w:pPr>
            <w:r>
              <w:rPr>
                <w:rFonts w:hint="eastAsia"/>
              </w:rPr>
              <w:t>（1）预测</w:t>
            </w:r>
            <w:r>
              <w:t>模型</w:t>
            </w:r>
          </w:p>
          <w:p>
            <w:pPr>
              <w:adjustRightInd w:val="0"/>
              <w:snapToGrid w:val="0"/>
              <w:spacing w:line="360" w:lineRule="auto"/>
              <w:ind w:firstLine="480" w:firstLineChars="200"/>
            </w:pPr>
            <w:r>
              <w:t>本项目所在区域水文地质条件简单，污染物的下渗对区域地下水流场无明显的影响，评价区内含水层的基本参数变化很小，因此预测模型采用解析法预测污染物在含水层中的扩散。</w:t>
            </w:r>
          </w:p>
          <w:p>
            <w:pPr>
              <w:adjustRightInd w:val="0"/>
              <w:snapToGrid w:val="0"/>
              <w:spacing w:line="360" w:lineRule="auto"/>
              <w:ind w:firstLine="480" w:firstLineChars="200"/>
            </w:pPr>
            <w:r>
              <w:t>预测模型采用地下水溶质运移解析法——一维无限长多孔介质柱体，</w:t>
            </w:r>
            <w:r>
              <w:rPr>
                <w:rFonts w:hint="eastAsia"/>
              </w:rPr>
              <w:t>示踪剂瞬时注入</w:t>
            </w:r>
            <w:r>
              <w:t>模型：</w:t>
            </w:r>
          </w:p>
          <w:p>
            <w:pPr>
              <w:adjustRightInd w:val="0"/>
              <w:snapToGrid w:val="0"/>
              <w:spacing w:line="360" w:lineRule="auto"/>
              <w:ind w:firstLine="480" w:firstLineChars="200"/>
              <w:jc w:val="center"/>
            </w:pPr>
            <w:r>
              <mc:AlternateContent>
                <mc:Choice Requires="wps">
                  <w:drawing>
                    <wp:anchor distT="0" distB="0" distL="114300" distR="114300" simplePos="0" relativeHeight="2674882560" behindDoc="0" locked="0" layoutInCell="1" allowOverlap="1">
                      <wp:simplePos x="0" y="0"/>
                      <wp:positionH relativeFrom="column">
                        <wp:posOffset>4191635</wp:posOffset>
                      </wp:positionH>
                      <wp:positionV relativeFrom="paragraph">
                        <wp:posOffset>204470</wp:posOffset>
                      </wp:positionV>
                      <wp:extent cx="741680" cy="137795"/>
                      <wp:effectExtent l="0" t="0" r="1270" b="14605"/>
                      <wp:wrapNone/>
                      <wp:docPr id="36" name="文本框 36"/>
                      <wp:cNvGraphicFramePr/>
                      <a:graphic xmlns:a="http://schemas.openxmlformats.org/drawingml/2006/main">
                        <a:graphicData uri="http://schemas.microsoft.com/office/word/2010/wordprocessingShape">
                          <wps:wsp>
                            <wps:cNvSpPr txBox="1"/>
                            <wps:spPr>
                              <a:xfrm>
                                <a:off x="0" y="0"/>
                                <a:ext cx="741680" cy="137795"/>
                              </a:xfrm>
                              <a:prstGeom prst="rect">
                                <a:avLst/>
                              </a:prstGeom>
                              <a:solidFill>
                                <a:srgbClr val="FFFFFF"/>
                              </a:solidFill>
                              <a:ln>
                                <a:noFill/>
                              </a:ln>
                            </wps:spPr>
                            <wps:txbx>
                              <w:txbxContent>
                                <w:p/>
                              </w:txbxContent>
                            </wps:txbx>
                            <wps:bodyPr upright="1"/>
                          </wps:wsp>
                        </a:graphicData>
                      </a:graphic>
                    </wp:anchor>
                  </w:drawing>
                </mc:Choice>
                <mc:Fallback>
                  <w:pict>
                    <v:shape id="_x0000_s1026" o:spid="_x0000_s1026" o:spt="202" type="#_x0000_t202" style="position:absolute;left:0pt;margin-left:330.05pt;margin-top:16.1pt;height:10.85pt;width:58.4pt;z-index:-1620084736;mso-width-relative:page;mso-height-relative:page;" fillcolor="#FFFFFF" filled="t" stroked="f" coordsize="21600,21600" o:gfxdata="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GR645jXAAAACQEAAA8A&#10;AAAAAAAAAQAgAAAAIgAAAGRycy9kb3ducmV2LnhtbFBLAQIUABQAAAAIAIdO4kA9Avg+pgEAACoD&#10;AAAOAAAAAAAAAAEAIAAAACYBAABkcnMvZTJvRG9jLnhtbFBLBQYAAAAABgAGAFkBAAA+BQAAAAA=&#10;">
                      <v:fill on="t" focussize="0,0"/>
                      <v:stroke on="f"/>
                      <v:imagedata o:title=""/>
                      <o:lock v:ext="edit" aspectratio="f"/>
                      <v:textbox>
                        <w:txbxContent>
                          <w:p/>
                        </w:txbxContent>
                      </v:textbox>
                    </v:shape>
                  </w:pict>
                </mc:Fallback>
              </mc:AlternateContent>
            </w:r>
            <w:r>
              <w:drawing>
                <wp:inline distT="0" distB="0" distL="114300" distR="114300">
                  <wp:extent cx="3972560" cy="2319655"/>
                  <wp:effectExtent l="0" t="0" r="8890" b="4445"/>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8"/>
                          <a:stretch>
                            <a:fillRect/>
                          </a:stretch>
                        </pic:blipFill>
                        <pic:spPr>
                          <a:xfrm>
                            <a:off x="0" y="0"/>
                            <a:ext cx="3972560" cy="2319655"/>
                          </a:xfrm>
                          <a:prstGeom prst="rect">
                            <a:avLst/>
                          </a:prstGeom>
                          <a:noFill/>
                          <a:ln>
                            <a:noFill/>
                          </a:ln>
                        </pic:spPr>
                      </pic:pic>
                    </a:graphicData>
                  </a:graphic>
                </wp:inline>
              </w:drawing>
            </w:r>
          </w:p>
          <w:p>
            <w:pPr>
              <w:adjustRightInd w:val="0"/>
              <w:snapToGrid w:val="0"/>
              <w:spacing w:line="360" w:lineRule="auto"/>
              <w:ind w:firstLine="480" w:firstLineChars="200"/>
            </w:pPr>
            <w:r>
              <w:rPr>
                <w:rFonts w:hint="eastAsia"/>
              </w:rPr>
              <w:t>（</w:t>
            </w:r>
            <w:r>
              <w:t>2</w:t>
            </w:r>
            <w:r>
              <w:rPr>
                <w:rFonts w:hint="eastAsia"/>
              </w:rPr>
              <w:t>）参数确定</w:t>
            </w:r>
          </w:p>
          <w:p>
            <w:pPr>
              <w:adjustRightInd w:val="0"/>
              <w:snapToGrid w:val="0"/>
              <w:spacing w:line="360" w:lineRule="auto"/>
              <w:ind w:firstLine="480" w:firstLineChars="200"/>
            </w:pPr>
            <w:r>
              <w:t>汽油和柴油储罐泄漏量参照《建设项目环境风险评价技术导则》（HJ169-2018）计算，汽油和柴油泄漏速度QL用伯努利方程计算。</w:t>
            </w:r>
          </w:p>
          <w:p>
            <w:pPr>
              <w:adjustRightInd w:val="0"/>
              <w:snapToGrid w:val="0"/>
              <w:spacing w:line="500" w:lineRule="exact"/>
              <w:ind w:firstLine="480" w:firstLineChars="200"/>
            </w:pPr>
            <w:r>
              <w:drawing>
                <wp:anchor distT="0" distB="0" distL="114300" distR="114300" simplePos="0" relativeHeight="2674908160" behindDoc="0" locked="0" layoutInCell="1" allowOverlap="1">
                  <wp:simplePos x="0" y="0"/>
                  <wp:positionH relativeFrom="column">
                    <wp:posOffset>1611630</wp:posOffset>
                  </wp:positionH>
                  <wp:positionV relativeFrom="paragraph">
                    <wp:posOffset>133350</wp:posOffset>
                  </wp:positionV>
                  <wp:extent cx="2512695" cy="586740"/>
                  <wp:effectExtent l="0" t="0" r="1905" b="3810"/>
                  <wp:wrapNone/>
                  <wp:docPr id="1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
                          <pic:cNvPicPr>
                            <a:picLocks noChangeAspect="1"/>
                          </pic:cNvPicPr>
                        </pic:nvPicPr>
                        <pic:blipFill>
                          <a:blip r:embed="rId19"/>
                          <a:srcRect r="-43" b="-172"/>
                          <a:stretch>
                            <a:fillRect/>
                          </a:stretch>
                        </pic:blipFill>
                        <pic:spPr>
                          <a:xfrm>
                            <a:off x="0" y="0"/>
                            <a:ext cx="2512695" cy="586740"/>
                          </a:xfrm>
                          <a:prstGeom prst="rect">
                            <a:avLst/>
                          </a:prstGeom>
                          <a:noFill/>
                          <a:ln>
                            <a:noFill/>
                          </a:ln>
                        </pic:spPr>
                      </pic:pic>
                    </a:graphicData>
                  </a:graphic>
                </wp:anchor>
              </w:drawing>
            </w:r>
          </w:p>
          <w:p>
            <w:pPr>
              <w:adjustRightInd w:val="0"/>
              <w:snapToGrid w:val="0"/>
              <w:spacing w:line="500" w:lineRule="exact"/>
              <w:ind w:firstLine="480" w:firstLineChars="200"/>
            </w:pPr>
          </w:p>
          <w:p>
            <w:pPr>
              <w:adjustRightInd w:val="0"/>
              <w:snapToGrid w:val="0"/>
              <w:spacing w:line="360" w:lineRule="auto"/>
              <w:ind w:firstLine="480" w:firstLineChars="200"/>
            </w:pPr>
            <w:r>
              <w:t>式中：</w:t>
            </w:r>
          </w:p>
          <w:p>
            <w:pPr>
              <w:adjustRightInd w:val="0"/>
              <w:snapToGrid w:val="0"/>
              <w:spacing w:line="360" w:lineRule="auto"/>
              <w:ind w:firstLine="960" w:firstLineChars="400"/>
            </w:pPr>
            <w:r>
              <w:t>QL—液体泄漏速度，kg/s；</w:t>
            </w:r>
          </w:p>
          <w:p>
            <w:pPr>
              <w:adjustRightInd w:val="0"/>
              <w:snapToGrid w:val="0"/>
              <w:spacing w:line="360" w:lineRule="auto"/>
              <w:ind w:firstLine="960" w:firstLineChars="400"/>
            </w:pPr>
            <w:r>
              <w:t>Cd—液体泄漏系数，此值常用0.6～0.64，取0.62；</w:t>
            </w:r>
          </w:p>
          <w:p>
            <w:pPr>
              <w:adjustRightInd w:val="0"/>
              <w:snapToGrid w:val="0"/>
              <w:spacing w:line="360" w:lineRule="auto"/>
              <w:ind w:firstLine="960" w:firstLineChars="400"/>
            </w:pPr>
            <w:r>
              <w:t>A—裂口面积，m2，取0.25cm2；</w:t>
            </w:r>
          </w:p>
          <w:p>
            <w:pPr>
              <w:adjustRightInd w:val="0"/>
              <w:snapToGrid w:val="0"/>
              <w:spacing w:line="360" w:lineRule="auto"/>
              <w:ind w:firstLine="960" w:firstLineChars="400"/>
            </w:pPr>
            <w:r>
              <w:t>P—容器内介质压力，82040Pa；</w:t>
            </w:r>
          </w:p>
          <w:p>
            <w:pPr>
              <w:adjustRightInd w:val="0"/>
              <w:snapToGrid w:val="0"/>
              <w:spacing w:line="360" w:lineRule="auto"/>
              <w:ind w:firstLine="960" w:firstLineChars="400"/>
            </w:pPr>
            <w:r>
              <w:t>P0—环境压力，82040Pa；</w:t>
            </w:r>
          </w:p>
          <w:p>
            <w:pPr>
              <w:adjustRightInd w:val="0"/>
              <w:snapToGrid w:val="0"/>
              <w:spacing w:line="360" w:lineRule="auto"/>
              <w:ind w:firstLine="960" w:firstLineChars="400"/>
            </w:pPr>
            <w:r>
              <w:t>g—重力加速度，9.81m/s2；</w:t>
            </w:r>
          </w:p>
          <w:p>
            <w:pPr>
              <w:adjustRightInd w:val="0"/>
              <w:snapToGrid w:val="0"/>
              <w:spacing w:line="360" w:lineRule="auto"/>
              <w:ind w:firstLine="960" w:firstLineChars="400"/>
            </w:pPr>
            <w:r>
              <w:t>h—裂口之上液位高度，取1m；</w:t>
            </w:r>
          </w:p>
          <w:p>
            <w:pPr>
              <w:adjustRightInd w:val="0"/>
              <w:snapToGrid w:val="0"/>
              <w:spacing w:line="360" w:lineRule="auto"/>
              <w:ind w:firstLine="960" w:firstLineChars="400"/>
            </w:pPr>
            <w:r>
              <w:t>ρ—液体的密度，kg/m3；汽油密度=725kg/m3，柴油密度=835kg/m3。</w:t>
            </w:r>
          </w:p>
          <w:p>
            <w:pPr>
              <w:adjustRightInd w:val="0"/>
              <w:snapToGrid w:val="0"/>
              <w:spacing w:line="360" w:lineRule="auto"/>
              <w:ind w:firstLine="480" w:firstLineChars="200"/>
            </w:pPr>
            <w:r>
              <w:rPr>
                <w:rFonts w:hint="default"/>
              </w:rPr>
              <w:t>本项目加油站储罐区汽单罐容量为</w:t>
            </w:r>
            <w:r>
              <w:rPr>
                <w:rFonts w:hint="eastAsia"/>
                <w:lang w:val="en-US" w:eastAsia="zh-CN"/>
              </w:rPr>
              <w:t xml:space="preserve">50 </w:t>
            </w:r>
            <w:r>
              <w:rPr>
                <w:rFonts w:hint="default"/>
              </w:rPr>
              <w:t>m3，项目使用</w:t>
            </w:r>
            <w:r>
              <w:rPr>
                <w:rFonts w:hint="eastAsia"/>
                <w:lang w:val="en-US" w:eastAsia="zh-CN"/>
              </w:rPr>
              <w:t>3</w:t>
            </w:r>
            <w:r>
              <w:rPr>
                <w:rFonts w:hint="default"/>
              </w:rPr>
              <w:t>个汽油罐和</w:t>
            </w:r>
            <w:r>
              <w:rPr>
                <w:rFonts w:hint="eastAsia"/>
                <w:lang w:val="en-US" w:eastAsia="zh-CN"/>
              </w:rPr>
              <w:t>2</w:t>
            </w:r>
            <w:r>
              <w:rPr>
                <w:rFonts w:hint="default"/>
              </w:rPr>
              <w:t>个柴油罐，汽油密度0.70～0.7</w:t>
            </w:r>
            <w:r>
              <w:rPr>
                <w:rFonts w:hint="eastAsia"/>
                <w:lang w:val="en-US" w:eastAsia="zh-CN"/>
              </w:rPr>
              <w:t>8</w:t>
            </w:r>
            <w:r>
              <w:rPr>
                <w:rFonts w:hint="default"/>
              </w:rPr>
              <w:t>，本次取0.75</w:t>
            </w:r>
            <w:r>
              <w:rPr>
                <w:rFonts w:hint="eastAsia"/>
                <w:lang w:val="en-US" w:eastAsia="zh-CN"/>
              </w:rPr>
              <w:t xml:space="preserve"> </w:t>
            </w:r>
            <w:r>
              <w:rPr>
                <w:rFonts w:hint="default"/>
              </w:rPr>
              <w:t>t/m3，柴油密度0.8</w:t>
            </w:r>
            <w:r>
              <w:rPr>
                <w:rFonts w:hint="eastAsia"/>
                <w:lang w:val="en-US" w:eastAsia="zh-CN"/>
              </w:rPr>
              <w:t>3</w:t>
            </w:r>
            <w:r>
              <w:rPr>
                <w:rFonts w:hint="default"/>
              </w:rPr>
              <w:t>～</w:t>
            </w:r>
            <w:r>
              <w:rPr>
                <w:rFonts w:hint="eastAsia"/>
                <w:lang w:val="en-US" w:eastAsia="zh-CN"/>
              </w:rPr>
              <w:t>0.855</w:t>
            </w:r>
            <w:r>
              <w:rPr>
                <w:rFonts w:hint="default"/>
              </w:rPr>
              <w:t>，本项目取0.</w:t>
            </w:r>
            <w:r>
              <w:rPr>
                <w:rFonts w:hint="eastAsia"/>
                <w:lang w:val="en-US" w:eastAsia="zh-CN"/>
              </w:rPr>
              <w:t>84</w:t>
            </w:r>
            <w:r>
              <w:rPr>
                <w:rFonts w:hint="default"/>
              </w:rPr>
              <w:t>，最大储量按储油罐</w:t>
            </w:r>
            <w:r>
              <w:rPr>
                <w:rFonts w:hint="eastAsia"/>
                <w:lang w:eastAsia="zh-CN"/>
              </w:rPr>
              <w:t>的</w:t>
            </w:r>
            <w:r>
              <w:rPr>
                <w:rFonts w:hint="default"/>
              </w:rPr>
              <w:t>90%，则汽油的最大存储量为</w:t>
            </w:r>
            <w:r>
              <w:rPr>
                <w:rFonts w:hint="eastAsia"/>
                <w:lang w:val="en-US" w:eastAsia="zh-CN"/>
              </w:rPr>
              <w:t>101.25</w:t>
            </w:r>
            <w:r>
              <w:rPr>
                <w:rFonts w:hint="default"/>
              </w:rPr>
              <w:t>t，柴油最大存储量为</w:t>
            </w:r>
            <w:r>
              <w:rPr>
                <w:rFonts w:hint="eastAsia"/>
                <w:lang w:val="en-US" w:eastAsia="zh-CN"/>
              </w:rPr>
              <w:t>68.04</w:t>
            </w:r>
            <w:r>
              <w:rPr>
                <w:rFonts w:hint="default"/>
              </w:rPr>
              <w:t>t。</w:t>
            </w:r>
            <w:r>
              <w:t>经计算，汽油和柴油泄漏速度分别为0.</w:t>
            </w:r>
            <w:r>
              <w:rPr>
                <w:rFonts w:hint="eastAsia"/>
                <w:lang w:val="en-US" w:eastAsia="zh-CN"/>
              </w:rPr>
              <w:t>152</w:t>
            </w:r>
            <w:r>
              <w:t>kg/s、0.</w:t>
            </w:r>
            <w:r>
              <w:rPr>
                <w:rFonts w:hint="eastAsia"/>
                <w:lang w:val="en-US" w:eastAsia="zh-CN"/>
              </w:rPr>
              <w:t>94</w:t>
            </w:r>
            <w:r>
              <w:t>kg/s。假设所有的储油罐同时泄漏（最不利条件），则10min汽油泄露量为</w:t>
            </w:r>
            <w:r>
              <w:rPr>
                <w:rFonts w:hint="eastAsia"/>
                <w:lang w:val="en-US" w:eastAsia="zh-CN"/>
              </w:rPr>
              <w:t>91.2</w:t>
            </w:r>
            <w:r>
              <w:t>kg，柴油泄漏量为</w:t>
            </w:r>
            <w:r>
              <w:rPr>
                <w:rFonts w:hint="eastAsia"/>
                <w:lang w:val="en-US" w:eastAsia="zh-CN"/>
              </w:rPr>
              <w:t>55.8</w:t>
            </w:r>
            <w:r>
              <w:t>kg，合计</w:t>
            </w:r>
            <w:r>
              <w:rPr>
                <w:rFonts w:hint="eastAsia"/>
                <w:lang w:val="en-US" w:eastAsia="zh-CN"/>
              </w:rPr>
              <w:t>147</w:t>
            </w:r>
            <w:r>
              <w:t>kg。</w:t>
            </w:r>
          </w:p>
          <w:p>
            <w:pPr>
              <w:adjustRightInd w:val="0"/>
              <w:snapToGrid w:val="0"/>
              <w:spacing w:line="360" w:lineRule="auto"/>
              <w:ind w:firstLine="480" w:firstLineChars="200"/>
            </w:pPr>
            <w:r>
              <w:t>水流速度根据地下水流经验公式计算：</w:t>
            </w:r>
          </w:p>
          <w:p>
            <w:pPr>
              <w:adjustRightInd w:val="0"/>
              <w:snapToGrid w:val="0"/>
              <w:spacing w:line="360" w:lineRule="auto"/>
              <w:ind w:firstLine="480" w:firstLineChars="200"/>
            </w:pPr>
            <w:r>
              <w:t>V=KI/n</w:t>
            </w:r>
          </w:p>
          <w:p>
            <w:pPr>
              <w:adjustRightInd w:val="0"/>
              <w:snapToGrid w:val="0"/>
              <w:spacing w:line="360" w:lineRule="auto"/>
              <w:ind w:firstLine="480" w:firstLineChars="200"/>
            </w:pPr>
            <w:r>
              <w:t>式中：V——水流速度；</w:t>
            </w:r>
          </w:p>
          <w:p>
            <w:pPr>
              <w:adjustRightInd w:val="0"/>
              <w:snapToGrid w:val="0"/>
              <w:spacing w:line="360" w:lineRule="auto"/>
              <w:ind w:firstLine="1200" w:firstLineChars="500"/>
            </w:pPr>
            <w:r>
              <w:t>K——渗透系数，m/d；本项目取轻亚粘土渗透系数值0.1m/d。</w:t>
            </w:r>
          </w:p>
          <w:p>
            <w:pPr>
              <w:adjustRightInd w:val="0"/>
              <w:snapToGrid w:val="0"/>
              <w:spacing w:line="360" w:lineRule="auto"/>
              <w:ind w:firstLine="1200" w:firstLineChars="500"/>
            </w:pPr>
            <w:r>
              <w:t>I——水力坡度；由本项目监测报告监测数据计算，本项目水力坡度取0.003。</w:t>
            </w:r>
          </w:p>
          <w:p>
            <w:pPr>
              <w:adjustRightInd w:val="0"/>
              <w:snapToGrid w:val="0"/>
              <w:spacing w:line="360" w:lineRule="auto"/>
              <w:ind w:firstLine="1200" w:firstLineChars="500"/>
              <w:rPr>
                <w:rFonts w:hint="eastAsia"/>
              </w:rPr>
            </w:pPr>
            <w:r>
              <w:t>n——有效孔隙度。根据《环境影响评价技术方法》（环境保护部环境工程评估中心编2012年版）不同地质材料的孔隙度，评价区域潜水含水介质以粉质粘土为主，孔隙度为0.34~0.6，有效孔隙度比孔隙度少5~10％，因此评价区域有效孔隙度取平均值0.45。由上式计算可得，本项目所在区域地下水流速为0.0007m/d</w:t>
            </w:r>
            <w:r>
              <w:rPr>
                <w:rFonts w:hint="eastAsia"/>
              </w:rPr>
              <w:t>。</w:t>
            </w:r>
          </w:p>
          <w:p>
            <w:pPr>
              <w:adjustRightInd w:val="0"/>
              <w:snapToGrid w:val="0"/>
              <w:spacing w:line="360" w:lineRule="auto"/>
              <w:ind w:firstLine="480" w:firstLineChars="200"/>
              <w:rPr>
                <w:rFonts w:hint="eastAsia"/>
              </w:rPr>
            </w:pPr>
            <w:r>
              <w:rPr>
                <w:rFonts w:hint="eastAsia"/>
              </w:rPr>
              <w:t>横截面面积：</w:t>
            </w:r>
            <w:r>
              <w:t>本评价</w:t>
            </w:r>
            <w:r>
              <w:rPr>
                <w:rFonts w:hint="eastAsia"/>
              </w:rPr>
              <w:t>横</w:t>
            </w:r>
            <w:r>
              <w:t>截面积</w:t>
            </w:r>
            <w:r>
              <w:rPr>
                <w:rFonts w:hint="eastAsia"/>
              </w:rPr>
              <w:t>为</w:t>
            </w:r>
            <w:r>
              <w:t>80m2</w:t>
            </w:r>
            <w:r>
              <w:rPr>
                <w:rFonts w:hint="eastAsia"/>
              </w:rPr>
              <w:t>。</w:t>
            </w:r>
          </w:p>
          <w:p>
            <w:pPr>
              <w:adjustRightInd w:val="0"/>
              <w:snapToGrid w:val="0"/>
              <w:spacing w:line="360" w:lineRule="auto"/>
              <w:ind w:firstLine="480" w:firstLineChars="200"/>
              <w:rPr>
                <w:rFonts w:hint="eastAsia"/>
              </w:rPr>
            </w:pPr>
            <w:r>
              <w:rPr>
                <w:rFonts w:hint="eastAsia"/>
              </w:rPr>
              <w:t>纵向弥散系数：纵向弥散度</w:t>
            </w:r>
            <w:r>
              <w:t>αL</w:t>
            </w:r>
            <w:r>
              <w:rPr>
                <w:rFonts w:hint="eastAsia"/>
              </w:rPr>
              <w:t>：纵向弥散度</w:t>
            </w:r>
            <w:r>
              <w:t>αL</w:t>
            </w:r>
            <w:r>
              <w:rPr>
                <w:rFonts w:hint="eastAsia"/>
              </w:rPr>
              <w:t>可以由图</w:t>
            </w:r>
            <w:r>
              <w:t>10</w:t>
            </w:r>
            <w:r>
              <w:rPr>
                <w:rFonts w:hint="eastAsia"/>
              </w:rPr>
              <w:t>确定。图</w:t>
            </w:r>
            <w:r>
              <w:t>10</w:t>
            </w:r>
            <w:r>
              <w:rPr>
                <w:rFonts w:hint="eastAsia"/>
              </w:rPr>
              <w:t>为根据世界范围内所收集到的百余个水质模型中所计算出的孔隙介质的纵向弥散度</w:t>
            </w:r>
            <w:r>
              <w:t>αL</w:t>
            </w:r>
            <w:r>
              <w:rPr>
                <w:rFonts w:hint="eastAsia"/>
              </w:rPr>
              <w:t>及有关资料与参数作出的</w:t>
            </w:r>
            <w:r>
              <w:t>lgαL—lgLs</w:t>
            </w:r>
            <w:r>
              <w:rPr>
                <w:rFonts w:hint="eastAsia"/>
              </w:rPr>
              <w:t>。基准尺度</w:t>
            </w:r>
            <w:r>
              <w:t>Ls</w:t>
            </w:r>
            <w:r>
              <w:rPr>
                <w:rFonts w:hint="eastAsia"/>
              </w:rPr>
              <w:t>是指研究区大小的度量，一般用溶质运移到观测孔的最大距离表示。本项目从保守角度考虑</w:t>
            </w:r>
            <w:r>
              <w:t>Ls</w:t>
            </w:r>
            <w:r>
              <w:rPr>
                <w:rFonts w:hint="eastAsia"/>
              </w:rPr>
              <w:t>选</w:t>
            </w:r>
            <w:r>
              <w:t>1000m</w:t>
            </w:r>
            <w:r>
              <w:rPr>
                <w:rFonts w:hint="eastAsia"/>
              </w:rPr>
              <w:t>，则</w:t>
            </w:r>
            <w:r>
              <w:t>αL=10</w:t>
            </w:r>
            <w:r>
              <w:rPr>
                <w:rFonts w:hint="eastAsia"/>
              </w:rPr>
              <w:t>。</w:t>
            </w:r>
          </w:p>
          <w:p>
            <w:pPr>
              <w:adjustRightInd w:val="0"/>
              <w:snapToGrid w:val="0"/>
              <w:spacing w:line="360" w:lineRule="auto"/>
              <w:jc w:val="center"/>
            </w:pPr>
            <w:r>
              <w:drawing>
                <wp:inline distT="0" distB="0" distL="114300" distR="114300">
                  <wp:extent cx="3086735" cy="2368550"/>
                  <wp:effectExtent l="0" t="0" r="18415" b="12700"/>
                  <wp:docPr id="10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pic:cNvPicPr>
                            <a:picLocks noChangeAspect="1"/>
                          </pic:cNvPicPr>
                        </pic:nvPicPr>
                        <pic:blipFill>
                          <a:blip r:embed="rId20"/>
                          <a:srcRect r="-90" b="134"/>
                          <a:stretch>
                            <a:fillRect/>
                          </a:stretch>
                        </pic:blipFill>
                        <pic:spPr>
                          <a:xfrm>
                            <a:off x="0" y="0"/>
                            <a:ext cx="3086735" cy="2368550"/>
                          </a:xfrm>
                          <a:prstGeom prst="rect">
                            <a:avLst/>
                          </a:prstGeom>
                          <a:noFill/>
                          <a:ln>
                            <a:noFill/>
                          </a:ln>
                        </pic:spPr>
                      </pic:pic>
                    </a:graphicData>
                  </a:graphic>
                </wp:inline>
              </w:drawing>
            </w:r>
          </w:p>
          <w:p>
            <w:pPr>
              <w:adjustRightInd w:val="0"/>
              <w:snapToGrid w:val="0"/>
              <w:spacing w:line="360" w:lineRule="auto"/>
              <w:jc w:val="center"/>
            </w:pPr>
            <w:r>
              <w:t>图</w:t>
            </w:r>
            <w:r>
              <w:rPr>
                <w:rFonts w:hint="eastAsia"/>
                <w:lang w:val="en-US" w:eastAsia="zh-CN"/>
              </w:rPr>
              <w:t>6</w:t>
            </w:r>
            <w:r>
              <w:t xml:space="preserve">    孔隙介质数值模型的lgαL—lgLs</w:t>
            </w:r>
          </w:p>
          <w:p>
            <w:pPr>
              <w:adjustRightInd w:val="0"/>
              <w:snapToGrid w:val="0"/>
              <w:spacing w:line="360" w:lineRule="auto"/>
              <w:ind w:firstLine="480" w:firstLineChars="200"/>
            </w:pPr>
            <w:r>
              <w:rPr>
                <w:rFonts w:hint="eastAsia"/>
              </w:rPr>
              <w:t>纵向弥散系数</w:t>
            </w:r>
            <w:r>
              <w:t>DL=αL×u=10×0.0007=0.007m2/d</w:t>
            </w:r>
          </w:p>
          <w:p>
            <w:pPr>
              <w:adjustRightInd w:val="0"/>
              <w:snapToGrid w:val="0"/>
              <w:spacing w:line="360" w:lineRule="auto"/>
              <w:ind w:firstLine="480" w:firstLineChars="200"/>
              <w:rPr>
                <w:rFonts w:hint="eastAsia"/>
              </w:rPr>
            </w:pPr>
            <w:r>
              <w:rPr>
                <w:rFonts w:hint="eastAsia"/>
              </w:rPr>
              <w:t>根据</w:t>
            </w:r>
            <w:r>
              <w:t>以上结论，确定本次地下水预测参数，详见表</w:t>
            </w:r>
            <w:r>
              <w:rPr>
                <w:rFonts w:hint="eastAsia"/>
              </w:rPr>
              <w:t>36。</w:t>
            </w:r>
          </w:p>
          <w:p>
            <w:pPr>
              <w:pStyle w:val="7"/>
              <w:rPr>
                <w:rFonts w:hint="eastAsia"/>
              </w:rPr>
            </w:pPr>
            <w:r>
              <w:rPr>
                <w:rFonts w:hint="eastAsia"/>
              </w:rPr>
              <w:t xml:space="preserve">表 </w:t>
            </w:r>
            <w:r>
              <w:rPr>
                <w:rFonts w:hint="eastAsia"/>
                <w:lang w:val="en-US" w:eastAsia="zh-CN"/>
              </w:rPr>
              <w:t>32</w:t>
            </w:r>
            <w:r>
              <w:t xml:space="preserve">   </w:t>
            </w:r>
            <w:r>
              <w:rPr>
                <w:rFonts w:hint="eastAsia"/>
              </w:rPr>
              <w:t>地下水</w:t>
            </w:r>
            <w:r>
              <w:t>预测参数选取一览表</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8"/>
              <w:gridCol w:w="1397"/>
              <w:gridCol w:w="1431"/>
              <w:gridCol w:w="1397"/>
              <w:gridCol w:w="1380"/>
              <w:gridCol w:w="1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29"/>
                    <w:jc w:val="center"/>
                  </w:pPr>
                  <w:r>
                    <w:t>参数</w:t>
                  </w:r>
                </w:p>
              </w:tc>
              <w:tc>
                <w:tcPr>
                  <w:tcW w:w="1474" w:type="dxa"/>
                  <w:noWrap w:val="0"/>
                  <w:vAlign w:val="center"/>
                </w:tcPr>
                <w:p>
                  <w:pPr>
                    <w:pStyle w:val="29"/>
                    <w:jc w:val="center"/>
                  </w:pPr>
                  <w:r>
                    <w:t>m（kg）</w:t>
                  </w:r>
                </w:p>
              </w:tc>
              <w:tc>
                <w:tcPr>
                  <w:tcW w:w="1474" w:type="dxa"/>
                  <w:noWrap w:val="0"/>
                  <w:vAlign w:val="center"/>
                </w:tcPr>
                <w:p>
                  <w:pPr>
                    <w:pStyle w:val="29"/>
                    <w:jc w:val="center"/>
                  </w:pPr>
                  <w:r>
                    <w:t>DL(m2/d)</w:t>
                  </w:r>
                </w:p>
              </w:tc>
              <w:tc>
                <w:tcPr>
                  <w:tcW w:w="1474" w:type="dxa"/>
                  <w:noWrap w:val="0"/>
                  <w:vAlign w:val="center"/>
                </w:tcPr>
                <w:p>
                  <w:pPr>
                    <w:pStyle w:val="29"/>
                    <w:jc w:val="center"/>
                  </w:pPr>
                  <w:r>
                    <w:t>u(m/d)</w:t>
                  </w:r>
                </w:p>
              </w:tc>
              <w:tc>
                <w:tcPr>
                  <w:tcW w:w="1474" w:type="dxa"/>
                  <w:noWrap w:val="0"/>
                  <w:vAlign w:val="center"/>
                </w:tcPr>
                <w:p>
                  <w:pPr>
                    <w:pStyle w:val="29"/>
                    <w:jc w:val="center"/>
                  </w:pPr>
                  <w:r>
                    <w:t>w(m2)</w:t>
                  </w:r>
                </w:p>
              </w:tc>
              <w:tc>
                <w:tcPr>
                  <w:tcW w:w="1474" w:type="dxa"/>
                  <w:noWrap w:val="0"/>
                  <w:vAlign w:val="center"/>
                </w:tcPr>
                <w:p>
                  <w:pPr>
                    <w:pStyle w:val="29"/>
                    <w:jc w:val="center"/>
                  </w:pPr>
                  <w: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74" w:type="dxa"/>
                  <w:noWrap w:val="0"/>
                  <w:vAlign w:val="center"/>
                </w:tcPr>
                <w:p>
                  <w:pPr>
                    <w:pStyle w:val="29"/>
                    <w:jc w:val="center"/>
                  </w:pPr>
                  <w:r>
                    <w:rPr>
                      <w:rFonts w:hint="eastAsia"/>
                    </w:rPr>
                    <w:t>取值</w:t>
                  </w:r>
                </w:p>
              </w:tc>
              <w:tc>
                <w:tcPr>
                  <w:tcW w:w="1474" w:type="dxa"/>
                  <w:noWrap w:val="0"/>
                  <w:vAlign w:val="center"/>
                </w:tcPr>
                <w:p>
                  <w:pPr>
                    <w:pStyle w:val="29"/>
                    <w:jc w:val="center"/>
                    <w:rPr>
                      <w:rFonts w:hint="default"/>
                      <w:lang w:val="en-US" w:eastAsia="zh-CN"/>
                    </w:rPr>
                  </w:pPr>
                  <w:r>
                    <w:rPr>
                      <w:rFonts w:hint="eastAsia"/>
                      <w:lang w:val="en-US" w:eastAsia="zh-CN"/>
                    </w:rPr>
                    <w:t>147</w:t>
                  </w:r>
                </w:p>
              </w:tc>
              <w:tc>
                <w:tcPr>
                  <w:tcW w:w="1474" w:type="dxa"/>
                  <w:noWrap w:val="0"/>
                  <w:vAlign w:val="center"/>
                </w:tcPr>
                <w:p>
                  <w:pPr>
                    <w:pStyle w:val="29"/>
                    <w:jc w:val="center"/>
                  </w:pPr>
                  <w:r>
                    <w:rPr>
                      <w:rFonts w:hint="eastAsia"/>
                    </w:rPr>
                    <w:t>0.007</w:t>
                  </w:r>
                </w:p>
              </w:tc>
              <w:tc>
                <w:tcPr>
                  <w:tcW w:w="1474" w:type="dxa"/>
                  <w:noWrap w:val="0"/>
                  <w:vAlign w:val="center"/>
                </w:tcPr>
                <w:p>
                  <w:pPr>
                    <w:pStyle w:val="29"/>
                    <w:jc w:val="center"/>
                  </w:pPr>
                  <w:r>
                    <w:rPr>
                      <w:rFonts w:hint="eastAsia"/>
                    </w:rPr>
                    <w:t>0.0007</w:t>
                  </w:r>
                </w:p>
              </w:tc>
              <w:tc>
                <w:tcPr>
                  <w:tcW w:w="1474" w:type="dxa"/>
                  <w:noWrap w:val="0"/>
                  <w:vAlign w:val="center"/>
                </w:tcPr>
                <w:p>
                  <w:pPr>
                    <w:pStyle w:val="29"/>
                    <w:jc w:val="center"/>
                  </w:pPr>
                  <w:r>
                    <w:t>80</w:t>
                  </w:r>
                </w:p>
              </w:tc>
              <w:tc>
                <w:tcPr>
                  <w:tcW w:w="1474" w:type="dxa"/>
                  <w:noWrap w:val="0"/>
                  <w:vAlign w:val="center"/>
                </w:tcPr>
                <w:p>
                  <w:pPr>
                    <w:pStyle w:val="29"/>
                    <w:jc w:val="center"/>
                  </w:pPr>
                  <w:r>
                    <w:rPr>
                      <w:rFonts w:hint="eastAsia"/>
                    </w:rPr>
                    <w:t>0.45</w:t>
                  </w:r>
                </w:p>
              </w:tc>
            </w:tr>
          </w:tbl>
          <w:p>
            <w:pPr>
              <w:adjustRightInd w:val="0"/>
              <w:snapToGrid w:val="0"/>
              <w:spacing w:line="360" w:lineRule="auto"/>
            </w:pPr>
            <w:r>
              <w:rPr>
                <w:rFonts w:hint="eastAsia"/>
                <w:lang w:val="en-US" w:eastAsia="zh-CN"/>
              </w:rPr>
              <w:t>2</w:t>
            </w:r>
            <w:r>
              <w:t>.5 预测结果</w:t>
            </w:r>
          </w:p>
          <w:p>
            <w:pPr>
              <w:adjustRightInd w:val="0"/>
              <w:snapToGrid w:val="0"/>
              <w:spacing w:line="360" w:lineRule="auto"/>
              <w:ind w:firstLine="480" w:firstLineChars="200"/>
              <w:rPr>
                <w:rFonts w:hint="eastAsia"/>
              </w:rPr>
            </w:pPr>
            <w:r>
              <w:rPr>
                <w:rFonts w:hint="eastAsia"/>
              </w:rPr>
              <w:t>本次评价过程中，对油污连续泄露至裸土壤100d、</w:t>
            </w:r>
            <w:r>
              <w:t>100</w:t>
            </w:r>
            <w:r>
              <w:rPr>
                <w:rFonts w:hint="eastAsia"/>
              </w:rPr>
              <w:t>0d和</w:t>
            </w:r>
            <w:r>
              <w:t>服务年限（20年，即7300d</w:t>
            </w:r>
            <w:r>
              <w:rPr>
                <w:rFonts w:hint="eastAsia"/>
              </w:rPr>
              <w:t>。预测结果</w:t>
            </w:r>
            <w:r>
              <w:t>见表</w:t>
            </w:r>
            <w:r>
              <w:rPr>
                <w:rFonts w:hint="eastAsia"/>
              </w:rPr>
              <w:t>37。</w:t>
            </w:r>
          </w:p>
          <w:p>
            <w:pPr>
              <w:pStyle w:val="7"/>
            </w:pPr>
            <w:r>
              <w:t xml:space="preserve">表 </w:t>
            </w:r>
            <w:r>
              <w:rPr>
                <w:rFonts w:hint="eastAsia"/>
                <w:lang w:val="en-US" w:eastAsia="zh-CN"/>
              </w:rPr>
              <w:t>33</w:t>
            </w:r>
            <w:r>
              <w:t xml:space="preserve">    下游地下水石油类预测结果一览表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62"/>
              <w:gridCol w:w="2982"/>
              <w:gridCol w:w="2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rFonts w:hint="eastAsia"/>
                      <w:lang w:val="en-US" w:eastAsia="zh-CN"/>
                    </w:rPr>
                    <w:t>时间</w:t>
                  </w:r>
                </w:p>
              </w:tc>
              <w:tc>
                <w:tcPr>
                  <w:tcW w:w="6314" w:type="dxa"/>
                  <w:gridSpan w:val="2"/>
                  <w:noWrap w:val="0"/>
                  <w:vAlign w:val="center"/>
                </w:tcPr>
                <w:p>
                  <w:pPr>
                    <w:widowControl w:val="0"/>
                    <w:bidi w:val="0"/>
                    <w:spacing w:line="240" w:lineRule="auto"/>
                    <w:ind w:firstLine="0" w:firstLineChars="0"/>
                    <w:jc w:val="center"/>
                    <w:rPr>
                      <w:lang w:val="en-US" w:eastAsia="zh-CN"/>
                    </w:rPr>
                  </w:pPr>
                  <w:r>
                    <w:rPr>
                      <w:rFonts w:hint="eastAsia"/>
                      <w:lang w:val="en-US" w:eastAsia="zh-CN"/>
                    </w:rPr>
                    <w:t>预测因子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2515" w:type="dxa"/>
                  <w:vMerge w:val="continue"/>
                  <w:noWrap w:val="0"/>
                  <w:vAlign w:val="center"/>
                </w:tcPr>
                <w:p>
                  <w:pPr>
                    <w:widowControl w:val="0"/>
                    <w:bidi w:val="0"/>
                    <w:spacing w:line="240" w:lineRule="auto"/>
                    <w:ind w:firstLine="0" w:firstLineChars="0"/>
                    <w:jc w:val="center"/>
                    <w:rPr>
                      <w:rFonts w:hint="eastAsia"/>
                      <w:lang w:val="en-US" w:eastAsia="zh-CN"/>
                    </w:rPr>
                  </w:pPr>
                </w:p>
              </w:tc>
              <w:tc>
                <w:tcPr>
                  <w:tcW w:w="6314" w:type="dxa"/>
                  <w:gridSpan w:val="2"/>
                  <w:noWrap w:val="0"/>
                  <w:vAlign w:val="center"/>
                </w:tcPr>
                <w:p>
                  <w:pPr>
                    <w:widowControl w:val="0"/>
                    <w:bidi w:val="0"/>
                    <w:spacing w:line="240" w:lineRule="auto"/>
                    <w:ind w:firstLine="0" w:firstLineChars="0"/>
                    <w:jc w:val="center"/>
                    <w:rPr>
                      <w:lang w:val="en-US" w:eastAsia="zh-CN"/>
                    </w:rPr>
                  </w:pPr>
                  <w:r>
                    <w:rPr>
                      <w:rFonts w:hint="eastAsia"/>
                      <w:lang w:val="en-US" w:eastAsia="zh-CN"/>
                    </w:rPr>
                    <w:t>石油类（标准值0.05</w:t>
                  </w:r>
                  <w:r>
                    <w:rPr>
                      <w:lang w:val="en-US" w:eastAsia="zh-CN"/>
                    </w:rPr>
                    <w:t>mg/L</w:t>
                  </w:r>
                  <w:r>
                    <w:rPr>
                      <w:rFonts w:hint="eastAsia"/>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lang w:val="en-US" w:eastAsia="zh-CN"/>
                    </w:rPr>
                    <w:t>100d</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最远迁移距离（m）</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continue"/>
                  <w:noWrap w:val="0"/>
                  <w:vAlign w:val="center"/>
                </w:tcPr>
                <w:p>
                  <w:pPr>
                    <w:widowControl w:val="0"/>
                    <w:bidi w:val="0"/>
                    <w:spacing w:line="240" w:lineRule="auto"/>
                    <w:ind w:firstLine="0" w:firstLineChars="0"/>
                    <w:jc w:val="center"/>
                    <w:rPr>
                      <w:lang w:val="en-US" w:eastAsia="zh-CN"/>
                    </w:rPr>
                  </w:pP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浓度（mg/L）</w:t>
                  </w:r>
                </w:p>
              </w:tc>
              <w:tc>
                <w:tcPr>
                  <w:tcW w:w="3157" w:type="dxa"/>
                  <w:noWrap w:val="0"/>
                  <w:vAlign w:val="center"/>
                </w:tcPr>
                <w:p>
                  <w:pPr>
                    <w:widowControl w:val="0"/>
                    <w:bidi w:val="0"/>
                    <w:spacing w:line="240" w:lineRule="auto"/>
                    <w:ind w:firstLine="0" w:firstLineChars="0"/>
                    <w:jc w:val="center"/>
                    <w:rPr>
                      <w:rFonts w:hint="default"/>
                      <w:lang w:val="en-US" w:eastAsia="zh-CN"/>
                    </w:rPr>
                  </w:pPr>
                  <w:r>
                    <w:rPr>
                      <w:lang w:val="en-US" w:eastAsia="zh-CN"/>
                    </w:rPr>
                    <w:t>0.02</w:t>
                  </w:r>
                  <w:r>
                    <w:rPr>
                      <w:rFonts w:hint="eastAsia"/>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lang w:val="en-US" w:eastAsia="zh-CN"/>
                    </w:rPr>
                    <w:t>1000d</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最远迁移距离（m）</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continue"/>
                  <w:noWrap w:val="0"/>
                  <w:vAlign w:val="center"/>
                </w:tcPr>
                <w:p>
                  <w:pPr>
                    <w:widowControl w:val="0"/>
                    <w:bidi w:val="0"/>
                    <w:spacing w:line="240" w:lineRule="auto"/>
                    <w:ind w:firstLine="0" w:firstLineChars="0"/>
                    <w:jc w:val="center"/>
                    <w:rPr>
                      <w:lang w:val="en-US" w:eastAsia="zh-CN"/>
                    </w:rPr>
                  </w:pP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浓度（mg/L）</w:t>
                  </w:r>
                </w:p>
              </w:tc>
              <w:tc>
                <w:tcPr>
                  <w:tcW w:w="3157" w:type="dxa"/>
                  <w:noWrap w:val="0"/>
                  <w:vAlign w:val="center"/>
                </w:tcPr>
                <w:p>
                  <w:pPr>
                    <w:widowControl w:val="0"/>
                    <w:bidi w:val="0"/>
                    <w:spacing w:line="240" w:lineRule="auto"/>
                    <w:ind w:firstLine="0" w:firstLineChars="0"/>
                    <w:jc w:val="center"/>
                    <w:rPr>
                      <w:rFonts w:hint="default"/>
                      <w:lang w:val="en-US" w:eastAsia="zh-CN"/>
                    </w:rPr>
                  </w:pPr>
                  <w:r>
                    <w:rPr>
                      <w:lang w:val="en-US" w:eastAsia="zh-CN"/>
                    </w:rPr>
                    <w:t>0.02</w:t>
                  </w:r>
                  <w:r>
                    <w:rPr>
                      <w:rFonts w:hint="eastAsia"/>
                      <w:lang w:val="en-US" w:eastAsia="zh-CN"/>
                    </w:rPr>
                    <w:t>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restart"/>
                  <w:noWrap w:val="0"/>
                  <w:vAlign w:val="center"/>
                </w:tcPr>
                <w:p>
                  <w:pPr>
                    <w:widowControl w:val="0"/>
                    <w:bidi w:val="0"/>
                    <w:spacing w:line="240" w:lineRule="auto"/>
                    <w:ind w:firstLine="0" w:firstLineChars="0"/>
                    <w:jc w:val="center"/>
                    <w:rPr>
                      <w:lang w:val="en-US" w:eastAsia="zh-CN"/>
                    </w:rPr>
                  </w:pPr>
                  <w:r>
                    <w:rPr>
                      <w:lang w:val="en-US" w:eastAsia="zh-CN"/>
                    </w:rPr>
                    <w:t>7300d</w:t>
                  </w: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最远迁移距离（m）</w:t>
                  </w:r>
                </w:p>
              </w:tc>
              <w:tc>
                <w:tcPr>
                  <w:tcW w:w="3157" w:type="dxa"/>
                  <w:noWrap w:val="0"/>
                  <w:vAlign w:val="center"/>
                </w:tcPr>
                <w:p>
                  <w:pPr>
                    <w:widowControl w:val="0"/>
                    <w:bidi w:val="0"/>
                    <w:spacing w:line="240" w:lineRule="auto"/>
                    <w:ind w:firstLine="0" w:firstLineChars="0"/>
                    <w:jc w:val="center"/>
                    <w:rPr>
                      <w:rFonts w:hint="eastAsia"/>
                      <w:lang w:val="en-US" w:eastAsia="zh-CN"/>
                    </w:rPr>
                  </w:pPr>
                  <w:r>
                    <w:rPr>
                      <w:lang w:val="en-US" w:eastAsia="zh-CN"/>
                    </w:rPr>
                    <w:t>4</w:t>
                  </w:r>
                  <w:r>
                    <w:rPr>
                      <w:rFonts w:hint="eastAsia"/>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2515" w:type="dxa"/>
                  <w:vMerge w:val="continue"/>
                  <w:noWrap w:val="0"/>
                  <w:vAlign w:val="center"/>
                </w:tcPr>
                <w:p>
                  <w:pPr>
                    <w:widowControl w:val="0"/>
                    <w:bidi w:val="0"/>
                    <w:spacing w:line="240" w:lineRule="auto"/>
                    <w:ind w:firstLine="0" w:firstLineChars="0"/>
                    <w:jc w:val="center"/>
                    <w:rPr>
                      <w:lang w:val="en-US" w:eastAsia="zh-CN"/>
                    </w:rPr>
                  </w:pPr>
                </w:p>
              </w:tc>
              <w:tc>
                <w:tcPr>
                  <w:tcW w:w="3157" w:type="dxa"/>
                  <w:noWrap w:val="0"/>
                  <w:vAlign w:val="center"/>
                </w:tcPr>
                <w:p>
                  <w:pPr>
                    <w:widowControl w:val="0"/>
                    <w:bidi w:val="0"/>
                    <w:spacing w:line="240" w:lineRule="auto"/>
                    <w:ind w:firstLine="0" w:firstLineChars="0"/>
                    <w:jc w:val="center"/>
                    <w:rPr>
                      <w:lang w:val="en-US" w:eastAsia="zh-CN"/>
                    </w:rPr>
                  </w:pPr>
                  <w:r>
                    <w:rPr>
                      <w:lang w:val="en-US" w:eastAsia="zh-CN"/>
                    </w:rPr>
                    <w:t>浓度（mg/L）</w:t>
                  </w:r>
                </w:p>
              </w:tc>
              <w:tc>
                <w:tcPr>
                  <w:tcW w:w="3157" w:type="dxa"/>
                  <w:noWrap w:val="0"/>
                  <w:vAlign w:val="center"/>
                </w:tcPr>
                <w:p>
                  <w:pPr>
                    <w:widowControl w:val="0"/>
                    <w:bidi w:val="0"/>
                    <w:spacing w:line="240" w:lineRule="auto"/>
                    <w:ind w:firstLine="0" w:firstLineChars="0"/>
                    <w:jc w:val="center"/>
                    <w:rPr>
                      <w:rFonts w:hint="default"/>
                      <w:lang w:val="en-US" w:eastAsia="zh-CN"/>
                    </w:rPr>
                  </w:pPr>
                  <w:r>
                    <w:rPr>
                      <w:lang w:val="en-US" w:eastAsia="zh-CN"/>
                    </w:rPr>
                    <w:t>0.0</w:t>
                  </w:r>
                  <w:r>
                    <w:rPr>
                      <w:rFonts w:hint="eastAsia"/>
                      <w:lang w:val="en-US" w:eastAsia="zh-CN"/>
                    </w:rPr>
                    <w:t>132</w:t>
                  </w:r>
                </w:p>
              </w:tc>
            </w:tr>
          </w:tbl>
          <w:p>
            <w:pPr>
              <w:bidi w:val="0"/>
              <w:rPr>
                <w:rFonts w:hint="eastAsia"/>
              </w:rPr>
            </w:pPr>
            <w:r>
              <w:t>有以上分析可知：可以看出，非正常工况下，油罐泄露连续泄露至裸露土壤情况下，100d、1000d和7300d时，石油类污染物最远迁移距离分别为5m、15m和4</w:t>
            </w:r>
            <w:r>
              <w:rPr>
                <w:rFonts w:hint="eastAsia"/>
                <w:lang w:val="en-US" w:eastAsia="zh-CN"/>
              </w:rPr>
              <w:t>4</w:t>
            </w:r>
            <w:r>
              <w:t>m，相对应的浓度分别为0.0</w:t>
            </w:r>
            <w:r>
              <w:rPr>
                <w:rFonts w:hint="eastAsia"/>
                <w:lang w:val="en-US" w:eastAsia="zh-CN"/>
              </w:rPr>
              <w:t>247</w:t>
            </w:r>
            <w:r>
              <w:t>mg/L、0.0</w:t>
            </w:r>
            <w:r>
              <w:rPr>
                <w:rFonts w:hint="eastAsia"/>
                <w:lang w:val="en-US" w:eastAsia="zh-CN"/>
              </w:rPr>
              <w:t>279</w:t>
            </w:r>
            <w:r>
              <w:t>mg/L、</w:t>
            </w:r>
            <w:r>
              <w:rPr>
                <w:rFonts w:hint="eastAsia"/>
                <w:lang w:val="en-US" w:eastAsia="zh-CN"/>
              </w:rPr>
              <w:t>0.132</w:t>
            </w:r>
            <w:r>
              <w:t>mg/L。叠加本项目站址处地下水石油类监测数据后亦可满足《地下水质量标准》（GB/T14848-2017）表1 III类标准要求。</w:t>
            </w:r>
          </w:p>
          <w:p>
            <w:pPr>
              <w:bidi w:val="0"/>
              <w:rPr>
                <w:rFonts w:hint="eastAsia"/>
              </w:rPr>
            </w:pPr>
            <w:r>
              <w:rPr>
                <w:rFonts w:hint="eastAsia"/>
              </w:rPr>
              <w:t>因此，在做好</w:t>
            </w:r>
            <w:r>
              <w:t>站</w:t>
            </w:r>
            <w:r>
              <w:rPr>
                <w:rFonts w:hint="eastAsia"/>
              </w:rPr>
              <w:t>区</w:t>
            </w:r>
            <w:r>
              <w:t>防渗措施</w:t>
            </w:r>
            <w:r>
              <w:rPr>
                <w:rFonts w:hint="eastAsia"/>
              </w:rPr>
              <w:t>的</w:t>
            </w:r>
            <w:r>
              <w:t>条件下，</w:t>
            </w:r>
            <w:r>
              <w:rPr>
                <w:rFonts w:hint="eastAsia"/>
              </w:rPr>
              <w:t>非正常工况油品泄露对所在区域地下水环境影响较小。</w:t>
            </w:r>
          </w:p>
          <w:p>
            <w:pPr>
              <w:adjustRightInd w:val="0"/>
              <w:snapToGrid w:val="0"/>
              <w:spacing w:line="360" w:lineRule="auto"/>
            </w:pPr>
            <w:r>
              <w:rPr>
                <w:rFonts w:hint="eastAsia"/>
                <w:lang w:val="en-US" w:eastAsia="zh-CN"/>
              </w:rPr>
              <w:t>2</w:t>
            </w:r>
            <w:r>
              <w:t>.6 地下水污染防治措施</w:t>
            </w:r>
          </w:p>
          <w:p>
            <w:pPr>
              <w:adjustRightInd w:val="0"/>
              <w:snapToGrid w:val="0"/>
              <w:spacing w:line="360" w:lineRule="auto"/>
              <w:ind w:firstLine="480" w:firstLineChars="200"/>
            </w:pPr>
            <w:r>
              <w:t>本项目污染物从污染源进入地下水所经过路径称为地下水污染途径，地下水污染途径是多种多样的。本项目运营期环境影响因素主要涉及成品油的储存，设备老化破损，油品泄漏引起污染物下渗，存在污染地下水的隐患。</w:t>
            </w:r>
          </w:p>
          <w:p>
            <w:pPr>
              <w:adjustRightInd w:val="0"/>
              <w:snapToGrid w:val="0"/>
              <w:spacing w:line="360" w:lineRule="auto"/>
              <w:ind w:firstLine="480" w:firstLineChars="200"/>
            </w:pPr>
            <w:r>
              <w:t>根据《加油站地下水污染防治技术指南（试行）》，为防止加油站油品泄漏，污染土壤和地下水，加油站需要采取防渗漏和防渗漏检测措施。所有加油站的油罐需要设置为双层罐或者设置防渗池。</w:t>
            </w:r>
          </w:p>
          <w:p>
            <w:pPr>
              <w:adjustRightInd w:val="0"/>
              <w:snapToGrid w:val="0"/>
              <w:spacing w:line="360" w:lineRule="auto"/>
              <w:ind w:firstLine="480" w:firstLineChars="200"/>
            </w:pPr>
            <w:r>
              <w:t>（1）双层罐设置</w:t>
            </w:r>
          </w:p>
          <w:p>
            <w:pPr>
              <w:adjustRightInd w:val="0"/>
              <w:snapToGrid w:val="0"/>
              <w:spacing w:line="360" w:lineRule="auto"/>
              <w:ind w:firstLine="480" w:firstLineChars="200"/>
            </w:pPr>
            <w:r>
              <w:t>埋地油罐可采用双层钢制油罐、双层玻璃纤维增强塑料油罐、内钢外玻璃纤维增强塑料双层油罐。双层钢制油罐和内钢外玻璃纤维增强塑料双层油罐的内层罐的罐体结构设计，按现行行业标准《钢制常压储罐 第一部分：储存对水有污染的易燃和不易燃液体的埋地卧式圆筒形单层和双层储罐》（AQ 3020）的有关规定执行，并应符合《汽车加油加气站设计与施工规范》（GB 50156）的其他规定。与土壤接触的钢制油罐外表面，其防腐设计应符合现行行业标准《石油化工设备和管道涂料防腐蚀技术规范》（SH 3022）的有关规定，且防腐等级不应低于加强级。</w:t>
            </w:r>
          </w:p>
          <w:p>
            <w:pPr>
              <w:adjustRightInd w:val="0"/>
              <w:snapToGrid w:val="0"/>
              <w:spacing w:line="360" w:lineRule="auto"/>
              <w:ind w:firstLine="480" w:firstLineChars="200"/>
            </w:pPr>
            <w:r>
              <w:t>（2）防渗池设置</w:t>
            </w:r>
          </w:p>
          <w:p>
            <w:pPr>
              <w:adjustRightInd w:val="0"/>
              <w:snapToGrid w:val="0"/>
              <w:spacing w:line="360" w:lineRule="auto"/>
              <w:ind w:firstLine="480" w:firstLineChars="200"/>
            </w:pPr>
            <w:r>
              <w:t>防渗池的设计应符合下列规定：</w:t>
            </w:r>
          </w:p>
          <w:p>
            <w:pPr>
              <w:adjustRightInd w:val="0"/>
              <w:snapToGrid w:val="0"/>
              <w:spacing w:line="360" w:lineRule="auto"/>
              <w:ind w:firstLine="480" w:firstLineChars="200"/>
            </w:pPr>
            <w:r>
              <w:rPr>
                <w:rFonts w:hint="eastAsia"/>
              </w:rPr>
              <w:t>①</w:t>
            </w:r>
            <w:r>
              <w:t>防渗池应采用防渗钢筋混凝土整体浇筑，并应符合现行国家标准《地下工程防水技术规范》（GB 50108）的有关规定。</w:t>
            </w:r>
          </w:p>
          <w:p>
            <w:pPr>
              <w:adjustRightInd w:val="0"/>
              <w:snapToGrid w:val="0"/>
              <w:spacing w:line="360" w:lineRule="auto"/>
              <w:ind w:firstLine="480" w:firstLineChars="200"/>
            </w:pPr>
            <w:r>
              <w:rPr>
                <w:rFonts w:hint="eastAsia"/>
              </w:rPr>
              <w:t>②</w:t>
            </w:r>
            <w:r>
              <w:t>防渗池应设置隔池。一个隔池内的油罐不应多于两座。</w:t>
            </w:r>
          </w:p>
          <w:p>
            <w:pPr>
              <w:adjustRightInd w:val="0"/>
              <w:snapToGrid w:val="0"/>
              <w:spacing w:line="360" w:lineRule="auto"/>
              <w:ind w:firstLine="480" w:firstLineChars="200"/>
            </w:pPr>
            <w:r>
              <w:rPr>
                <w:rFonts w:hint="eastAsia"/>
              </w:rPr>
              <w:t>③</w:t>
            </w:r>
            <w:r>
              <w:t>防渗池的池壁顶应高于池内罐顶标高，池底宜低于罐底设计标高200mm，墙面与罐壁之间的间距不应小于500mm。</w:t>
            </w:r>
          </w:p>
          <w:p>
            <w:pPr>
              <w:adjustRightInd w:val="0"/>
              <w:snapToGrid w:val="0"/>
              <w:spacing w:line="360" w:lineRule="auto"/>
              <w:ind w:firstLine="480" w:firstLineChars="200"/>
            </w:pPr>
            <w:r>
              <w:rPr>
                <w:rFonts w:hint="eastAsia"/>
              </w:rPr>
              <w:t>④</w:t>
            </w:r>
            <w:r>
              <w:t>防渗池的内表面应衬玻璃钢或其他材料防渗层。</w:t>
            </w:r>
          </w:p>
          <w:p>
            <w:pPr>
              <w:adjustRightInd w:val="0"/>
              <w:snapToGrid w:val="0"/>
              <w:spacing w:line="360" w:lineRule="auto"/>
              <w:ind w:firstLine="480" w:firstLineChars="200"/>
            </w:pPr>
            <w:r>
              <w:rPr>
                <w:rFonts w:hint="eastAsia"/>
              </w:rPr>
              <w:t>⑤</w:t>
            </w:r>
            <w:r>
              <w:t>防渗池内的空间，应采用中性沙回填。</w:t>
            </w:r>
          </w:p>
          <w:p>
            <w:pPr>
              <w:adjustRightInd w:val="0"/>
              <w:snapToGrid w:val="0"/>
              <w:spacing w:line="360" w:lineRule="auto"/>
              <w:ind w:firstLine="480" w:firstLineChars="200"/>
            </w:pPr>
            <w:r>
              <w:rPr>
                <w:rFonts w:hint="eastAsia"/>
              </w:rPr>
              <w:t>⑥</w:t>
            </w:r>
            <w:r>
              <w:t>防渗池的上部，应采取防止雨水、地表水和外部泄漏油品渗入池内的措施。</w:t>
            </w:r>
          </w:p>
          <w:p>
            <w:pPr>
              <w:adjustRightInd w:val="0"/>
              <w:snapToGrid w:val="0"/>
              <w:spacing w:line="360" w:lineRule="auto"/>
              <w:ind w:firstLine="480" w:firstLineChars="200"/>
            </w:pPr>
            <w:r>
              <w:rPr>
                <w:rFonts w:hint="eastAsia"/>
              </w:rPr>
              <w:t>⑦</w:t>
            </w:r>
            <w:r>
              <w:t>防渗池的各隔池内应设检测立管，检测立管的设置应符合下列规定：</w:t>
            </w:r>
          </w:p>
          <w:p>
            <w:pPr>
              <w:adjustRightInd w:val="0"/>
              <w:snapToGrid w:val="0"/>
              <w:spacing w:line="360" w:lineRule="auto"/>
              <w:ind w:firstLine="480" w:firstLineChars="200"/>
            </w:pPr>
            <w:r>
              <w:t>1）检测立管应采用耐油、耐腐蚀的管材制作，直径宜为100mm，壁厚不应小于4mm。</w:t>
            </w:r>
          </w:p>
          <w:p>
            <w:pPr>
              <w:adjustRightInd w:val="0"/>
              <w:snapToGrid w:val="0"/>
              <w:spacing w:line="360" w:lineRule="auto"/>
              <w:ind w:firstLine="480" w:firstLineChars="200"/>
            </w:pPr>
            <w:r>
              <w:t>2）检测立管的下端应置于防渗池的最低处，上部管口应高出罐区设计地面200mm。</w:t>
            </w:r>
          </w:p>
          <w:p>
            <w:pPr>
              <w:adjustRightInd w:val="0"/>
              <w:snapToGrid w:val="0"/>
              <w:spacing w:line="360" w:lineRule="auto"/>
              <w:ind w:firstLine="480" w:firstLineChars="200"/>
            </w:pPr>
            <w:r>
              <w:t>3）检测立管与池内罐顶标高以下范围应为过滤管段。过滤管段应能允许池内任何层面的渗漏液体（油或水）进入检测管，并应能阻止泥沙侵入。</w:t>
            </w:r>
          </w:p>
          <w:p>
            <w:pPr>
              <w:adjustRightInd w:val="0"/>
              <w:snapToGrid w:val="0"/>
              <w:spacing w:line="360" w:lineRule="auto"/>
              <w:ind w:firstLine="480" w:firstLineChars="200"/>
            </w:pPr>
            <w:r>
              <w:t>4）检测立管周围应回填粒径为10～30mm 的砾石。</w:t>
            </w:r>
          </w:p>
          <w:p>
            <w:pPr>
              <w:adjustRightInd w:val="0"/>
              <w:snapToGrid w:val="0"/>
              <w:spacing w:line="360" w:lineRule="auto"/>
              <w:ind w:firstLine="480" w:firstLineChars="200"/>
            </w:pPr>
            <w:r>
              <w:t>5）检测口应有防止雨水、油污、杂物侵入的保护盖和标识。</w:t>
            </w:r>
          </w:p>
          <w:p>
            <w:pPr>
              <w:adjustRightInd w:val="0"/>
              <w:snapToGrid w:val="0"/>
              <w:spacing w:line="360" w:lineRule="auto"/>
              <w:ind w:firstLine="480" w:firstLineChars="200"/>
            </w:pPr>
            <w:r>
              <w:rPr>
                <w:rFonts w:hint="eastAsia"/>
              </w:rPr>
              <w:t>⑧</w:t>
            </w:r>
            <w:r>
              <w:t>若项目存在装有潜油泵的油罐人孔操作井、卸油口井、加油机底槽等可能发生油品渗漏的部位，也应采取相应的防渗措施。采取防渗漏措施，埋地加油管道应采用双层管道。双层油罐、防渗池和管道系统的渗漏检测宜采用在线监测系统。采用液体传感器监测时，传感器的检测精度不应大于3.5mm。</w:t>
            </w:r>
          </w:p>
          <w:p>
            <w:pPr>
              <w:adjustRightInd w:val="0"/>
              <w:snapToGrid w:val="0"/>
              <w:spacing w:line="360" w:lineRule="auto"/>
              <w:ind w:firstLine="480" w:firstLineChars="200"/>
            </w:pPr>
            <w:r>
              <w:rPr>
                <w:rFonts w:hint="eastAsia"/>
              </w:rPr>
              <w:t>（3）</w:t>
            </w:r>
            <w:r>
              <w:t>分区防渗</w:t>
            </w:r>
          </w:p>
          <w:p>
            <w:pPr>
              <w:adjustRightInd w:val="0"/>
              <w:snapToGrid w:val="0"/>
              <w:spacing w:line="360" w:lineRule="auto"/>
              <w:ind w:firstLine="480" w:firstLineChars="200"/>
            </w:pPr>
            <w:r>
              <w:t>参照（HJ610-2016）中地下水污染防渗分区参照表见表3</w:t>
            </w:r>
            <w:r>
              <w:rPr>
                <w:rFonts w:hint="eastAsia"/>
                <w:lang w:val="en-US" w:eastAsia="zh-CN"/>
              </w:rPr>
              <w:t>5</w:t>
            </w:r>
            <w:r>
              <w:t>，企业将场区划分为重点防渗区、一般防渗区和简单防渗区，本项目污染地下水途径及防治措施一览表见表38，项目分区防渗示意图见附图四。</w:t>
            </w:r>
          </w:p>
          <w:p>
            <w:pPr>
              <w:pStyle w:val="7"/>
            </w:pPr>
            <w:r>
              <w:t xml:space="preserve">表 </w:t>
            </w:r>
            <w:r>
              <w:rPr>
                <w:rFonts w:hint="eastAsia"/>
                <w:lang w:val="en-US" w:eastAsia="zh-CN"/>
              </w:rPr>
              <w:t>34</w:t>
            </w:r>
            <w:r>
              <w:t xml:space="preserve">   本项目污染地下水途径及防治措施一览表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56"/>
              <w:gridCol w:w="1958"/>
              <w:gridCol w:w="1316"/>
              <w:gridCol w:w="1521"/>
              <w:gridCol w:w="224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45" w:hRule="atLeast"/>
                <w:tblHeader/>
                <w:jc w:val="center"/>
              </w:trPr>
              <w:tc>
                <w:tcPr>
                  <w:tcW w:w="1344" w:type="dxa"/>
                  <w:noWrap w:val="0"/>
                  <w:vAlign w:val="center"/>
                </w:tcPr>
                <w:p>
                  <w:pPr>
                    <w:widowControl w:val="0"/>
                    <w:bidi w:val="0"/>
                    <w:spacing w:line="240" w:lineRule="auto"/>
                    <w:ind w:firstLine="0" w:firstLineChars="0"/>
                    <w:jc w:val="center"/>
                    <w:rPr>
                      <w:lang w:val="en-US" w:eastAsia="zh-CN"/>
                    </w:rPr>
                  </w:pPr>
                  <w:r>
                    <w:rPr>
                      <w:lang w:val="en-US" w:eastAsia="zh-CN"/>
                    </w:rPr>
                    <w:t>防渗分区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天然包气带防污性能</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污染控制</w:t>
                  </w:r>
                </w:p>
                <w:p>
                  <w:pPr>
                    <w:widowControl w:val="0"/>
                    <w:bidi w:val="0"/>
                    <w:spacing w:line="240" w:lineRule="auto"/>
                    <w:ind w:firstLine="0" w:firstLineChars="0"/>
                    <w:jc w:val="center"/>
                    <w:rPr>
                      <w:lang w:val="en-US" w:eastAsia="zh-CN"/>
                    </w:rPr>
                  </w:pPr>
                  <w:r>
                    <w:rPr>
                      <w:lang w:val="en-US" w:eastAsia="zh-CN"/>
                    </w:rPr>
                    <w:t>难易程度</w:t>
                  </w:r>
                </w:p>
              </w:tc>
              <w:tc>
                <w:tcPr>
                  <w:tcW w:w="1612" w:type="dxa"/>
                  <w:noWrap w:val="0"/>
                  <w:vAlign w:val="center"/>
                </w:tcPr>
                <w:p>
                  <w:pPr>
                    <w:widowControl w:val="0"/>
                    <w:bidi w:val="0"/>
                    <w:spacing w:line="240" w:lineRule="auto"/>
                    <w:ind w:firstLine="0" w:firstLineChars="0"/>
                    <w:jc w:val="center"/>
                    <w:rPr>
                      <w:lang w:val="en-US" w:eastAsia="zh-CN"/>
                    </w:rPr>
                  </w:pPr>
                  <w:r>
                    <w:rPr>
                      <w:lang w:val="en-US" w:eastAsia="zh-CN"/>
                    </w:rPr>
                    <w:t>污染物类型</w:t>
                  </w:r>
                </w:p>
              </w:tc>
              <w:tc>
                <w:tcPr>
                  <w:tcW w:w="2282" w:type="dxa"/>
                  <w:noWrap w:val="0"/>
                  <w:vAlign w:val="center"/>
                </w:tcPr>
                <w:p>
                  <w:pPr>
                    <w:widowControl w:val="0"/>
                    <w:bidi w:val="0"/>
                    <w:spacing w:line="240" w:lineRule="auto"/>
                    <w:ind w:firstLine="0" w:firstLineChars="0"/>
                    <w:jc w:val="center"/>
                    <w:rPr>
                      <w:lang w:val="en-US" w:eastAsia="zh-CN"/>
                    </w:rPr>
                  </w:pPr>
                  <w:r>
                    <w:rPr>
                      <w:lang w:val="en-US" w:eastAsia="zh-CN"/>
                    </w:rPr>
                    <w:t>防渗技术要求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restart"/>
                  <w:noWrap w:val="0"/>
                  <w:vAlign w:val="center"/>
                </w:tcPr>
                <w:p>
                  <w:pPr>
                    <w:widowControl w:val="0"/>
                    <w:bidi w:val="0"/>
                    <w:spacing w:line="240" w:lineRule="auto"/>
                    <w:ind w:firstLine="0" w:firstLineChars="0"/>
                    <w:jc w:val="center"/>
                    <w:rPr>
                      <w:lang w:val="en-US" w:eastAsia="zh-CN"/>
                    </w:rPr>
                  </w:pPr>
                  <w:r>
                    <w:rPr>
                      <w:lang w:val="en-US" w:eastAsia="zh-CN"/>
                    </w:rPr>
                    <w:t>重点防渗区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弱</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难</w:t>
                  </w:r>
                </w:p>
              </w:tc>
              <w:tc>
                <w:tcPr>
                  <w:tcW w:w="1612" w:type="dxa"/>
                  <w:vMerge w:val="restart"/>
                  <w:noWrap w:val="0"/>
                  <w:vAlign w:val="center"/>
                </w:tcPr>
                <w:p>
                  <w:pPr>
                    <w:widowControl w:val="0"/>
                    <w:bidi w:val="0"/>
                    <w:spacing w:line="240" w:lineRule="auto"/>
                    <w:ind w:firstLine="0" w:firstLineChars="0"/>
                    <w:jc w:val="center"/>
                    <w:rPr>
                      <w:lang w:val="en-US" w:eastAsia="zh-CN"/>
                    </w:rPr>
                  </w:pPr>
                  <w:r>
                    <w:rPr>
                      <w:lang w:val="en-US" w:eastAsia="zh-CN"/>
                    </w:rPr>
                    <w:t>重金属、持久性有机物污染物</w:t>
                  </w:r>
                </w:p>
              </w:tc>
              <w:tc>
                <w:tcPr>
                  <w:tcW w:w="2282" w:type="dxa"/>
                  <w:vMerge w:val="restart"/>
                  <w:noWrap w:val="0"/>
                  <w:vAlign w:val="center"/>
                </w:tcPr>
                <w:p>
                  <w:pPr>
                    <w:widowControl w:val="0"/>
                    <w:bidi w:val="0"/>
                    <w:spacing w:line="240" w:lineRule="auto"/>
                    <w:ind w:firstLine="0" w:firstLineChars="0"/>
                    <w:jc w:val="center"/>
                    <w:rPr>
                      <w:lang w:val="en-US" w:eastAsia="zh-CN"/>
                    </w:rPr>
                  </w:pPr>
                  <w:r>
                    <w:rPr>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难</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restart"/>
                  <w:noWrap w:val="0"/>
                  <w:vAlign w:val="center"/>
                </w:tcPr>
                <w:p>
                  <w:pPr>
                    <w:widowControl w:val="0"/>
                    <w:bidi w:val="0"/>
                    <w:spacing w:line="240" w:lineRule="auto"/>
                    <w:ind w:firstLine="0" w:firstLineChars="0"/>
                    <w:jc w:val="center"/>
                    <w:rPr>
                      <w:lang w:val="en-US" w:eastAsia="zh-CN"/>
                    </w:rPr>
                  </w:pPr>
                  <w:r>
                    <w:rPr>
                      <w:lang w:val="en-US" w:eastAsia="zh-CN"/>
                    </w:rPr>
                    <w:t>一般防渗区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弱</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restart"/>
                  <w:noWrap w:val="0"/>
                  <w:vAlign w:val="center"/>
                </w:tcPr>
                <w:p>
                  <w:pPr>
                    <w:widowControl w:val="0"/>
                    <w:bidi w:val="0"/>
                    <w:spacing w:line="240" w:lineRule="auto"/>
                    <w:ind w:firstLine="0" w:firstLineChars="0"/>
                    <w:jc w:val="center"/>
                    <w:rPr>
                      <w:lang w:val="en-US" w:eastAsia="zh-CN"/>
                    </w:rPr>
                  </w:pPr>
                  <w:r>
                    <w:rPr>
                      <w:lang w:val="en-US" w:eastAsia="zh-CN"/>
                    </w:rPr>
                    <w:t>其他类型</w:t>
                  </w:r>
                </w:p>
              </w:tc>
              <w:tc>
                <w:tcPr>
                  <w:tcW w:w="2282" w:type="dxa"/>
                  <w:vMerge w:val="restart"/>
                  <w:noWrap w:val="0"/>
                  <w:vAlign w:val="center"/>
                </w:tcPr>
                <w:p>
                  <w:pPr>
                    <w:widowControl w:val="0"/>
                    <w:bidi w:val="0"/>
                    <w:spacing w:line="240" w:lineRule="auto"/>
                    <w:ind w:firstLine="0" w:firstLineChars="0"/>
                    <w:jc w:val="center"/>
                    <w:rPr>
                      <w:lang w:val="en-US" w:eastAsia="zh-CN"/>
                    </w:rPr>
                  </w:pPr>
                  <w:r>
                    <w:rPr>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易-难</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restart"/>
                  <w:noWrap w:val="0"/>
                  <w:vAlign w:val="center"/>
                </w:tcPr>
                <w:p>
                  <w:pPr>
                    <w:widowControl w:val="0"/>
                    <w:bidi w:val="0"/>
                    <w:spacing w:line="240" w:lineRule="auto"/>
                    <w:ind w:firstLine="0" w:firstLineChars="0"/>
                    <w:jc w:val="center"/>
                    <w:rPr>
                      <w:lang w:val="en-US" w:eastAsia="zh-CN"/>
                    </w:rPr>
                  </w:pPr>
                  <w:r>
                    <w:rPr>
                      <w:lang w:val="en-US" w:eastAsia="zh-CN"/>
                    </w:rPr>
                    <w:t>重金属、持久性有机物污染物</w:t>
                  </w: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vMerge w:val="continue"/>
                  <w:noWrap w:val="0"/>
                  <w:vAlign w:val="center"/>
                </w:tcPr>
                <w:p>
                  <w:pPr>
                    <w:widowControl w:val="0"/>
                    <w:bidi w:val="0"/>
                    <w:spacing w:line="240" w:lineRule="auto"/>
                    <w:ind w:firstLine="0" w:firstLineChars="0"/>
                    <w:jc w:val="center"/>
                    <w:rPr>
                      <w:lang w:val="en-US" w:eastAsia="zh-CN"/>
                    </w:rPr>
                  </w:pP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vMerge w:val="continue"/>
                  <w:noWrap w:val="0"/>
                  <w:vAlign w:val="center"/>
                </w:tcPr>
                <w:p>
                  <w:pPr>
                    <w:widowControl w:val="0"/>
                    <w:bidi w:val="0"/>
                    <w:spacing w:line="240" w:lineRule="auto"/>
                    <w:ind w:firstLine="0" w:firstLineChars="0"/>
                    <w:jc w:val="center"/>
                    <w:rPr>
                      <w:lang w:val="en-US" w:eastAsia="zh-CN"/>
                    </w:rPr>
                  </w:pPr>
                </w:p>
              </w:tc>
              <w:tc>
                <w:tcPr>
                  <w:tcW w:w="2282" w:type="dxa"/>
                  <w:vMerge w:val="continue"/>
                  <w:noWrap w:val="0"/>
                  <w:vAlign w:val="center"/>
                </w:tcPr>
                <w:p>
                  <w:pPr>
                    <w:widowControl w:val="0"/>
                    <w:bidi w:val="0"/>
                    <w:spacing w:line="240" w:lineRule="auto"/>
                    <w:ind w:firstLine="0" w:firstLineChars="0"/>
                    <w:jc w:val="center"/>
                    <w:rPr>
                      <w:lang w:val="en-US" w:eastAsia="zh-CN"/>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344" w:type="dxa"/>
                  <w:noWrap w:val="0"/>
                  <w:vAlign w:val="center"/>
                </w:tcPr>
                <w:p>
                  <w:pPr>
                    <w:widowControl w:val="0"/>
                    <w:bidi w:val="0"/>
                    <w:spacing w:line="240" w:lineRule="auto"/>
                    <w:ind w:firstLine="0" w:firstLineChars="0"/>
                    <w:jc w:val="center"/>
                    <w:rPr>
                      <w:lang w:val="en-US" w:eastAsia="zh-CN"/>
                    </w:rPr>
                  </w:pPr>
                  <w:r>
                    <w:rPr>
                      <w:lang w:val="en-US" w:eastAsia="zh-CN"/>
                    </w:rPr>
                    <w:t>简单防渗区</w:t>
                  </w:r>
                </w:p>
              </w:tc>
              <w:tc>
                <w:tcPr>
                  <w:tcW w:w="2123" w:type="dxa"/>
                  <w:noWrap w:val="0"/>
                  <w:vAlign w:val="center"/>
                </w:tcPr>
                <w:p>
                  <w:pPr>
                    <w:widowControl w:val="0"/>
                    <w:bidi w:val="0"/>
                    <w:spacing w:line="240" w:lineRule="auto"/>
                    <w:ind w:firstLine="0" w:firstLineChars="0"/>
                    <w:jc w:val="center"/>
                    <w:rPr>
                      <w:lang w:val="en-US" w:eastAsia="zh-CN"/>
                    </w:rPr>
                  </w:pPr>
                  <w:r>
                    <w:rPr>
                      <w:lang w:val="en-US" w:eastAsia="zh-CN"/>
                    </w:rPr>
                    <w:t>中-强</w:t>
                  </w:r>
                </w:p>
              </w:tc>
              <w:tc>
                <w:tcPr>
                  <w:tcW w:w="1411"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1612" w:type="dxa"/>
                  <w:noWrap w:val="0"/>
                  <w:vAlign w:val="center"/>
                </w:tcPr>
                <w:p>
                  <w:pPr>
                    <w:widowControl w:val="0"/>
                    <w:bidi w:val="0"/>
                    <w:spacing w:line="240" w:lineRule="auto"/>
                    <w:ind w:firstLine="0" w:firstLineChars="0"/>
                    <w:jc w:val="center"/>
                    <w:rPr>
                      <w:lang w:val="en-US" w:eastAsia="zh-CN"/>
                    </w:rPr>
                  </w:pPr>
                  <w:r>
                    <w:rPr>
                      <w:lang w:val="en-US" w:eastAsia="zh-CN"/>
                    </w:rPr>
                    <w:t>易</w:t>
                  </w:r>
                </w:p>
              </w:tc>
              <w:tc>
                <w:tcPr>
                  <w:tcW w:w="2282" w:type="dxa"/>
                  <w:noWrap w:val="0"/>
                  <w:vAlign w:val="center"/>
                </w:tcPr>
                <w:p>
                  <w:pPr>
                    <w:widowControl w:val="0"/>
                    <w:bidi w:val="0"/>
                    <w:spacing w:line="240" w:lineRule="auto"/>
                    <w:ind w:firstLine="0" w:firstLineChars="0"/>
                    <w:jc w:val="center"/>
                    <w:rPr>
                      <w:lang w:val="en-US" w:eastAsia="zh-CN"/>
                    </w:rPr>
                  </w:pPr>
                  <w:r>
                    <w:rPr>
                      <w:lang w:val="en-US" w:eastAsia="zh-CN"/>
                    </w:rPr>
                    <w:t>一般地面硬化</w:t>
                  </w:r>
                </w:p>
              </w:tc>
            </w:tr>
          </w:tbl>
          <w:p>
            <w:pPr>
              <w:pStyle w:val="7"/>
              <w:keepNext w:val="0"/>
              <w:keepLines w:val="0"/>
              <w:pageBreakBefore w:val="0"/>
              <w:widowControl w:val="0"/>
              <w:kinsoku/>
              <w:wordWrap/>
              <w:overflowPunct/>
              <w:topLinePunct w:val="0"/>
              <w:autoSpaceDE/>
              <w:autoSpaceDN/>
              <w:bidi w:val="0"/>
              <w:adjustRightInd/>
              <w:snapToGrid/>
              <w:spacing w:before="157" w:beforeLines="50" w:line="360" w:lineRule="auto"/>
              <w:textAlignment w:val="auto"/>
            </w:pPr>
            <w:r>
              <w:t xml:space="preserve">表 </w:t>
            </w:r>
            <w:r>
              <w:rPr>
                <w:rFonts w:hint="eastAsia"/>
                <w:lang w:val="en-US" w:eastAsia="zh-CN"/>
              </w:rPr>
              <w:t>35</w:t>
            </w:r>
            <w:r>
              <w:t xml:space="preserve">    本项目污染地下水途径及防治措施一览表</w:t>
            </w: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1400"/>
              <w:gridCol w:w="3954"/>
              <w:gridCol w:w="2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序号</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项目</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保护措施</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达到效果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重点防渗区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主要包括储罐区、加油区、地下管道，在清场夯压的基础上铺设防渗材料+混凝土防渗。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等效黏土防渗层Mb≥6.0m，K≤1×10-7cm/s；或参照GB18598执行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2</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一般防渗区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主要包括加油区周围地面采用混凝土防渗</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等效黏土防渗层Mb≥1.5m，K≤1×10-7cm/s；或参照GB16889执行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534"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3</w:t>
                  </w:r>
                </w:p>
              </w:tc>
              <w:tc>
                <w:tcPr>
                  <w:tcW w:w="1497"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简单防渗区</w:t>
                  </w:r>
                </w:p>
              </w:tc>
              <w:tc>
                <w:tcPr>
                  <w:tcW w:w="4246"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主要为办公区采用混凝土铺设</w:t>
                  </w:r>
                </w:p>
              </w:tc>
              <w:tc>
                <w:tcPr>
                  <w:tcW w:w="2491" w:type="dxa"/>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一般地面硬化</w:t>
                  </w:r>
                </w:p>
              </w:tc>
            </w:tr>
          </w:tbl>
          <w:p>
            <w:pPr>
              <w:adjustRightInd w:val="0"/>
              <w:snapToGrid w:val="0"/>
              <w:spacing w:line="360" w:lineRule="auto"/>
              <w:ind w:firstLine="480" w:firstLineChars="200"/>
            </w:pPr>
            <w:r>
              <w:t>评价建议项目运营阶段，重点防渗区和一般防渗区应按照本评价的要求做好防渗措施，制定相应的管理制度，定期检查加油作业区、储罐区、地下管线等连接处、阀门，及时更换损坏的阀门；及时更换破裂的管，充分做好排污管道的防渗处理，杜绝油品渗漏，防止“跑、冒、滴、漏”现象的发生。</w:t>
            </w:r>
          </w:p>
          <w:p>
            <w:pPr>
              <w:adjustRightInd w:val="0"/>
              <w:snapToGrid w:val="0"/>
              <w:spacing w:line="360" w:lineRule="auto"/>
            </w:pPr>
            <w:r>
              <w:rPr>
                <w:rFonts w:hint="eastAsia"/>
                <w:lang w:val="en-US" w:eastAsia="zh-CN"/>
              </w:rPr>
              <w:t>2</w:t>
            </w:r>
            <w:r>
              <w:t>.7 地下水日常监测</w:t>
            </w:r>
          </w:p>
          <w:p>
            <w:pPr>
              <w:adjustRightInd w:val="0"/>
              <w:snapToGrid w:val="0"/>
              <w:spacing w:line="360" w:lineRule="auto"/>
              <w:ind w:firstLine="480" w:firstLineChars="200"/>
            </w:pPr>
            <w:r>
              <w:t>根据《加油站地下水污染防治技术指南（试行）》，企业地下水日常监测应做到：</w:t>
            </w:r>
          </w:p>
          <w:p>
            <w:pPr>
              <w:adjustRightInd w:val="0"/>
              <w:snapToGrid w:val="0"/>
              <w:spacing w:line="360" w:lineRule="auto"/>
              <w:ind w:firstLine="480" w:firstLineChars="200"/>
            </w:pPr>
            <w:r>
              <w:t>（1）在加油站内设置1个地下水监测井。在埋地油罐区地下水流向的下游，在保证安全的情况下，尽可能靠近埋地油罐。</w:t>
            </w:r>
          </w:p>
          <w:p>
            <w:pPr>
              <w:adjustRightInd w:val="0"/>
              <w:snapToGrid w:val="0"/>
              <w:spacing w:line="360" w:lineRule="auto"/>
              <w:ind w:firstLine="480" w:firstLineChars="200"/>
            </w:pPr>
            <w:r>
              <w:t>（2）地下水监测井结构采用一孔成井工艺。设计需结合当地水文地质条件，并充分考虑区域10年内地下水位变幅，滤水管长度和设置位置应覆盖水位变幅。</w:t>
            </w:r>
          </w:p>
          <w:p>
            <w:pPr>
              <w:adjustRightInd w:val="0"/>
              <w:snapToGrid w:val="0"/>
              <w:spacing w:line="360" w:lineRule="auto"/>
              <w:ind w:firstLine="480" w:firstLineChars="200"/>
            </w:pPr>
            <w:r>
              <w:t>（3）地下水监测指标及频率</w:t>
            </w:r>
          </w:p>
          <w:p>
            <w:pPr>
              <w:adjustRightInd w:val="0"/>
              <w:snapToGrid w:val="0"/>
              <w:spacing w:line="360" w:lineRule="auto"/>
              <w:ind w:firstLine="480" w:firstLineChars="200"/>
            </w:pPr>
            <w:r>
              <w:t>1）定性监测。可通过肉眼观察、使用测油膏、便携式气体监测仪等其他快速方法判定地下水监测井中是否存在油品污染，定性监测每周一次。</w:t>
            </w:r>
          </w:p>
          <w:p>
            <w:pPr>
              <w:adjustRightInd w:val="0"/>
              <w:snapToGrid w:val="0"/>
              <w:spacing w:line="360" w:lineRule="auto"/>
              <w:ind w:firstLine="480" w:firstLineChars="200"/>
            </w:pPr>
            <w:r>
              <w:t>2）定量监测。若定性监测发现地下水存在油品污染，立即启动定量监测；若定性监测未发现问题，则每季度监测1次，具体监测指标见表</w:t>
            </w:r>
            <w:r>
              <w:rPr>
                <w:rFonts w:hint="eastAsia"/>
                <w:lang w:val="en-US" w:eastAsia="zh-CN"/>
              </w:rPr>
              <w:t>37</w:t>
            </w:r>
            <w:r>
              <w:t>。</w:t>
            </w:r>
          </w:p>
          <w:p>
            <w:pPr>
              <w:pStyle w:val="7"/>
            </w:pPr>
            <w:r>
              <w:t xml:space="preserve">表 </w:t>
            </w:r>
            <w:r>
              <w:rPr>
                <w:rFonts w:hint="eastAsia"/>
                <w:lang w:val="en-US" w:eastAsia="zh-CN"/>
              </w:rPr>
              <w:t>36</w:t>
            </w:r>
            <w:r>
              <w:t xml:space="preserve">    本项目地下水监测项目表</w:t>
            </w:r>
          </w:p>
          <w:tbl>
            <w:tblPr>
              <w:tblStyle w:val="20"/>
              <w:tblW w:w="0" w:type="auto"/>
              <w:jc w:val="center"/>
              <w:tblLayout w:type="autofit"/>
              <w:tblCellMar>
                <w:top w:w="0" w:type="dxa"/>
                <w:left w:w="108" w:type="dxa"/>
                <w:bottom w:w="0" w:type="dxa"/>
                <w:right w:w="108" w:type="dxa"/>
              </w:tblCellMar>
            </w:tblPr>
            <w:tblGrid>
              <w:gridCol w:w="641"/>
              <w:gridCol w:w="1396"/>
              <w:gridCol w:w="3960"/>
              <w:gridCol w:w="2309"/>
            </w:tblGrid>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序号</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指标类型</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指标名称</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指标数量</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c>
                <w:tcPr>
                  <w:tcW w:w="1497" w:type="dxa"/>
                  <w:vMerge w:val="restart"/>
                  <w:tcBorders>
                    <w:top w:val="single" w:color="auto" w:sz="4" w:space="0"/>
                    <w:left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挥发性有机物</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萘</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2</w:t>
                  </w:r>
                </w:p>
              </w:tc>
              <w:tc>
                <w:tcPr>
                  <w:tcW w:w="1497" w:type="dxa"/>
                  <w:vMerge w:val="continue"/>
                  <w:tcBorders>
                    <w:left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苯、甲苯、乙苯、邻二甲苯、间（对）二甲苯</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5</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3</w:t>
                  </w:r>
                </w:p>
              </w:tc>
              <w:tc>
                <w:tcPr>
                  <w:tcW w:w="1497" w:type="dxa"/>
                  <w:vMerge w:val="continue"/>
                  <w:tcBorders>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甲基叔丁基醚</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lang w:val="en-US" w:eastAsia="zh-CN"/>
                    </w:rPr>
                    <w:t>1</w:t>
                  </w:r>
                </w:p>
              </w:tc>
            </w:tr>
            <w:tr>
              <w:tblPrEx>
                <w:tblCellMar>
                  <w:top w:w="0" w:type="dxa"/>
                  <w:left w:w="108" w:type="dxa"/>
                  <w:bottom w:w="0" w:type="dxa"/>
                  <w:right w:w="108" w:type="dxa"/>
                </w:tblCellMar>
              </w:tblPrEx>
              <w:trPr>
                <w:trHeight w:val="424" w:hRule="atLeast"/>
                <w:jc w:val="center"/>
              </w:trPr>
              <w:tc>
                <w:tcPr>
                  <w:tcW w:w="67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4</w:t>
                  </w:r>
                </w:p>
              </w:tc>
              <w:tc>
                <w:tcPr>
                  <w:tcW w:w="1497"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石油类</w:t>
                  </w:r>
                </w:p>
              </w:tc>
              <w:tc>
                <w:tcPr>
                  <w:tcW w:w="4246"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石油烃</w:t>
                  </w:r>
                </w:p>
              </w:tc>
              <w:tc>
                <w:tcPr>
                  <w:tcW w:w="2491" w:type="dxa"/>
                  <w:tcBorders>
                    <w:top w:val="single" w:color="auto" w:sz="4" w:space="0"/>
                    <w:left w:val="single" w:color="auto" w:sz="4" w:space="0"/>
                    <w:bottom w:val="single" w:color="auto" w:sz="4" w:space="0"/>
                    <w:right w:val="single" w:color="auto" w:sz="4" w:space="0"/>
                  </w:tcBorders>
                  <w:noWrap w:val="0"/>
                  <w:tcMar>
                    <w:top w:w="0" w:type="dxa"/>
                    <w:left w:w="0" w:type="dxa"/>
                    <w:bottom w:w="0" w:type="dxa"/>
                    <w:right w:w="0" w:type="dxa"/>
                  </w:tcMar>
                  <w:vAlign w:val="center"/>
                </w:tcPr>
                <w:p>
                  <w:pPr>
                    <w:widowControl w:val="0"/>
                    <w:bidi w:val="0"/>
                    <w:spacing w:line="240" w:lineRule="auto"/>
                    <w:ind w:firstLine="0" w:firstLineChars="0"/>
                    <w:jc w:val="center"/>
                    <w:rPr>
                      <w:lang w:val="en-US" w:eastAsia="zh-CN"/>
                    </w:rPr>
                  </w:pPr>
                  <w:r>
                    <w:rPr>
                      <w:rFonts w:hint="eastAsia"/>
                      <w:lang w:val="en-US" w:eastAsia="zh-CN"/>
                    </w:rPr>
                    <w:t>1</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textAlignment w:val="auto"/>
            </w:pPr>
            <w:r>
              <w:rPr>
                <w:rFonts w:hint="eastAsia"/>
                <w:lang w:val="en-US" w:eastAsia="zh-CN"/>
              </w:rPr>
              <w:t>2</w:t>
            </w:r>
            <w:r>
              <w:t>.8 应急响应</w:t>
            </w:r>
          </w:p>
          <w:p>
            <w:pPr>
              <w:adjustRightInd w:val="0"/>
              <w:snapToGrid w:val="0"/>
              <w:spacing w:line="360" w:lineRule="auto"/>
              <w:ind w:firstLine="480" w:firstLineChars="200"/>
            </w:pPr>
            <w:r>
              <w:t>若发现油品泄漏，需启动环境预警和开展应急响应。应急响应措施主要有泄漏加油站停运、油品阻隔和泄漏油品回收。在1天内向环境保护主管部门报告，在5个工作日内提供泄漏加油站的初始环境报告，包括责任人的名称和电话号码，泄漏物的类型、体积和地下水污染物浓度，采取应急响应措施。</w:t>
            </w:r>
          </w:p>
          <w:p>
            <w:pPr>
              <w:adjustRightInd w:val="0"/>
              <w:snapToGrid w:val="0"/>
              <w:spacing w:line="360" w:lineRule="auto"/>
            </w:pPr>
            <w:r>
              <w:rPr>
                <w:rFonts w:hint="eastAsia"/>
                <w:lang w:val="en-US" w:eastAsia="zh-CN"/>
              </w:rPr>
              <w:t>2</w:t>
            </w:r>
            <w:r>
              <w:t>.9 地下水影响评价结论</w:t>
            </w:r>
          </w:p>
          <w:p>
            <w:pPr>
              <w:keepNext w:val="0"/>
              <w:keepLines w:val="0"/>
              <w:pageBreakBefore w:val="0"/>
              <w:widowControl w:val="0"/>
              <w:kinsoku/>
              <w:overflowPunct/>
              <w:autoSpaceDE/>
              <w:autoSpaceDN/>
              <w:bidi w:val="0"/>
              <w:adjustRightInd/>
              <w:snapToGrid/>
              <w:spacing w:after="0" w:line="360" w:lineRule="auto"/>
              <w:ind w:left="0" w:leftChars="0" w:right="0" w:firstLine="480" w:firstLineChars="200"/>
              <w:jc w:val="both"/>
              <w:textAlignment w:val="auto"/>
              <w:rPr>
                <w:lang w:val="en-US" w:eastAsia="zh-CN"/>
              </w:rPr>
            </w:pPr>
            <w:r>
              <w:rPr>
                <w:lang w:val="en-US" w:eastAsia="zh-CN"/>
              </w:rPr>
              <w:t>由污染途径及对应措施分析可知，本项目对可能产生地下水影响的污染途径进行了有效预防，在确保各项防渗措施得以落实，并加强维护和站区环境管理的前提下，可有效控制站区内的废水下渗现象，避免污染地下水，因此项目营运期对区域地下水环境影响较小。</w:t>
            </w:r>
          </w:p>
          <w:p>
            <w:pPr>
              <w:adjustRightInd w:val="0"/>
              <w:snapToGrid w:val="0"/>
              <w:spacing w:line="500" w:lineRule="exact"/>
              <w:ind w:firstLine="0" w:firstLineChars="0"/>
            </w:pPr>
            <w:r>
              <w:t>2</w:t>
            </w:r>
            <w:r>
              <w:rPr>
                <w:rFonts w:hint="eastAsia"/>
              </w:rPr>
              <w:t>.3、</w:t>
            </w:r>
            <w:r>
              <w:t>声</w:t>
            </w:r>
            <w:r>
              <w:rPr>
                <w:rFonts w:hint="eastAsia"/>
              </w:rPr>
              <w:t>环境</w:t>
            </w:r>
            <w:r>
              <w:t>影响分析</w:t>
            </w:r>
          </w:p>
          <w:p>
            <w:pPr>
              <w:adjustRightInd w:val="0"/>
              <w:snapToGrid w:val="0"/>
              <w:spacing w:line="500" w:lineRule="exact"/>
              <w:ind w:firstLine="480" w:firstLineChars="200"/>
            </w:pPr>
            <w:r>
              <w:rPr>
                <w:rFonts w:hint="eastAsia"/>
              </w:rPr>
              <w:t>该</w:t>
            </w:r>
            <w:r>
              <w:t>项目噪声主要来自</w:t>
            </w:r>
            <w:r>
              <w:rPr>
                <w:rFonts w:hint="eastAsia"/>
              </w:rPr>
              <w:t>站区内的液压增压橇、加油机等设备运行</w:t>
            </w:r>
            <w:r>
              <w:t>时</w:t>
            </w:r>
            <w:r>
              <w:rPr>
                <w:rFonts w:hint="eastAsia"/>
              </w:rPr>
              <w:t>产生的噪声和车辆进出时的噪声。</w:t>
            </w:r>
          </w:p>
          <w:p>
            <w:pPr>
              <w:adjustRightInd w:val="0"/>
              <w:snapToGrid w:val="0"/>
              <w:spacing w:line="500" w:lineRule="exact"/>
              <w:ind w:firstLine="480" w:firstLineChars="200"/>
            </w:pPr>
            <w:r>
              <w:rPr>
                <w:rFonts w:hint="eastAsia"/>
              </w:rPr>
              <w:t>（1</w:t>
            </w:r>
            <w:r>
              <w:t>）</w:t>
            </w:r>
            <w:r>
              <w:rPr>
                <w:rFonts w:hint="eastAsia"/>
              </w:rPr>
              <w:t>设备</w:t>
            </w:r>
            <w:r>
              <w:t>噪声</w:t>
            </w:r>
          </w:p>
          <w:p>
            <w:pPr>
              <w:adjustRightInd w:val="0"/>
              <w:snapToGrid w:val="0"/>
              <w:spacing w:line="500" w:lineRule="exact"/>
              <w:ind w:firstLine="480" w:firstLineChars="200"/>
            </w:pPr>
            <w:r>
              <w:rPr>
                <w:rFonts w:hint="eastAsia"/>
              </w:rPr>
              <w:t>本项目营运</w:t>
            </w:r>
            <w:r>
              <w:t>期</w:t>
            </w:r>
            <w:r>
              <w:rPr>
                <w:rFonts w:hint="eastAsia"/>
              </w:rPr>
              <w:t>噪声源主要来自加油机等设备运行</w:t>
            </w:r>
            <w:r>
              <w:t>时</w:t>
            </w:r>
            <w:r>
              <w:rPr>
                <w:rFonts w:hint="eastAsia"/>
              </w:rPr>
              <w:t>产生的噪声，其噪声声级为6</w:t>
            </w:r>
            <w:r>
              <w:t>5dB</w:t>
            </w:r>
            <w:r>
              <w:rPr>
                <w:rFonts w:hint="eastAsia"/>
              </w:rPr>
              <w:t>（A），具体噪声</w:t>
            </w:r>
            <w:r>
              <w:t>源强</w:t>
            </w:r>
            <w:r>
              <w:rPr>
                <w:rFonts w:hint="eastAsia"/>
              </w:rPr>
              <w:t>见</w:t>
            </w:r>
            <w:r>
              <w:t>表</w:t>
            </w:r>
            <w:r>
              <w:rPr>
                <w:rFonts w:hint="eastAsia"/>
                <w:lang w:val="en-US" w:eastAsia="zh-CN"/>
              </w:rPr>
              <w:t>30</w:t>
            </w:r>
            <w:r>
              <w:rPr>
                <w:rFonts w:hint="eastAsia"/>
              </w:rPr>
              <w:t>。</w:t>
            </w:r>
          </w:p>
          <w:p>
            <w:pPr>
              <w:bidi w:val="0"/>
              <w:jc w:val="center"/>
              <w:rPr>
                <w:rFonts w:hint="eastAsia"/>
                <w:lang w:val="en-US" w:eastAsia="zh-CN"/>
              </w:rPr>
            </w:pPr>
            <w:r>
              <w:rPr>
                <w:rFonts w:hint="eastAsia"/>
                <w:lang w:val="en-US" w:eastAsia="zh-CN"/>
              </w:rPr>
              <w:t>表30   主要设备噪声源 单位：dB(A)</w:t>
            </w:r>
          </w:p>
          <w:tbl>
            <w:tblPr>
              <w:tblStyle w:val="20"/>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0"/>
              <w:gridCol w:w="1749"/>
              <w:gridCol w:w="1299"/>
              <w:gridCol w:w="1828"/>
              <w:gridCol w:w="17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tcBorders>
                    <w:top w:val="single" w:color="auto" w:sz="8" w:space="0"/>
                    <w:left w:val="single" w:color="auto" w:sz="0" w:space="0"/>
                  </w:tcBorders>
                  <w:vAlign w:val="center"/>
                </w:tcPr>
                <w:p>
                  <w:pPr>
                    <w:adjustRightInd w:val="0"/>
                    <w:snapToGrid w:val="0"/>
                    <w:spacing w:line="240" w:lineRule="auto"/>
                    <w:ind w:firstLine="0" w:firstLineChars="0"/>
                    <w:jc w:val="center"/>
                  </w:pPr>
                  <w:r>
                    <w:rPr>
                      <w:rFonts w:hint="eastAsia"/>
                    </w:rPr>
                    <w:t>工作区（间）</w:t>
                  </w:r>
                </w:p>
              </w:tc>
              <w:tc>
                <w:tcPr>
                  <w:tcW w:w="1749" w:type="dxa"/>
                  <w:tcBorders>
                    <w:top w:val="single" w:color="auto" w:sz="8" w:space="0"/>
                  </w:tcBorders>
                  <w:vAlign w:val="center"/>
                </w:tcPr>
                <w:p>
                  <w:pPr>
                    <w:adjustRightInd w:val="0"/>
                    <w:snapToGrid w:val="0"/>
                    <w:spacing w:line="240" w:lineRule="auto"/>
                    <w:ind w:firstLine="0" w:firstLineChars="0"/>
                    <w:jc w:val="center"/>
                  </w:pPr>
                  <w:r>
                    <w:t>设备名称</w:t>
                  </w:r>
                </w:p>
              </w:tc>
              <w:tc>
                <w:tcPr>
                  <w:tcW w:w="1299" w:type="dxa"/>
                  <w:tcBorders>
                    <w:top w:val="single" w:color="auto" w:sz="8" w:space="0"/>
                  </w:tcBorders>
                  <w:vAlign w:val="center"/>
                </w:tcPr>
                <w:p>
                  <w:pPr>
                    <w:adjustRightInd w:val="0"/>
                    <w:snapToGrid w:val="0"/>
                    <w:spacing w:line="240" w:lineRule="auto"/>
                    <w:ind w:firstLine="0" w:firstLineChars="0"/>
                    <w:jc w:val="center"/>
                  </w:pPr>
                  <w:r>
                    <w:t>数量</w:t>
                  </w:r>
                  <w:r>
                    <w:rPr>
                      <w:rFonts w:hint="eastAsia"/>
                    </w:rPr>
                    <w:t>（台）</w:t>
                  </w:r>
                </w:p>
              </w:tc>
              <w:tc>
                <w:tcPr>
                  <w:tcW w:w="1828" w:type="dxa"/>
                  <w:tcBorders>
                    <w:top w:val="single" w:color="auto" w:sz="8" w:space="0"/>
                  </w:tcBorders>
                  <w:vAlign w:val="center"/>
                </w:tcPr>
                <w:p>
                  <w:pPr>
                    <w:adjustRightInd w:val="0"/>
                    <w:snapToGrid w:val="0"/>
                    <w:spacing w:line="240" w:lineRule="auto"/>
                    <w:ind w:firstLine="0" w:firstLineChars="0"/>
                    <w:jc w:val="center"/>
                  </w:pPr>
                  <w:r>
                    <w:rPr>
                      <w:rFonts w:hint="eastAsia"/>
                    </w:rPr>
                    <w:t>噪声治理措施</w:t>
                  </w:r>
                </w:p>
              </w:tc>
              <w:tc>
                <w:tcPr>
                  <w:tcW w:w="1764" w:type="dxa"/>
                  <w:tcBorders>
                    <w:top w:val="single" w:color="auto" w:sz="8" w:space="0"/>
                    <w:right w:val="single" w:color="auto" w:sz="8" w:space="0"/>
                  </w:tcBorders>
                  <w:vAlign w:val="center"/>
                </w:tcPr>
                <w:p>
                  <w:pPr>
                    <w:adjustRightInd w:val="0"/>
                    <w:snapToGrid w:val="0"/>
                    <w:spacing w:line="240" w:lineRule="auto"/>
                    <w:ind w:firstLine="0" w:firstLineChars="0"/>
                    <w:jc w:val="center"/>
                  </w:pPr>
                  <w:r>
                    <w:rPr>
                      <w:rFonts w:hint="eastAsia"/>
                    </w:rPr>
                    <w:t>设备</w:t>
                  </w:r>
                  <w:r>
                    <w:t>所在区域</w:t>
                  </w:r>
                  <w:r>
                    <w:rPr>
                      <w:rFonts w:hint="eastAsia"/>
                    </w:rPr>
                    <w:t>外1m处噪声源强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0" w:type="dxa"/>
                  <w:tcBorders>
                    <w:left w:val="single" w:color="auto" w:sz="4" w:space="0"/>
                    <w:bottom w:val="single" w:color="auto" w:sz="8" w:space="0"/>
                  </w:tcBorders>
                  <w:shd w:val="clear" w:color="auto" w:fill="auto"/>
                  <w:vAlign w:val="center"/>
                </w:tcPr>
                <w:p>
                  <w:pPr>
                    <w:adjustRightInd w:val="0"/>
                    <w:spacing w:line="240" w:lineRule="auto"/>
                    <w:ind w:firstLine="0" w:firstLineChars="0"/>
                    <w:jc w:val="center"/>
                  </w:pPr>
                  <w:r>
                    <w:rPr>
                      <w:rFonts w:hint="eastAsia"/>
                    </w:rPr>
                    <w:t>罩棚</w:t>
                  </w:r>
                </w:p>
              </w:tc>
              <w:tc>
                <w:tcPr>
                  <w:tcW w:w="1749" w:type="dxa"/>
                  <w:tcBorders>
                    <w:bottom w:val="single" w:color="auto" w:sz="8" w:space="0"/>
                  </w:tcBorders>
                  <w:vAlign w:val="center"/>
                </w:tcPr>
                <w:p>
                  <w:pPr>
                    <w:adjustRightInd w:val="0"/>
                    <w:snapToGrid w:val="0"/>
                    <w:spacing w:line="240" w:lineRule="auto"/>
                    <w:ind w:firstLine="0" w:firstLineChars="0"/>
                    <w:jc w:val="center"/>
                  </w:pPr>
                  <w:r>
                    <w:rPr>
                      <w:rFonts w:hint="eastAsia"/>
                    </w:rPr>
                    <w:t>加油机</w:t>
                  </w:r>
                </w:p>
              </w:tc>
              <w:tc>
                <w:tcPr>
                  <w:tcW w:w="1299" w:type="dxa"/>
                  <w:tcBorders>
                    <w:bottom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6</w:t>
                  </w:r>
                </w:p>
              </w:tc>
              <w:tc>
                <w:tcPr>
                  <w:tcW w:w="1828" w:type="dxa"/>
                  <w:tcBorders>
                    <w:bottom w:val="single" w:color="auto" w:sz="8" w:space="0"/>
                  </w:tcBorders>
                  <w:vAlign w:val="center"/>
                </w:tcPr>
                <w:p>
                  <w:pPr>
                    <w:adjustRightInd w:val="0"/>
                    <w:snapToGrid w:val="0"/>
                    <w:spacing w:line="240" w:lineRule="auto"/>
                    <w:ind w:firstLine="0" w:firstLineChars="0"/>
                    <w:jc w:val="center"/>
                  </w:pPr>
                  <w:r>
                    <w:rPr>
                      <w:rFonts w:hint="eastAsia"/>
                    </w:rPr>
                    <w:t>选用</w:t>
                  </w:r>
                  <w:r>
                    <w:t>低噪设备</w:t>
                  </w:r>
                </w:p>
              </w:tc>
              <w:tc>
                <w:tcPr>
                  <w:tcW w:w="1764" w:type="dxa"/>
                  <w:tcBorders>
                    <w:bottom w:val="single" w:color="auto" w:sz="8" w:space="0"/>
                    <w:right w:val="single" w:color="auto" w:sz="8" w:space="0"/>
                  </w:tcBorders>
                  <w:shd w:val="clear" w:color="auto" w:fill="auto"/>
                  <w:vAlign w:val="center"/>
                </w:tcPr>
                <w:p>
                  <w:pPr>
                    <w:adjustRightInd w:val="0"/>
                    <w:snapToGrid w:val="0"/>
                    <w:spacing w:line="240" w:lineRule="auto"/>
                    <w:ind w:firstLine="0" w:firstLineChars="0"/>
                    <w:jc w:val="center"/>
                  </w:pPr>
                  <w:r>
                    <w:rPr>
                      <w:rFonts w:hint="eastAsia"/>
                    </w:rPr>
                    <w:t>6</w:t>
                  </w:r>
                  <w:r>
                    <w:t>5</w:t>
                  </w:r>
                </w:p>
              </w:tc>
            </w:tr>
          </w:tbl>
          <w:p>
            <w:pPr>
              <w:adjustRightInd w:val="0"/>
              <w:snapToGrid w:val="0"/>
              <w:spacing w:line="500" w:lineRule="exact"/>
              <w:ind w:firstLine="480" w:firstLineChars="200"/>
            </w:pPr>
            <w:r>
              <w:rPr>
                <w:rFonts w:hint="eastAsia"/>
              </w:rPr>
              <w:t>为说明项目运营过程中噪声对周围环境的影响程度，</w:t>
            </w:r>
            <w:r>
              <w:t>根据《环境影响评价技术导则</w:t>
            </w:r>
            <w:r>
              <w:rPr>
                <w:rFonts w:hint="eastAsia"/>
              </w:rPr>
              <w:t xml:space="preserve"> </w:t>
            </w:r>
            <w:r>
              <w:t>声环境》（HJ2.4-2009）的技术要求，本次评价采取导则上</w:t>
            </w:r>
            <w:r>
              <w:rPr>
                <w:rFonts w:hint="eastAsia"/>
              </w:rPr>
              <w:t>的</w:t>
            </w:r>
            <w:r>
              <w:t>推荐模式</w:t>
            </w:r>
            <w:r>
              <w:rPr>
                <w:rFonts w:hint="eastAsia"/>
              </w:rPr>
              <w:t>进行预测</w:t>
            </w:r>
            <w:r>
              <w:t>。</w:t>
            </w:r>
          </w:p>
          <w:p>
            <w:pPr>
              <w:adjustRightInd w:val="0"/>
              <w:snapToGrid w:val="0"/>
              <w:spacing w:line="500" w:lineRule="exact"/>
              <w:ind w:firstLine="480" w:firstLineChars="200"/>
              <w:rPr>
                <w:lang w:val="zh-CN"/>
              </w:rPr>
            </w:pPr>
            <w:r>
              <w:rPr>
                <w:rFonts w:hint="eastAsia"/>
                <w:lang w:val="zh-CN"/>
              </w:rPr>
              <w:t>（1）声级计算</w:t>
            </w:r>
          </w:p>
          <w:p>
            <w:pPr>
              <w:adjustRightInd w:val="0"/>
              <w:snapToGrid w:val="0"/>
              <w:spacing w:line="500" w:lineRule="exact"/>
              <w:ind w:firstLine="480" w:firstLineChars="200"/>
            </w:pPr>
            <w:r>
              <w:rPr>
                <w:lang w:val="zh-CN"/>
              </w:rPr>
              <w:t>建设</w:t>
            </w:r>
            <w:r>
              <w:t>项目声源在预测点产生的等效声级贡献值(Leq g)计算公式：</w:t>
            </w:r>
          </w:p>
          <w:p>
            <w:pPr>
              <w:adjustRightInd w:val="0"/>
              <w:snapToGrid w:val="0"/>
              <w:spacing w:line="240" w:lineRule="auto"/>
              <w:ind w:firstLine="0" w:firstLineChars="0"/>
              <w:jc w:val="center"/>
            </w:pPr>
            <w:r>
              <w:drawing>
                <wp:inline distT="0" distB="0" distL="0" distR="0">
                  <wp:extent cx="1666875" cy="457200"/>
                  <wp:effectExtent l="0" t="0" r="952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666875" cy="457200"/>
                          </a:xfrm>
                          <a:prstGeom prst="rect">
                            <a:avLst/>
                          </a:prstGeom>
                          <a:noFill/>
                          <a:ln>
                            <a:noFill/>
                          </a:ln>
                        </pic:spPr>
                      </pic:pic>
                    </a:graphicData>
                  </a:graphic>
                </wp:inline>
              </w:drawing>
            </w:r>
          </w:p>
          <w:p>
            <w:pPr>
              <w:adjustRightInd w:val="0"/>
              <w:snapToGrid w:val="0"/>
              <w:spacing w:line="500" w:lineRule="exact"/>
              <w:ind w:firstLine="480" w:firstLineChars="200"/>
            </w:pPr>
            <w:r>
              <w:t>式中：</w:t>
            </w:r>
          </w:p>
          <w:p>
            <w:pPr>
              <w:adjustRightInd w:val="0"/>
              <w:snapToGrid w:val="0"/>
              <w:spacing w:line="500" w:lineRule="exact"/>
              <w:ind w:firstLine="480" w:firstLineChars="200"/>
            </w:pPr>
            <w:r>
              <w:t>Leqg—建设项目声源在预测点的等效声级贡献值，dB(A)；</w:t>
            </w:r>
          </w:p>
          <w:p>
            <w:pPr>
              <w:adjustRightInd w:val="0"/>
              <w:snapToGrid w:val="0"/>
              <w:spacing w:line="500" w:lineRule="exact"/>
              <w:ind w:firstLine="480" w:firstLineChars="200"/>
            </w:pPr>
            <w:r>
              <w:t>LAi — i声源在预测点产生的A声级，dB(A)；</w:t>
            </w:r>
          </w:p>
          <w:p>
            <w:pPr>
              <w:adjustRightInd w:val="0"/>
              <w:snapToGrid w:val="0"/>
              <w:spacing w:line="500" w:lineRule="exact"/>
              <w:ind w:firstLine="480" w:firstLineChars="200"/>
            </w:pPr>
            <w:r>
              <w:t>T</w:t>
            </w:r>
            <w:r>
              <w:rPr>
                <w:rFonts w:hint="eastAsia"/>
              </w:rPr>
              <w:t xml:space="preserve">  </w:t>
            </w:r>
            <w:r>
              <w:t>—预测计算的时间段，s；</w:t>
            </w:r>
          </w:p>
          <w:p>
            <w:pPr>
              <w:adjustRightInd w:val="0"/>
              <w:snapToGrid w:val="0"/>
              <w:spacing w:line="500" w:lineRule="exact"/>
              <w:ind w:firstLine="480" w:firstLineChars="200"/>
              <w:rPr>
                <w:rFonts w:hint="eastAsia"/>
                <w:lang w:val="zh-CN"/>
              </w:rPr>
            </w:pPr>
            <w:r>
              <w:t xml:space="preserve">ti  — </w:t>
            </w:r>
            <w:r>
              <w:rPr>
                <w:rFonts w:hint="eastAsia"/>
              </w:rPr>
              <w:t>i</w:t>
            </w:r>
            <w:r>
              <w:t>声源在T时段内的运行时间，s。</w:t>
            </w:r>
          </w:p>
          <w:p>
            <w:pPr>
              <w:adjustRightInd w:val="0"/>
              <w:snapToGrid w:val="0"/>
              <w:spacing w:line="500" w:lineRule="exact"/>
              <w:ind w:firstLine="480" w:firstLineChars="200"/>
              <w:rPr>
                <w:lang w:val="zh-CN"/>
              </w:rPr>
            </w:pPr>
            <w:r>
              <w:rPr>
                <w:rFonts w:hint="eastAsia"/>
                <w:lang w:val="zh-CN"/>
              </w:rPr>
              <w:t>（2）衰减计算</w:t>
            </w:r>
          </w:p>
          <w:p>
            <w:pPr>
              <w:adjustRightInd w:val="0"/>
              <w:snapToGrid w:val="0"/>
              <w:spacing w:line="500" w:lineRule="exact"/>
              <w:ind w:firstLine="480" w:firstLineChars="200"/>
              <w:rPr>
                <w:lang w:val="zh-CN"/>
              </w:rPr>
            </w:pPr>
            <w:r>
              <w:rPr>
                <w:rFonts w:hint="eastAsia"/>
                <w:lang w:val="zh-CN"/>
              </w:rPr>
              <w:t>无指向性点声源几何发散</w:t>
            </w:r>
            <w:r>
              <w:rPr>
                <w:lang w:val="zh-CN"/>
              </w:rPr>
              <w:t>衰减</w:t>
            </w:r>
            <w:r>
              <w:rPr>
                <w:rFonts w:hint="eastAsia"/>
                <w:lang w:val="zh-CN"/>
              </w:rPr>
              <w:t>基本公式</w:t>
            </w:r>
            <w:r>
              <w:rPr>
                <w:lang w:val="zh-CN"/>
              </w:rPr>
              <w:t>：</w:t>
            </w:r>
          </w:p>
          <w:p>
            <w:pPr>
              <w:adjustRightInd w:val="0"/>
              <w:snapToGrid w:val="0"/>
              <w:spacing w:line="240" w:lineRule="auto"/>
              <w:ind w:firstLine="0" w:firstLineChars="0"/>
              <w:jc w:val="center"/>
            </w:pPr>
            <w:r>
              <w:drawing>
                <wp:inline distT="0" distB="0" distL="0" distR="0">
                  <wp:extent cx="1552575" cy="238125"/>
                  <wp:effectExtent l="0" t="0" r="9525"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552575" cy="238125"/>
                          </a:xfrm>
                          <a:prstGeom prst="rect">
                            <a:avLst/>
                          </a:prstGeom>
                          <a:noFill/>
                          <a:ln>
                            <a:noFill/>
                          </a:ln>
                        </pic:spPr>
                      </pic:pic>
                    </a:graphicData>
                  </a:graphic>
                </wp:inline>
              </w:drawing>
            </w:r>
          </w:p>
          <w:p>
            <w:pPr>
              <w:spacing w:line="360" w:lineRule="auto"/>
              <w:ind w:firstLine="480" w:firstLineChars="0"/>
            </w:pPr>
            <w:r>
              <w:rPr>
                <w:lang w:val="zh-CN"/>
              </w:rPr>
              <w:t>式中</w:t>
            </w:r>
            <w:r>
              <w:t>：</w:t>
            </w:r>
          </w:p>
          <w:p>
            <w:pPr>
              <w:spacing w:line="360" w:lineRule="auto"/>
              <w:ind w:firstLine="480" w:firstLineChars="0"/>
            </w:pPr>
            <w:r>
              <w:t>LA(r)</w:t>
            </w:r>
            <w:r>
              <w:rPr>
                <w:rFonts w:hint="eastAsia"/>
              </w:rPr>
              <w:t xml:space="preserve">  </w:t>
            </w:r>
            <w:r>
              <w:t>—</w:t>
            </w:r>
            <w:r>
              <w:rPr>
                <w:lang w:val="zh-CN"/>
              </w:rPr>
              <w:t>距离声源</w:t>
            </w:r>
            <w:r>
              <w:t>r</w:t>
            </w:r>
            <w:r>
              <w:rPr>
                <w:lang w:val="zh-CN"/>
              </w:rPr>
              <w:t>米处噪声预测值</w:t>
            </w:r>
            <w:r>
              <w:rPr>
                <w:rFonts w:hint="eastAsia"/>
              </w:rPr>
              <w:t>，</w:t>
            </w:r>
            <w:r>
              <w:t>[dB(A)]；</w:t>
            </w:r>
          </w:p>
          <w:p>
            <w:pPr>
              <w:spacing w:line="360" w:lineRule="auto"/>
              <w:ind w:firstLine="480" w:firstLineChars="0"/>
            </w:pPr>
            <w:r>
              <w:t>LA(r0)</w:t>
            </w:r>
            <w:r>
              <w:rPr>
                <w:rFonts w:hint="eastAsia"/>
              </w:rPr>
              <w:t xml:space="preserve"> </w:t>
            </w:r>
            <w:r>
              <w:t>—</w:t>
            </w:r>
            <w:r>
              <w:rPr>
                <w:lang w:val="zh-CN"/>
              </w:rPr>
              <w:t>距离声源</w:t>
            </w:r>
            <w:r>
              <w:t>r0</w:t>
            </w:r>
            <w:r>
              <w:rPr>
                <w:lang w:val="zh-CN"/>
              </w:rPr>
              <w:t>米处噪声预测值</w:t>
            </w:r>
            <w:r>
              <w:rPr>
                <w:rFonts w:hint="eastAsia"/>
              </w:rPr>
              <w:t>，</w:t>
            </w:r>
            <w:r>
              <w:t>[dB(A)]；</w:t>
            </w:r>
          </w:p>
          <w:p>
            <w:pPr>
              <w:spacing w:line="360" w:lineRule="auto"/>
              <w:ind w:firstLine="480" w:firstLineChars="0"/>
            </w:pPr>
            <w:r>
              <w:t>r0</w:t>
            </w:r>
            <w:r>
              <w:rPr>
                <w:rFonts w:hint="eastAsia"/>
              </w:rPr>
              <w:t xml:space="preserve">     </w:t>
            </w:r>
            <w:r>
              <w:t>—</w:t>
            </w:r>
            <w:r>
              <w:rPr>
                <w:lang w:val="zh-CN"/>
              </w:rPr>
              <w:t>参照点到声源的距离，（</w:t>
            </w:r>
            <w:r>
              <w:t>m）；</w:t>
            </w:r>
          </w:p>
          <w:p>
            <w:pPr>
              <w:spacing w:line="360" w:lineRule="auto"/>
              <w:ind w:firstLine="480" w:firstLineChars="0"/>
            </w:pPr>
            <w:r>
              <w:t>r</w:t>
            </w:r>
            <w:r>
              <w:rPr>
                <w:rFonts w:hint="eastAsia"/>
              </w:rPr>
              <w:t xml:space="preserve">      </w:t>
            </w:r>
            <w:r>
              <w:rPr>
                <w:lang w:val="zh-CN"/>
              </w:rPr>
              <w:t>—预测点到声源的距离</w:t>
            </w:r>
            <w:r>
              <w:rPr>
                <w:rFonts w:hint="eastAsia"/>
                <w:lang w:val="zh-CN"/>
              </w:rPr>
              <w:t>，</w:t>
            </w:r>
            <w:r>
              <w:rPr>
                <w:lang w:val="zh-CN"/>
              </w:rPr>
              <w:t>（m）</w:t>
            </w:r>
            <w:r>
              <w:rPr>
                <w:rFonts w:hint="eastAsia"/>
                <w:lang w:val="zh-CN"/>
              </w:rPr>
              <w:t>。</w:t>
            </w:r>
          </w:p>
          <w:p>
            <w:pPr>
              <w:adjustRightInd w:val="0"/>
              <w:snapToGrid w:val="0"/>
              <w:spacing w:line="500" w:lineRule="exact"/>
              <w:ind w:firstLine="480" w:firstLineChars="200"/>
            </w:pPr>
            <w:r>
              <w:rPr>
                <w:rFonts w:hint="eastAsia"/>
              </w:rPr>
              <w:t>各噪声源</w:t>
            </w:r>
            <w:r>
              <w:t>经过</w:t>
            </w:r>
            <w:r>
              <w:rPr>
                <w:rFonts w:hint="eastAsia"/>
              </w:rPr>
              <w:t>距离衰减后，根据项目平面布置，对项目厂界噪声预测结果见表</w:t>
            </w:r>
            <w:r>
              <w:rPr>
                <w:rFonts w:hint="eastAsia"/>
                <w:lang w:val="en-US" w:eastAsia="zh-CN"/>
              </w:rPr>
              <w:t>31</w:t>
            </w:r>
            <w:r>
              <w:rPr>
                <w:rFonts w:hint="eastAsia"/>
              </w:rPr>
              <w:t>。</w:t>
            </w:r>
          </w:p>
          <w:p>
            <w:pPr>
              <w:bidi w:val="0"/>
              <w:jc w:val="center"/>
              <w:rPr>
                <w:rFonts w:hint="eastAsia"/>
                <w:lang w:val="en-US" w:eastAsia="zh-CN"/>
              </w:rPr>
            </w:pPr>
            <w:r>
              <w:rPr>
                <w:rFonts w:hint="eastAsia"/>
                <w:lang w:val="en-US" w:eastAsia="zh-CN"/>
              </w:rPr>
              <w:t>表37    噪声源距厂界距离及厂界噪声贡献值 单位：dB(A)</w:t>
            </w:r>
          </w:p>
          <w:tbl>
            <w:tblPr>
              <w:tblStyle w:val="20"/>
              <w:tblW w:w="8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203"/>
              <w:gridCol w:w="2410"/>
              <w:gridCol w:w="1207"/>
              <w:gridCol w:w="2011"/>
              <w:gridCol w:w="13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top w:val="single" w:color="auto" w:sz="8" w:space="0"/>
                    <w:left w:val="single" w:color="auto" w:sz="0" w:space="0"/>
                  </w:tcBorders>
                  <w:shd w:val="clear" w:color="auto" w:fill="auto"/>
                  <w:vAlign w:val="center"/>
                </w:tcPr>
                <w:p>
                  <w:pPr>
                    <w:adjustRightInd w:val="0"/>
                    <w:snapToGrid w:val="0"/>
                    <w:spacing w:line="240" w:lineRule="auto"/>
                    <w:ind w:firstLine="0" w:firstLineChars="0"/>
                    <w:jc w:val="center"/>
                    <w:outlineLvl w:val="0"/>
                  </w:pPr>
                  <w:r>
                    <w:t>厂界</w:t>
                  </w:r>
                  <w:r>
                    <w:rPr>
                      <w:rFonts w:hint="eastAsia"/>
                    </w:rPr>
                    <w:t>/敏感点</w:t>
                  </w:r>
                </w:p>
              </w:tc>
              <w:tc>
                <w:tcPr>
                  <w:tcW w:w="2410" w:type="dxa"/>
                  <w:tcBorders>
                    <w:top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噪声源</w:t>
                  </w:r>
                </w:p>
              </w:tc>
              <w:tc>
                <w:tcPr>
                  <w:tcW w:w="1207" w:type="dxa"/>
                  <w:tcBorders>
                    <w:top w:val="single" w:color="auto" w:sz="8" w:space="0"/>
                  </w:tcBorders>
                  <w:vAlign w:val="center"/>
                </w:tcPr>
                <w:p>
                  <w:pPr>
                    <w:adjustRightInd w:val="0"/>
                    <w:snapToGrid w:val="0"/>
                    <w:spacing w:line="240" w:lineRule="auto"/>
                    <w:ind w:firstLine="0" w:firstLineChars="0"/>
                    <w:jc w:val="center"/>
                    <w:outlineLvl w:val="0"/>
                  </w:pPr>
                  <w:r>
                    <w:rPr>
                      <w:rFonts w:hint="eastAsia"/>
                    </w:rPr>
                    <w:t>距厂界/敏感点距离</w:t>
                  </w:r>
                </w:p>
              </w:tc>
              <w:tc>
                <w:tcPr>
                  <w:tcW w:w="2011" w:type="dxa"/>
                  <w:tcBorders>
                    <w:top w:val="single" w:color="auto" w:sz="8" w:space="0"/>
                  </w:tcBorders>
                  <w:vAlign w:val="center"/>
                </w:tcPr>
                <w:p>
                  <w:pPr>
                    <w:adjustRightInd w:val="0"/>
                    <w:snapToGrid w:val="0"/>
                    <w:spacing w:line="240" w:lineRule="auto"/>
                    <w:ind w:firstLine="0" w:firstLineChars="0"/>
                    <w:jc w:val="center"/>
                    <w:outlineLvl w:val="0"/>
                  </w:pPr>
                  <w:r>
                    <w:t>贡献值</w:t>
                  </w:r>
                </w:p>
              </w:tc>
              <w:tc>
                <w:tcPr>
                  <w:tcW w:w="1389" w:type="dxa"/>
                  <w:tcBorders>
                    <w:top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敏感点噪声预测值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东</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10</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47.9</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76"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南</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13</w:t>
                  </w:r>
                </w:p>
              </w:tc>
              <w:tc>
                <w:tcPr>
                  <w:tcW w:w="2011" w:type="dxa"/>
                  <w:vAlign w:val="center"/>
                </w:tcPr>
                <w:p>
                  <w:pPr>
                    <w:adjustRightInd w:val="0"/>
                    <w:snapToGrid w:val="0"/>
                    <w:spacing w:line="240" w:lineRule="auto"/>
                    <w:ind w:firstLine="0" w:firstLineChars="0"/>
                    <w:jc w:val="center"/>
                    <w:outlineLvl w:val="0"/>
                    <w:rPr>
                      <w:rFonts w:hint="eastAsia"/>
                      <w:lang w:val="en-US" w:eastAsia="zh-CN"/>
                    </w:rPr>
                  </w:pPr>
                  <w:r>
                    <w:rPr>
                      <w:rFonts w:hint="eastAsia"/>
                    </w:rPr>
                    <w:t>4</w:t>
                  </w:r>
                  <w:r>
                    <w:rPr>
                      <w:rFonts w:hint="eastAsia"/>
                      <w:lang w:val="en-US" w:eastAsia="zh-CN"/>
                    </w:rPr>
                    <w:t>6</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tcBorders>
                  <w:shd w:val="clear" w:color="auto" w:fill="auto"/>
                  <w:vAlign w:val="center"/>
                </w:tcPr>
                <w:p>
                  <w:pPr>
                    <w:adjustRightInd w:val="0"/>
                    <w:snapToGrid w:val="0"/>
                    <w:spacing w:line="240" w:lineRule="auto"/>
                    <w:ind w:firstLine="0" w:firstLineChars="0"/>
                    <w:jc w:val="center"/>
                    <w:outlineLvl w:val="0"/>
                  </w:pPr>
                  <w:r>
                    <w:t>西</w:t>
                  </w:r>
                  <w:r>
                    <w:rPr>
                      <w:rFonts w:hint="eastAsia"/>
                    </w:rPr>
                    <w:t>厂界</w:t>
                  </w:r>
                </w:p>
              </w:tc>
              <w:tc>
                <w:tcPr>
                  <w:tcW w:w="2410" w:type="dxa"/>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69</w:t>
                  </w:r>
                </w:p>
              </w:tc>
              <w:tc>
                <w:tcPr>
                  <w:tcW w:w="2011" w:type="dxa"/>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22.4</w:t>
                  </w:r>
                </w:p>
              </w:tc>
              <w:tc>
                <w:tcPr>
                  <w:tcW w:w="1389" w:type="dxa"/>
                  <w:tcBorders>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203" w:type="dxa"/>
                  <w:tcBorders>
                    <w:left w:val="single" w:color="auto" w:sz="4" w:space="0"/>
                    <w:bottom w:val="single" w:color="auto" w:sz="8" w:space="0"/>
                  </w:tcBorders>
                  <w:shd w:val="clear" w:color="auto" w:fill="auto"/>
                  <w:vAlign w:val="center"/>
                </w:tcPr>
                <w:p>
                  <w:pPr>
                    <w:adjustRightInd w:val="0"/>
                    <w:snapToGrid w:val="0"/>
                    <w:spacing w:line="240" w:lineRule="auto"/>
                    <w:ind w:firstLine="0" w:firstLineChars="0"/>
                    <w:jc w:val="center"/>
                    <w:outlineLvl w:val="0"/>
                  </w:pPr>
                  <w:r>
                    <w:t>北</w:t>
                  </w:r>
                  <w:r>
                    <w:rPr>
                      <w:rFonts w:hint="eastAsia"/>
                    </w:rPr>
                    <w:t>厂界</w:t>
                  </w:r>
                </w:p>
              </w:tc>
              <w:tc>
                <w:tcPr>
                  <w:tcW w:w="2410" w:type="dxa"/>
                  <w:tcBorders>
                    <w:bottom w:val="single" w:color="auto" w:sz="8" w:space="0"/>
                  </w:tcBorders>
                  <w:shd w:val="clear" w:color="auto" w:fill="auto"/>
                  <w:vAlign w:val="center"/>
                </w:tcPr>
                <w:p>
                  <w:pPr>
                    <w:adjustRightInd w:val="0"/>
                    <w:snapToGrid w:val="0"/>
                    <w:spacing w:line="240" w:lineRule="auto"/>
                    <w:ind w:firstLine="0" w:firstLineChars="0"/>
                    <w:jc w:val="center"/>
                    <w:outlineLvl w:val="0"/>
                  </w:pPr>
                  <w:r>
                    <w:rPr>
                      <w:rFonts w:hint="eastAsia"/>
                    </w:rPr>
                    <w:t>加油机</w:t>
                  </w:r>
                </w:p>
              </w:tc>
              <w:tc>
                <w:tcPr>
                  <w:tcW w:w="1207"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36</w:t>
                  </w:r>
                </w:p>
              </w:tc>
              <w:tc>
                <w:tcPr>
                  <w:tcW w:w="2011" w:type="dxa"/>
                  <w:tcBorders>
                    <w:bottom w:val="single" w:color="auto" w:sz="8" w:space="0"/>
                  </w:tcBorders>
                  <w:vAlign w:val="center"/>
                </w:tcPr>
                <w:p>
                  <w:pPr>
                    <w:adjustRightInd w:val="0"/>
                    <w:snapToGrid w:val="0"/>
                    <w:spacing w:line="240" w:lineRule="auto"/>
                    <w:ind w:firstLine="0" w:firstLineChars="0"/>
                    <w:jc w:val="center"/>
                    <w:outlineLvl w:val="0"/>
                    <w:rPr>
                      <w:rFonts w:hint="default"/>
                      <w:lang w:val="en-US" w:eastAsia="zh-CN"/>
                    </w:rPr>
                  </w:pPr>
                  <w:r>
                    <w:rPr>
                      <w:rFonts w:hint="eastAsia"/>
                      <w:lang w:val="en-US" w:eastAsia="zh-CN"/>
                    </w:rPr>
                    <w:t>28.8</w:t>
                  </w:r>
                </w:p>
              </w:tc>
              <w:tc>
                <w:tcPr>
                  <w:tcW w:w="1389" w:type="dxa"/>
                  <w:tcBorders>
                    <w:bottom w:val="single" w:color="auto" w:sz="8" w:space="0"/>
                    <w:right w:val="single" w:color="auto" w:sz="8" w:space="0"/>
                  </w:tcBorders>
                  <w:vAlign w:val="center"/>
                </w:tcPr>
                <w:p>
                  <w:pPr>
                    <w:adjustRightInd w:val="0"/>
                    <w:snapToGrid w:val="0"/>
                    <w:spacing w:line="240" w:lineRule="auto"/>
                    <w:ind w:firstLine="0" w:firstLineChars="0"/>
                    <w:jc w:val="center"/>
                    <w:outlineLvl w:val="0"/>
                  </w:pPr>
                  <w:r>
                    <w:rPr>
                      <w:rFonts w:hint="eastAsia"/>
                    </w:rPr>
                    <w:t>/</w:t>
                  </w:r>
                </w:p>
              </w:tc>
            </w:tr>
          </w:tbl>
          <w:p>
            <w:pPr>
              <w:adjustRightInd w:val="0"/>
              <w:snapToGrid w:val="0"/>
              <w:spacing w:line="500" w:lineRule="exact"/>
              <w:ind w:firstLine="480" w:firstLineChars="200"/>
            </w:pPr>
            <w:r>
              <w:t>由表可知，</w:t>
            </w:r>
            <w:r>
              <w:rPr>
                <w:rFonts w:hint="eastAsia"/>
              </w:rPr>
              <w:t>项目昼、夜间</w:t>
            </w:r>
            <w:r>
              <w:t>各厂界</w:t>
            </w:r>
            <w:r>
              <w:rPr>
                <w:rFonts w:hint="eastAsia"/>
              </w:rPr>
              <w:t>噪声贡献值分别满足《工业企业厂界环境噪声排放标准》（GB12348-2008）中2类</w:t>
            </w:r>
            <w:r>
              <w:rPr>
                <w:rFonts w:hint="eastAsia"/>
                <w:lang w:eastAsia="zh-CN"/>
              </w:rPr>
              <w:t>和</w:t>
            </w:r>
            <w:r>
              <w:rPr>
                <w:rFonts w:hint="eastAsia"/>
                <w:lang w:val="en-US" w:eastAsia="zh-CN"/>
              </w:rPr>
              <w:t>4类</w:t>
            </w:r>
            <w:r>
              <w:rPr>
                <w:rFonts w:hint="eastAsia"/>
              </w:rPr>
              <w:t>标准的要求</w:t>
            </w:r>
            <w:r>
              <w:t>，</w:t>
            </w:r>
            <w:r>
              <w:rPr>
                <w:rFonts w:hint="eastAsia"/>
              </w:rPr>
              <w:t>因此本项目噪声对周围环境影响较小。</w:t>
            </w:r>
          </w:p>
          <w:p>
            <w:pPr>
              <w:adjustRightInd w:val="0"/>
              <w:snapToGrid w:val="0"/>
              <w:spacing w:line="500" w:lineRule="exact"/>
              <w:ind w:firstLine="480" w:firstLineChars="200"/>
            </w:pPr>
            <w:r>
              <w:rPr>
                <w:rFonts w:hint="eastAsia"/>
              </w:rPr>
              <w:t>（2</w:t>
            </w:r>
            <w:r>
              <w:t>）</w:t>
            </w:r>
            <w:r>
              <w:rPr>
                <w:rFonts w:hint="eastAsia"/>
              </w:rPr>
              <w:t>车辆</w:t>
            </w:r>
            <w:r>
              <w:t>进出噪声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进出车辆噪声声级约为65～75</w:t>
            </w:r>
            <w:r>
              <w:t>dB</w:t>
            </w:r>
            <w:r>
              <w:rPr>
                <w:rFonts w:hint="eastAsia"/>
              </w:rPr>
              <w:t>（A），</w:t>
            </w:r>
            <w:r>
              <w:t>为非连续性噪声</w:t>
            </w:r>
            <w:r>
              <w:rPr>
                <w:rFonts w:hint="eastAsia"/>
              </w:rPr>
              <w:t>；</w:t>
            </w:r>
            <w:r>
              <w:t>为降低其噪声对周围环境的影响</w:t>
            </w:r>
            <w:r>
              <w:rPr>
                <w:rFonts w:hint="eastAsia"/>
              </w:rPr>
              <w:t>，评价建议项目</w:t>
            </w:r>
            <w:r>
              <w:t>区内</w:t>
            </w:r>
            <w:r>
              <w:rPr>
                <w:rFonts w:hint="eastAsia"/>
              </w:rPr>
              <w:t>对出入区域内来往的机动车严格管理，采取车辆进站时减速、禁止鸣笛、加油时车辆熄火和平稳启动等措施，使区域内的交通噪声降到最低值，通过距离衰减后可大幅度降低噪声对周围环境的影响，</w:t>
            </w:r>
            <w:r>
              <w:t>因此</w:t>
            </w:r>
            <w:r>
              <w:rPr>
                <w:rFonts w:hint="eastAsia"/>
              </w:rPr>
              <w:t>，评价认为</w:t>
            </w:r>
            <w:r>
              <w:t>本项目在</w:t>
            </w:r>
            <w:r>
              <w:rPr>
                <w:rFonts w:hint="eastAsia"/>
              </w:rPr>
              <w:t>营运期车辆进出时</w:t>
            </w:r>
            <w:r>
              <w:t>产生的噪声对</w:t>
            </w:r>
            <w:r>
              <w:rPr>
                <w:rFonts w:hint="eastAsia"/>
              </w:rPr>
              <w:t>敏感点及</w:t>
            </w:r>
            <w:r>
              <w:t>周围声环境影响较小</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rPr>
                <w:rFonts w:hint="eastAsia"/>
              </w:rPr>
              <w:t>综上</w:t>
            </w:r>
            <w:r>
              <w:t>，采取上述措施后，</w:t>
            </w:r>
            <w:r>
              <w:rPr>
                <w:rFonts w:hint="eastAsia"/>
              </w:rPr>
              <w:t>营运</w:t>
            </w:r>
            <w:r>
              <w:t>期</w:t>
            </w:r>
            <w:r>
              <w:rPr>
                <w:rFonts w:hint="eastAsia"/>
              </w:rPr>
              <w:t>噪声对周围环境影响较小。</w:t>
            </w:r>
          </w:p>
          <w:p>
            <w:pPr>
              <w:adjustRightInd w:val="0"/>
              <w:snapToGrid w:val="0"/>
              <w:spacing w:line="500" w:lineRule="exact"/>
              <w:ind w:firstLine="0" w:firstLineChars="0"/>
              <w:textAlignment w:val="baseline"/>
            </w:pPr>
            <w:r>
              <w:t>2</w:t>
            </w:r>
            <w:r>
              <w:rPr>
                <w:rFonts w:hint="eastAsia"/>
              </w:rPr>
              <w:t>.</w:t>
            </w:r>
            <w:r>
              <w:t>4</w:t>
            </w:r>
            <w:r>
              <w:rPr>
                <w:rFonts w:hint="eastAsia"/>
              </w:rPr>
              <w:t>、</w:t>
            </w:r>
            <w:r>
              <w:t>固体废物影响分析</w:t>
            </w:r>
          </w:p>
          <w:p>
            <w:pPr>
              <w:adjustRightInd w:val="0"/>
              <w:snapToGrid w:val="0"/>
              <w:spacing w:line="500" w:lineRule="exact"/>
              <w:ind w:left="480" w:leftChars="200"/>
            </w:pPr>
            <w:r>
              <w:rPr>
                <w:rFonts w:hint="eastAsia"/>
              </w:rPr>
              <w:t>（1）</w:t>
            </w:r>
            <w:r>
              <w:t>生活垃圾</w:t>
            </w:r>
          </w:p>
          <w:p>
            <w:pPr>
              <w:adjustRightInd w:val="0"/>
              <w:snapToGrid w:val="0"/>
              <w:spacing w:line="500" w:lineRule="exact"/>
              <w:ind w:firstLine="480" w:firstLineChars="200"/>
            </w:pPr>
            <w:r>
              <w:t>项目站区职工共</w:t>
            </w:r>
            <w:r>
              <w:rPr>
                <w:rFonts w:hint="eastAsia"/>
                <w:lang w:val="en-US" w:eastAsia="zh-CN"/>
              </w:rPr>
              <w:t>6</w:t>
            </w:r>
            <w:r>
              <w:t>人（不在项目区食宿，年工作365d），生活垃圾产生量分别按0.5kg/（人·d），则职工生活垃圾产生量为</w:t>
            </w:r>
            <w:r>
              <w:rPr>
                <w:rFonts w:hint="eastAsia"/>
                <w:lang w:val="en-US" w:eastAsia="zh-CN"/>
              </w:rPr>
              <w:t>3.0</w:t>
            </w:r>
            <w:r>
              <w:t>kg/d（</w:t>
            </w:r>
            <w:r>
              <w:rPr>
                <w:rFonts w:hint="eastAsia"/>
                <w:lang w:val="en-US" w:eastAsia="zh-CN"/>
              </w:rPr>
              <w:t>1.095</w:t>
            </w:r>
            <w:r>
              <w:rPr>
                <w:rFonts w:hint="eastAsia"/>
              </w:rPr>
              <w:t>t</w:t>
            </w:r>
            <w:r>
              <w:t>/a）。项目投运后，每天接待顾客约100人</w:t>
            </w:r>
            <w:r>
              <w:rPr>
                <w:rFonts w:hint="eastAsia"/>
                <w:lang w:eastAsia="zh-CN"/>
              </w:rPr>
              <w:t>，垃圾均在服务区产生。</w:t>
            </w:r>
            <w:r>
              <w:t>综上所述，项目垃圾总产生量为</w:t>
            </w:r>
            <w:r>
              <w:rPr>
                <w:rFonts w:hint="eastAsia"/>
                <w:lang w:val="en-US" w:eastAsia="zh-CN"/>
              </w:rPr>
              <w:t>1.095</w:t>
            </w:r>
            <w:r>
              <w:t>t/a。评价建议在项目区内作好垃圾收集系统建设，因地制宜地设置垃圾箱，垃圾分类收集，运入市政垃圾收集处，定期由环卫部门运走。</w:t>
            </w:r>
          </w:p>
          <w:p>
            <w:pPr>
              <w:pStyle w:val="19"/>
              <w:spacing w:line="500" w:lineRule="exact"/>
              <w:ind w:left="0" w:leftChars="0" w:firstLine="560" w:firstLineChars="200"/>
            </w:pPr>
            <w:r>
              <w:t>（2）油罐清洗废液</w:t>
            </w:r>
          </w:p>
          <w:p>
            <w:pPr>
              <w:pStyle w:val="19"/>
              <w:spacing w:line="500" w:lineRule="exact"/>
              <w:ind w:left="0" w:leftChars="0" w:firstLine="560" w:firstLineChars="200"/>
              <w:rPr>
                <w:rFonts w:hint="eastAsia"/>
              </w:rPr>
            </w:pPr>
            <w:r>
              <w:t>项目运营期危险废物主要为油罐定期清洗产生的清洗废水和油泥。根据建设单位介绍，油罐每</w:t>
            </w:r>
            <w:r>
              <w:rPr>
                <w:rFonts w:hint="eastAsia"/>
                <w:lang w:val="en-US" w:eastAsia="zh-CN"/>
              </w:rPr>
              <w:t>5</w:t>
            </w:r>
            <w:r>
              <w:t>年清洗一次，委托</w:t>
            </w:r>
            <w:r>
              <w:rPr>
                <w:rFonts w:hint="eastAsia"/>
              </w:rPr>
              <w:t>相关单位</w:t>
            </w:r>
            <w:r>
              <w:t>进行清洗，清洗废水产生量约</w:t>
            </w:r>
            <w:r>
              <w:rPr>
                <w:rFonts w:hint="eastAsia"/>
                <w:lang w:val="en-US" w:eastAsia="zh-CN"/>
              </w:rPr>
              <w:t>2</w:t>
            </w:r>
            <w:r>
              <w:t>t/次，油泥产生量约为0.</w:t>
            </w:r>
            <w:r>
              <w:rPr>
                <w:rFonts w:hint="eastAsia"/>
                <w:lang w:val="en-US" w:eastAsia="zh-CN"/>
              </w:rPr>
              <w:t>22</w:t>
            </w:r>
            <w:r>
              <w:t>t/次。根据《国家危险废物名录》（环境保护部第39号令，2016年8月1日起施行），油罐清洗废水的危废编号为HW09，油泥的危废编号为HW08，本项目油罐清洗产生的清洗废水、油泥均</w:t>
            </w:r>
            <w:r>
              <w:rPr>
                <w:rFonts w:hint="eastAsia"/>
              </w:rPr>
              <w:t>应交由有资质单位进行</w:t>
            </w:r>
            <w:r>
              <w:t>处理，</w:t>
            </w:r>
            <w:r>
              <w:rPr>
                <w:rFonts w:hint="eastAsia"/>
                <w:lang w:eastAsia="zh-CN"/>
              </w:rPr>
              <w:t>即产即运，</w:t>
            </w:r>
            <w:r>
              <w:t>不在站内暂存</w:t>
            </w:r>
            <w:r>
              <w:rPr>
                <w:rFonts w:hint="eastAsia"/>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pPr>
            <w:r>
              <w:t>综上所述，</w:t>
            </w:r>
            <w:r>
              <w:rPr>
                <w:rFonts w:hint="eastAsia"/>
              </w:rPr>
              <w:t>本项目</w:t>
            </w:r>
            <w:r>
              <w:t>固废均得到妥善处置，处理率100%</w:t>
            </w:r>
            <w:r>
              <w:rPr>
                <w:rFonts w:hint="eastAsia"/>
              </w:rPr>
              <w:t>，</w:t>
            </w:r>
            <w:r>
              <w:t>对</w:t>
            </w:r>
            <w:r>
              <w:rPr>
                <w:rFonts w:hint="eastAsia"/>
              </w:rPr>
              <w:t>周围</w:t>
            </w:r>
            <w:r>
              <w:t>环境影响</w:t>
            </w:r>
            <w:r>
              <w:rPr>
                <w:rFonts w:hint="eastAsia"/>
              </w:rPr>
              <w:t>较小</w:t>
            </w:r>
            <w:r>
              <w:t>。</w:t>
            </w:r>
          </w:p>
          <w:p>
            <w:pPr>
              <w:spacing w:line="500" w:lineRule="exact"/>
              <w:ind w:firstLine="0" w:firstLineChars="0"/>
            </w:pPr>
            <w:r>
              <w:rPr>
                <w:rFonts w:hint="eastAsia"/>
              </w:rPr>
              <w:t>3、环境风险</w:t>
            </w:r>
            <w:r>
              <w:t>影响</w:t>
            </w:r>
            <w:r>
              <w:rPr>
                <w:rFonts w:hint="eastAsia"/>
              </w:rPr>
              <w:t>分析</w:t>
            </w:r>
            <w:r>
              <w:t>与</w:t>
            </w:r>
            <w:r>
              <w:rPr>
                <w:rFonts w:hint="eastAsia"/>
              </w:rPr>
              <w:t>评价</w:t>
            </w:r>
          </w:p>
          <w:p>
            <w:pPr>
              <w:adjustRightInd w:val="0"/>
              <w:snapToGrid w:val="0"/>
              <w:spacing w:line="500" w:lineRule="exact"/>
              <w:ind w:firstLine="480" w:firstLineChars="200"/>
            </w:pPr>
            <w:r>
              <w:rPr>
                <w:rFonts w:hint="eastAsia"/>
              </w:rPr>
              <w:t>本项目环境风险主要是油品泄漏及泄漏产生的爆炸事故。针对本项目存在的各类事故风险，提出相关预防及应急措施，在严格落实这些措施，加强生产管理的情况下，严格按照防范措施和应急预案执行，在管理及运行过程中认真落实安全评估报告中提出的措施和相关环保规定，在得到安监、环保管理部门许可后运营，上述风险事故隐患可降至可接受水平。同时，本项目的风险值较小，项目的风险水平是可接受的。评价内容详见风险专题。</w:t>
            </w:r>
          </w:p>
          <w:p>
            <w:pPr>
              <w:adjustRightInd w:val="0"/>
              <w:snapToGrid w:val="0"/>
              <w:spacing w:line="500" w:lineRule="exact"/>
              <w:ind w:firstLine="0" w:firstLineChars="0"/>
              <w:rPr>
                <w:rFonts w:hint="default"/>
              </w:rPr>
            </w:pPr>
            <w:r>
              <w:rPr>
                <w:rFonts w:hint="eastAsia"/>
                <w:lang w:val="en-US" w:eastAsia="zh-CN"/>
              </w:rPr>
              <w:t>4</w:t>
            </w:r>
            <w:r>
              <w:rPr>
                <w:rFonts w:hint="default"/>
              </w:rPr>
              <w:t>、总量控制分析</w:t>
            </w:r>
          </w:p>
          <w:p>
            <w:pPr>
              <w:adjustRightInd w:val="0"/>
              <w:snapToGrid w:val="0"/>
              <w:spacing w:line="500" w:lineRule="exact"/>
              <w:ind w:firstLine="480" w:firstLineChars="200"/>
              <w:rPr>
                <w:rFonts w:hint="default"/>
              </w:rPr>
            </w:pPr>
            <w:r>
              <w:rPr>
                <w:rFonts w:hint="default"/>
              </w:rPr>
              <w:t>本项目废水主要为生活污水，产生量为</w:t>
            </w:r>
            <w:r>
              <w:rPr>
                <w:rFonts w:hint="eastAsia"/>
                <w:lang w:val="en-US" w:eastAsia="zh-CN"/>
              </w:rPr>
              <w:t>70.8</w:t>
            </w:r>
            <w:r>
              <w:rPr>
                <w:rFonts w:hint="default"/>
              </w:rPr>
              <w:t>m3/a ，项目生活污水经水冲厕收集后进入站区防渗化粪池沤肥，定期由周边村民清运用于肥田，项目生活污水不外排。</w:t>
            </w:r>
          </w:p>
          <w:p>
            <w:pPr>
              <w:pStyle w:val="2"/>
              <w:ind w:left="0" w:leftChars="0" w:firstLine="0" w:firstLineChars="0"/>
              <w:rPr>
                <w:rFonts w:hint="eastAsia"/>
                <w:lang w:val="en-US" w:eastAsia="zh-CN"/>
              </w:rPr>
            </w:pPr>
            <w:r>
              <w:rPr>
                <w:rFonts w:hint="eastAsia"/>
                <w:lang w:val="en-US" w:eastAsia="zh-CN"/>
              </w:rPr>
              <w:t>5、改建前后“三本账”</w:t>
            </w:r>
          </w:p>
          <w:p>
            <w:pPr>
              <w:adjustRightInd w:val="0"/>
              <w:snapToGrid w:val="0"/>
              <w:spacing w:line="360" w:lineRule="auto"/>
              <w:ind w:firstLine="530" w:firstLineChars="221"/>
              <w:rPr>
                <w:b/>
                <w:bCs/>
              </w:rPr>
            </w:pPr>
            <w:r>
              <w:t>加油站改建前后污染物排放“三本帐”分析见表</w:t>
            </w:r>
            <w:r>
              <w:rPr>
                <w:rFonts w:hint="eastAsia"/>
              </w:rPr>
              <w:t>3</w:t>
            </w:r>
            <w:r>
              <w:rPr>
                <w:rFonts w:hint="eastAsia"/>
                <w:lang w:val="en-US" w:eastAsia="zh-CN"/>
              </w:rPr>
              <w:t>8</w:t>
            </w:r>
            <w:r>
              <w:t>。</w:t>
            </w:r>
          </w:p>
          <w:p>
            <w:pPr>
              <w:widowControl w:val="0"/>
              <w:adjustRightInd w:val="0"/>
              <w:snapToGrid w:val="0"/>
              <w:spacing w:line="240" w:lineRule="auto"/>
              <w:ind w:firstLine="241" w:firstLineChars="100"/>
              <w:jc w:val="center"/>
              <w:rPr>
                <w:b/>
                <w:bCs/>
                <w:lang w:val="en-US" w:eastAsia="zh-CN"/>
              </w:rPr>
            </w:pPr>
            <w:r>
              <w:rPr>
                <w:b/>
                <w:bCs/>
                <w:lang w:val="en-US" w:eastAsia="zh-CN"/>
              </w:rPr>
              <w:t>表</w:t>
            </w:r>
            <w:r>
              <w:rPr>
                <w:rFonts w:hint="eastAsia"/>
                <w:b/>
                <w:bCs/>
                <w:lang w:val="en-US" w:eastAsia="zh-CN"/>
              </w:rPr>
              <w:t>38</w:t>
            </w:r>
            <w:r>
              <w:rPr>
                <w:b/>
                <w:bCs/>
                <w:lang w:val="en-US" w:eastAsia="zh-CN"/>
              </w:rPr>
              <w:t xml:space="preserve">  改建前后污染物排放“三本帐”一览表</w:t>
            </w:r>
          </w:p>
          <w:tbl>
            <w:tblPr>
              <w:tblStyle w:val="2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087"/>
              <w:gridCol w:w="1316"/>
              <w:gridCol w:w="1013"/>
              <w:gridCol w:w="958"/>
              <w:gridCol w:w="1013"/>
              <w:gridCol w:w="1369"/>
              <w:gridCol w:w="10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97" w:type="pct"/>
                  <w:gridSpan w:val="3"/>
                  <w:noWrap w:val="0"/>
                  <w:vAlign w:val="center"/>
                </w:tcPr>
                <w:p>
                  <w:pPr>
                    <w:adjustRightInd w:val="0"/>
                    <w:snapToGrid w:val="0"/>
                    <w:spacing w:line="240" w:lineRule="auto"/>
                    <w:ind w:leftChars="-27" w:hanging="64" w:hangingChars="27"/>
                    <w:jc w:val="center"/>
                  </w:pPr>
                  <w:bookmarkStart w:id="26" w:name="OLE_LINK2"/>
                  <w:r>
                    <w:rPr>
                      <w:rFonts w:hint="eastAsia"/>
                    </w:rPr>
                    <w:t>污染因素</w:t>
                  </w:r>
                </w:p>
              </w:tc>
              <w:tc>
                <w:tcPr>
                  <w:tcW w:w="616" w:type="pct"/>
                  <w:noWrap w:val="0"/>
                  <w:vAlign w:val="center"/>
                </w:tcPr>
                <w:p>
                  <w:pPr>
                    <w:adjustRightInd w:val="0"/>
                    <w:snapToGrid w:val="0"/>
                    <w:spacing w:line="240" w:lineRule="auto"/>
                    <w:ind w:leftChars="-27" w:hanging="64" w:hangingChars="27"/>
                    <w:jc w:val="center"/>
                  </w:pPr>
                  <w:r>
                    <w:t>原加油站排放量</w:t>
                  </w:r>
                </w:p>
              </w:tc>
              <w:tc>
                <w:tcPr>
                  <w:tcW w:w="583" w:type="pct"/>
                  <w:noWrap w:val="0"/>
                  <w:vAlign w:val="center"/>
                </w:tcPr>
                <w:p>
                  <w:pPr>
                    <w:adjustRightInd w:val="0"/>
                    <w:snapToGrid w:val="0"/>
                    <w:spacing w:line="240" w:lineRule="auto"/>
                    <w:ind w:firstLine="0" w:firstLineChars="0"/>
                    <w:jc w:val="center"/>
                  </w:pPr>
                  <w:r>
                    <w:t>拟建项目排放量</w:t>
                  </w:r>
                </w:p>
              </w:tc>
              <w:tc>
                <w:tcPr>
                  <w:tcW w:w="616" w:type="pct"/>
                  <w:noWrap w:val="0"/>
                  <w:vAlign w:val="center"/>
                </w:tcPr>
                <w:p>
                  <w:pPr>
                    <w:adjustRightInd w:val="0"/>
                    <w:snapToGrid w:val="0"/>
                    <w:spacing w:line="240" w:lineRule="auto"/>
                    <w:ind w:firstLine="0" w:firstLineChars="0"/>
                    <w:jc w:val="center"/>
                  </w:pPr>
                  <w:r>
                    <w:t>“以新带老”削减量</w:t>
                  </w:r>
                </w:p>
              </w:tc>
              <w:tc>
                <w:tcPr>
                  <w:tcW w:w="831" w:type="pct"/>
                  <w:noWrap w:val="0"/>
                  <w:vAlign w:val="center"/>
                </w:tcPr>
                <w:p>
                  <w:pPr>
                    <w:adjustRightInd w:val="0"/>
                    <w:snapToGrid w:val="0"/>
                    <w:spacing w:line="240" w:lineRule="auto"/>
                    <w:ind w:firstLine="0" w:firstLineChars="0"/>
                    <w:jc w:val="center"/>
                  </w:pPr>
                  <w:r>
                    <w:t>改建完成后排放总量</w:t>
                  </w:r>
                </w:p>
              </w:tc>
              <w:tc>
                <w:tcPr>
                  <w:tcW w:w="655" w:type="pct"/>
                  <w:noWrap w:val="0"/>
                  <w:vAlign w:val="center"/>
                </w:tcPr>
                <w:p>
                  <w:pPr>
                    <w:adjustRightInd w:val="0"/>
                    <w:snapToGrid w:val="0"/>
                    <w:spacing w:line="240" w:lineRule="auto"/>
                    <w:ind w:firstLine="0" w:firstLineChars="0"/>
                    <w:jc w:val="center"/>
                  </w:pPr>
                  <w:r>
                    <w:t>增减量变化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adjustRightInd w:val="0"/>
                    <w:snapToGrid w:val="0"/>
                    <w:spacing w:line="240" w:lineRule="auto"/>
                    <w:ind w:firstLine="0" w:firstLineChars="0"/>
                    <w:jc w:val="center"/>
                  </w:pPr>
                  <w:r>
                    <w:t>废气</w:t>
                  </w:r>
                </w:p>
              </w:tc>
              <w:tc>
                <w:tcPr>
                  <w:tcW w:w="661" w:type="pct"/>
                  <w:noWrap w:val="0"/>
                  <w:vAlign w:val="center"/>
                </w:tcPr>
                <w:p>
                  <w:pPr>
                    <w:spacing w:line="240" w:lineRule="auto"/>
                    <w:ind w:firstLine="0" w:firstLineChars="0"/>
                    <w:jc w:val="center"/>
                  </w:pPr>
                  <w:r>
                    <w:t>加油、卸油、储油罐</w:t>
                  </w:r>
                </w:p>
              </w:tc>
              <w:tc>
                <w:tcPr>
                  <w:tcW w:w="798" w:type="pct"/>
                  <w:noWrap w:val="0"/>
                  <w:vAlign w:val="center"/>
                </w:tcPr>
                <w:p>
                  <w:pPr>
                    <w:adjustRightInd w:val="0"/>
                    <w:snapToGrid w:val="0"/>
                    <w:spacing w:line="240" w:lineRule="auto"/>
                    <w:ind w:firstLine="0" w:firstLineChars="0"/>
                    <w:jc w:val="center"/>
                  </w:pPr>
                  <w:r>
                    <w:t>非甲烷总烃（</w:t>
                  </w:r>
                  <w:r>
                    <w:rPr>
                      <w:rFonts w:hint="eastAsia"/>
                    </w:rPr>
                    <w:t>t</w:t>
                  </w:r>
                  <w:r>
                    <w:t>/a）</w:t>
                  </w:r>
                </w:p>
              </w:tc>
              <w:tc>
                <w:tcPr>
                  <w:tcW w:w="616" w:type="pct"/>
                  <w:noWrap w:val="0"/>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0.758</w:t>
                  </w:r>
                </w:p>
              </w:tc>
              <w:tc>
                <w:tcPr>
                  <w:tcW w:w="583" w:type="pct"/>
                  <w:noWrap w:val="0"/>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0.758</w:t>
                  </w:r>
                </w:p>
              </w:tc>
              <w:tc>
                <w:tcPr>
                  <w:tcW w:w="616" w:type="pct"/>
                  <w:noWrap w:val="0"/>
                  <w:vAlign w:val="center"/>
                </w:tcPr>
                <w:p>
                  <w:pPr>
                    <w:adjustRightInd w:val="0"/>
                    <w:snapToGrid w:val="0"/>
                    <w:spacing w:line="240" w:lineRule="auto"/>
                    <w:ind w:firstLine="0" w:firstLineChars="0"/>
                    <w:jc w:val="center"/>
                  </w:pPr>
                  <w:r>
                    <w:rPr>
                      <w:rFonts w:hint="eastAsia"/>
                    </w:rPr>
                    <w:t>/</w:t>
                  </w:r>
                </w:p>
              </w:tc>
              <w:tc>
                <w:tcPr>
                  <w:tcW w:w="831" w:type="pct"/>
                  <w:noWrap w:val="0"/>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0.758</w:t>
                  </w:r>
                </w:p>
              </w:tc>
              <w:tc>
                <w:tcPr>
                  <w:tcW w:w="655" w:type="pct"/>
                  <w:noWrap w:val="0"/>
                  <w:vAlign w:val="center"/>
                </w:tcPr>
                <w:p>
                  <w:pPr>
                    <w:adjustRightInd w:val="0"/>
                    <w:snapToGrid w:val="0"/>
                    <w:spacing w:line="240" w:lineRule="auto"/>
                    <w:ind w:firstLine="0" w:firstLineChars="0"/>
                    <w:jc w:val="center"/>
                    <w:rPr>
                      <w:rFonts w:hint="eastAsia"/>
                      <w:lang w:eastAsia="zh-CN"/>
                    </w:rPr>
                  </w:pPr>
                  <w:r>
                    <w:rPr>
                      <w:rFonts w:hint="eastAsia"/>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restart"/>
                  <w:noWrap w:val="0"/>
                  <w:vAlign w:val="center"/>
                </w:tcPr>
                <w:p>
                  <w:pPr>
                    <w:adjustRightInd w:val="0"/>
                    <w:snapToGrid w:val="0"/>
                    <w:spacing w:line="240" w:lineRule="auto"/>
                    <w:ind w:firstLine="0" w:firstLineChars="0"/>
                    <w:jc w:val="center"/>
                  </w:pPr>
                  <w:r>
                    <w:t>废水</w:t>
                  </w:r>
                </w:p>
              </w:tc>
              <w:tc>
                <w:tcPr>
                  <w:tcW w:w="661" w:type="pct"/>
                  <w:vMerge w:val="restart"/>
                  <w:noWrap w:val="0"/>
                  <w:vAlign w:val="center"/>
                </w:tcPr>
                <w:p>
                  <w:pPr>
                    <w:adjustRightInd w:val="0"/>
                    <w:snapToGrid w:val="0"/>
                    <w:spacing w:line="240" w:lineRule="auto"/>
                    <w:ind w:firstLine="0" w:firstLineChars="0"/>
                    <w:jc w:val="center"/>
                  </w:pPr>
                  <w:r>
                    <w:t>生活污水</w:t>
                  </w:r>
                </w:p>
              </w:tc>
              <w:tc>
                <w:tcPr>
                  <w:tcW w:w="798" w:type="pct"/>
                  <w:noWrap w:val="0"/>
                  <w:vAlign w:val="center"/>
                </w:tcPr>
                <w:p>
                  <w:pPr>
                    <w:adjustRightInd w:val="0"/>
                    <w:snapToGrid w:val="0"/>
                    <w:spacing w:line="240" w:lineRule="auto"/>
                    <w:ind w:firstLine="0" w:firstLineChars="0"/>
                    <w:jc w:val="center"/>
                  </w:pPr>
                  <w:r>
                    <w:t>废水量（t/a）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COD（t/a）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BOD5（t/a）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SS（t/a）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pacing w:line="320" w:lineRule="exact"/>
                    <w:ind w:firstLine="0" w:firstLineChars="0"/>
                    <w:jc w:val="center"/>
                  </w:pPr>
                  <w:r>
                    <w:t>氨氮（t/a）</w:t>
                  </w:r>
                </w:p>
              </w:tc>
              <w:tc>
                <w:tcPr>
                  <w:tcW w:w="616" w:type="pct"/>
                  <w:noWrap w:val="0"/>
                  <w:vAlign w:val="center"/>
                </w:tcPr>
                <w:p>
                  <w:pPr>
                    <w:spacing w:line="240" w:lineRule="auto"/>
                    <w:ind w:firstLine="0" w:firstLineChars="0"/>
                    <w:jc w:val="center"/>
                  </w:pPr>
                  <w:r>
                    <w:rPr>
                      <w:rFonts w:hint="eastAsia"/>
                    </w:rPr>
                    <w:t>0</w:t>
                  </w:r>
                </w:p>
              </w:tc>
              <w:tc>
                <w:tcPr>
                  <w:tcW w:w="583" w:type="pct"/>
                  <w:noWrap w:val="0"/>
                  <w:vAlign w:val="center"/>
                </w:tcPr>
                <w:p>
                  <w:pPr>
                    <w:spacing w:line="240" w:lineRule="auto"/>
                    <w:ind w:firstLine="0" w:firstLineChars="0"/>
                    <w:jc w:val="center"/>
                  </w:pPr>
                  <w:r>
                    <w:rPr>
                      <w:rFonts w:hint="eastAsia"/>
                    </w:rPr>
                    <w:t>0</w:t>
                  </w:r>
                </w:p>
              </w:tc>
              <w:tc>
                <w:tcPr>
                  <w:tcW w:w="616" w:type="pct"/>
                  <w:noWrap w:val="0"/>
                  <w:vAlign w:val="center"/>
                </w:tcPr>
                <w:p>
                  <w:pPr>
                    <w:spacing w:line="240" w:lineRule="auto"/>
                    <w:ind w:firstLine="0" w:firstLineChars="0"/>
                    <w:jc w:val="center"/>
                  </w:pPr>
                  <w:r>
                    <w:rPr>
                      <w:rFonts w:hint="eastAsia"/>
                    </w:rPr>
                    <w:t>0</w:t>
                  </w:r>
                </w:p>
              </w:tc>
              <w:tc>
                <w:tcPr>
                  <w:tcW w:w="831" w:type="pct"/>
                  <w:noWrap w:val="0"/>
                  <w:vAlign w:val="center"/>
                </w:tcPr>
                <w:p>
                  <w:pPr>
                    <w:spacing w:line="240" w:lineRule="auto"/>
                    <w:ind w:firstLine="0" w:firstLineChars="0"/>
                    <w:jc w:val="center"/>
                  </w:pPr>
                  <w:r>
                    <w:rPr>
                      <w:rFonts w:hint="eastAsia"/>
                    </w:rP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vMerge w:val="continue"/>
                  <w:noWrap w:val="0"/>
                  <w:vAlign w:val="center"/>
                </w:tcPr>
                <w:p>
                  <w:pPr>
                    <w:adjustRightInd w:val="0"/>
                    <w:snapToGrid w:val="0"/>
                    <w:spacing w:line="240" w:lineRule="auto"/>
                    <w:ind w:firstLine="0" w:firstLineChars="0"/>
                    <w:jc w:val="center"/>
                  </w:pPr>
                </w:p>
              </w:tc>
              <w:tc>
                <w:tcPr>
                  <w:tcW w:w="661" w:type="pct"/>
                  <w:vMerge w:val="continue"/>
                  <w:noWrap w:val="0"/>
                  <w:vAlign w:val="center"/>
                </w:tcPr>
                <w:p>
                  <w:pPr>
                    <w:adjustRightInd w:val="0"/>
                    <w:snapToGrid w:val="0"/>
                    <w:spacing w:line="240" w:lineRule="auto"/>
                    <w:ind w:firstLine="0" w:firstLineChars="0"/>
                    <w:jc w:val="center"/>
                  </w:pPr>
                </w:p>
              </w:tc>
              <w:tc>
                <w:tcPr>
                  <w:tcW w:w="798" w:type="pct"/>
                  <w:noWrap w:val="0"/>
                  <w:vAlign w:val="center"/>
                </w:tcPr>
                <w:p>
                  <w:pPr>
                    <w:adjustRightInd w:val="0"/>
                    <w:snapToGrid w:val="0"/>
                    <w:spacing w:line="240" w:lineRule="auto"/>
                    <w:ind w:firstLine="0" w:firstLineChars="0"/>
                    <w:jc w:val="center"/>
                  </w:pPr>
                  <w:r>
                    <w:t>石油类（t/a）</w:t>
                  </w:r>
                </w:p>
              </w:tc>
              <w:tc>
                <w:tcPr>
                  <w:tcW w:w="616" w:type="pct"/>
                  <w:noWrap w:val="0"/>
                  <w:vAlign w:val="center"/>
                </w:tcPr>
                <w:p>
                  <w:pPr>
                    <w:spacing w:line="240" w:lineRule="auto"/>
                    <w:ind w:firstLine="0" w:firstLineChars="0"/>
                    <w:jc w:val="center"/>
                  </w:pPr>
                  <w:r>
                    <w:t>0</w:t>
                  </w:r>
                </w:p>
              </w:tc>
              <w:tc>
                <w:tcPr>
                  <w:tcW w:w="583" w:type="pct"/>
                  <w:noWrap w:val="0"/>
                  <w:vAlign w:val="center"/>
                </w:tcPr>
                <w:p>
                  <w:pPr>
                    <w:spacing w:line="240" w:lineRule="auto"/>
                    <w:ind w:firstLine="0" w:firstLineChars="0"/>
                    <w:jc w:val="center"/>
                  </w:pPr>
                  <w:r>
                    <w:t>0</w:t>
                  </w:r>
                </w:p>
              </w:tc>
              <w:tc>
                <w:tcPr>
                  <w:tcW w:w="616" w:type="pct"/>
                  <w:noWrap w:val="0"/>
                  <w:vAlign w:val="center"/>
                </w:tcPr>
                <w:p>
                  <w:pPr>
                    <w:spacing w:line="240" w:lineRule="auto"/>
                    <w:ind w:firstLine="0" w:firstLineChars="0"/>
                    <w:jc w:val="center"/>
                  </w:pPr>
                  <w:r>
                    <w:t>0</w:t>
                  </w:r>
                </w:p>
              </w:tc>
              <w:tc>
                <w:tcPr>
                  <w:tcW w:w="831" w:type="pct"/>
                  <w:noWrap w:val="0"/>
                  <w:vAlign w:val="center"/>
                </w:tcPr>
                <w:p>
                  <w:pPr>
                    <w:spacing w:line="240" w:lineRule="auto"/>
                    <w:ind w:firstLine="0" w:firstLineChars="0"/>
                    <w:jc w:val="center"/>
                  </w:pPr>
                  <w:r>
                    <w:t>0</w:t>
                  </w:r>
                </w:p>
              </w:tc>
              <w:tc>
                <w:tcPr>
                  <w:tcW w:w="655" w:type="pct"/>
                  <w:noWrap w:val="0"/>
                  <w:vAlign w:val="center"/>
                </w:tcPr>
                <w:p>
                  <w:pPr>
                    <w:spacing w:line="240" w:lineRule="auto"/>
                    <w:ind w:firstLine="0" w:firstLineChars="0"/>
                    <w:jc w:val="center"/>
                  </w:pPr>
                  <w:r>
                    <w:rPr>
                      <w:rFonts w:hint="eastAsi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adjustRightInd w:val="0"/>
                    <w:snapToGrid w:val="0"/>
                    <w:spacing w:line="240" w:lineRule="auto"/>
                    <w:ind w:firstLine="0" w:firstLineChars="0"/>
                    <w:jc w:val="center"/>
                  </w:pPr>
                  <w:r>
                    <w:t>固</w:t>
                  </w:r>
                </w:p>
                <w:p>
                  <w:pPr>
                    <w:adjustRightInd w:val="0"/>
                    <w:snapToGrid w:val="0"/>
                    <w:spacing w:line="240" w:lineRule="auto"/>
                    <w:ind w:firstLine="0" w:firstLineChars="0"/>
                    <w:jc w:val="center"/>
                  </w:pPr>
                  <w:r>
                    <w:t>废</w:t>
                  </w:r>
                </w:p>
              </w:tc>
              <w:tc>
                <w:tcPr>
                  <w:tcW w:w="661" w:type="pct"/>
                  <w:noWrap w:val="0"/>
                  <w:vAlign w:val="center"/>
                </w:tcPr>
                <w:p>
                  <w:pPr>
                    <w:adjustRightInd w:val="0"/>
                    <w:snapToGrid w:val="0"/>
                    <w:spacing w:line="240" w:lineRule="auto"/>
                    <w:ind w:firstLine="0" w:firstLineChars="0"/>
                    <w:jc w:val="center"/>
                  </w:pPr>
                  <w:r>
                    <w:t>生活垃圾</w:t>
                  </w:r>
                </w:p>
              </w:tc>
              <w:tc>
                <w:tcPr>
                  <w:tcW w:w="798" w:type="pct"/>
                  <w:noWrap w:val="0"/>
                  <w:vAlign w:val="center"/>
                </w:tcPr>
                <w:p>
                  <w:pPr>
                    <w:adjustRightInd w:val="0"/>
                    <w:snapToGrid w:val="0"/>
                    <w:spacing w:line="240" w:lineRule="auto"/>
                    <w:ind w:firstLine="0" w:firstLineChars="0"/>
                    <w:jc w:val="center"/>
                  </w:pPr>
                  <w:r>
                    <w:t>果品、纸屑（t/a）</w:t>
                  </w:r>
                </w:p>
              </w:tc>
              <w:tc>
                <w:tcPr>
                  <w:tcW w:w="616" w:type="pct"/>
                  <w:noWrap w:val="0"/>
                  <w:vAlign w:val="center"/>
                </w:tcPr>
                <w:p>
                  <w:pPr>
                    <w:spacing w:line="240" w:lineRule="auto"/>
                    <w:ind w:firstLine="0" w:firstLineChars="0"/>
                    <w:jc w:val="center"/>
                  </w:pPr>
                  <w:r>
                    <w:t>0</w:t>
                  </w:r>
                </w:p>
              </w:tc>
              <w:tc>
                <w:tcPr>
                  <w:tcW w:w="583" w:type="pct"/>
                  <w:noWrap w:val="0"/>
                  <w:vAlign w:val="center"/>
                </w:tcPr>
                <w:p>
                  <w:pPr>
                    <w:spacing w:line="240" w:lineRule="auto"/>
                    <w:ind w:firstLine="0" w:firstLineChars="0"/>
                    <w:jc w:val="center"/>
                  </w:pPr>
                  <w:r>
                    <w:t>0</w:t>
                  </w:r>
                </w:p>
              </w:tc>
              <w:tc>
                <w:tcPr>
                  <w:tcW w:w="616" w:type="pct"/>
                  <w:noWrap w:val="0"/>
                  <w:vAlign w:val="center"/>
                </w:tcPr>
                <w:p>
                  <w:pPr>
                    <w:spacing w:line="240" w:lineRule="auto"/>
                    <w:ind w:firstLine="0" w:firstLineChars="0"/>
                    <w:jc w:val="center"/>
                  </w:pPr>
                  <w:r>
                    <w:t>0</w:t>
                  </w:r>
                </w:p>
              </w:tc>
              <w:tc>
                <w:tcPr>
                  <w:tcW w:w="831" w:type="pct"/>
                  <w:noWrap w:val="0"/>
                  <w:vAlign w:val="center"/>
                </w:tcPr>
                <w:p>
                  <w:pPr>
                    <w:spacing w:line="240" w:lineRule="auto"/>
                    <w:ind w:firstLine="0" w:firstLineChars="0"/>
                    <w:jc w:val="center"/>
                  </w:pPr>
                  <w:r>
                    <w:t>0</w:t>
                  </w:r>
                </w:p>
              </w:tc>
              <w:tc>
                <w:tcPr>
                  <w:tcW w:w="655" w:type="pct"/>
                  <w:noWrap w:val="0"/>
                  <w:vAlign w:val="center"/>
                </w:tcPr>
                <w:p>
                  <w:pPr>
                    <w:spacing w:line="240" w:lineRule="auto"/>
                    <w:ind w:firstLine="0" w:firstLineChars="0"/>
                    <w:jc w:val="center"/>
                  </w:pP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7" w:type="pct"/>
                  <w:noWrap w:val="0"/>
                  <w:vAlign w:val="center"/>
                </w:tcPr>
                <w:p>
                  <w:pPr>
                    <w:adjustRightInd w:val="0"/>
                    <w:snapToGrid w:val="0"/>
                    <w:spacing w:line="240" w:lineRule="auto"/>
                    <w:ind w:firstLine="0" w:firstLineChars="0"/>
                    <w:jc w:val="center"/>
                  </w:pPr>
                  <w:r>
                    <w:t>危险废物</w:t>
                  </w:r>
                </w:p>
              </w:tc>
              <w:tc>
                <w:tcPr>
                  <w:tcW w:w="661" w:type="pct"/>
                  <w:noWrap w:val="0"/>
                  <w:vAlign w:val="center"/>
                </w:tcPr>
                <w:p>
                  <w:pPr>
                    <w:adjustRightInd w:val="0"/>
                    <w:snapToGrid w:val="0"/>
                    <w:spacing w:line="240" w:lineRule="auto"/>
                    <w:ind w:firstLine="0" w:firstLineChars="0"/>
                    <w:jc w:val="center"/>
                  </w:pPr>
                  <w:r>
                    <w:t>加油机、储油罐</w:t>
                  </w:r>
                </w:p>
              </w:tc>
              <w:tc>
                <w:tcPr>
                  <w:tcW w:w="798" w:type="pct"/>
                  <w:noWrap w:val="0"/>
                  <w:vAlign w:val="center"/>
                </w:tcPr>
                <w:p>
                  <w:pPr>
                    <w:adjustRightInd w:val="0"/>
                    <w:snapToGrid w:val="0"/>
                    <w:spacing w:line="240" w:lineRule="auto"/>
                    <w:ind w:firstLine="0" w:firstLineChars="0"/>
                    <w:jc w:val="center"/>
                  </w:pPr>
                  <w:r>
                    <w:rPr>
                      <w:rFonts w:hint="eastAsia"/>
                    </w:rPr>
                    <w:t>清洗废水</w:t>
                  </w:r>
                  <w:r>
                    <w:t>、油泥、（t/a）</w:t>
                  </w:r>
                </w:p>
              </w:tc>
              <w:tc>
                <w:tcPr>
                  <w:tcW w:w="616" w:type="pct"/>
                  <w:noWrap w:val="0"/>
                  <w:vAlign w:val="center"/>
                </w:tcPr>
                <w:p>
                  <w:pPr>
                    <w:spacing w:line="240" w:lineRule="auto"/>
                    <w:ind w:firstLine="0" w:firstLineChars="0"/>
                    <w:jc w:val="center"/>
                  </w:pPr>
                  <w:r>
                    <w:t>0</w:t>
                  </w:r>
                </w:p>
              </w:tc>
              <w:tc>
                <w:tcPr>
                  <w:tcW w:w="583" w:type="pct"/>
                  <w:noWrap w:val="0"/>
                  <w:vAlign w:val="center"/>
                </w:tcPr>
                <w:p>
                  <w:pPr>
                    <w:spacing w:line="240" w:lineRule="auto"/>
                    <w:ind w:firstLine="0" w:firstLineChars="0"/>
                    <w:jc w:val="center"/>
                  </w:pPr>
                  <w:r>
                    <w:t>0</w:t>
                  </w:r>
                </w:p>
              </w:tc>
              <w:tc>
                <w:tcPr>
                  <w:tcW w:w="616" w:type="pct"/>
                  <w:noWrap w:val="0"/>
                  <w:vAlign w:val="center"/>
                </w:tcPr>
                <w:p>
                  <w:pPr>
                    <w:spacing w:line="240" w:lineRule="auto"/>
                    <w:ind w:firstLine="0" w:firstLineChars="0"/>
                    <w:jc w:val="center"/>
                  </w:pPr>
                  <w:r>
                    <w:t>0</w:t>
                  </w:r>
                </w:p>
              </w:tc>
              <w:tc>
                <w:tcPr>
                  <w:tcW w:w="831" w:type="pct"/>
                  <w:noWrap w:val="0"/>
                  <w:vAlign w:val="center"/>
                </w:tcPr>
                <w:p>
                  <w:pPr>
                    <w:spacing w:line="240" w:lineRule="auto"/>
                    <w:ind w:firstLine="0" w:firstLineChars="0"/>
                    <w:jc w:val="center"/>
                  </w:pPr>
                  <w:r>
                    <w:t>0</w:t>
                  </w:r>
                </w:p>
              </w:tc>
              <w:tc>
                <w:tcPr>
                  <w:tcW w:w="655" w:type="pct"/>
                  <w:noWrap w:val="0"/>
                  <w:vAlign w:val="center"/>
                </w:tcPr>
                <w:p>
                  <w:pPr>
                    <w:spacing w:line="240" w:lineRule="auto"/>
                    <w:ind w:firstLine="0" w:firstLineChars="0"/>
                    <w:jc w:val="center"/>
                  </w:pPr>
                  <w:r>
                    <w:t>0</w:t>
                  </w:r>
                </w:p>
              </w:tc>
            </w:tr>
            <w:bookmarkEnd w:id="26"/>
          </w:tbl>
          <w:p>
            <w:pPr>
              <w:adjustRightInd w:val="0"/>
              <w:snapToGrid w:val="0"/>
              <w:spacing w:line="500" w:lineRule="exact"/>
              <w:ind w:firstLine="0" w:firstLineChars="0"/>
              <w:rPr>
                <w:rFonts w:hint="default"/>
              </w:rPr>
            </w:pPr>
            <w:r>
              <w:rPr>
                <w:rFonts w:hint="eastAsia"/>
                <w:lang w:val="en-US" w:eastAsia="zh-CN"/>
              </w:rPr>
              <w:t>7</w:t>
            </w:r>
            <w:r>
              <w:rPr>
                <w:rFonts w:hint="default"/>
              </w:rPr>
              <w:t>、环保投资</w:t>
            </w:r>
          </w:p>
          <w:p>
            <w:pPr>
              <w:adjustRightInd w:val="0"/>
              <w:snapToGrid w:val="0"/>
              <w:spacing w:line="500" w:lineRule="exact"/>
              <w:ind w:firstLine="480" w:firstLineChars="200"/>
              <w:rPr>
                <w:rFonts w:hint="eastAsia"/>
                <w:lang w:eastAsia="zh-CN"/>
              </w:rPr>
            </w:pPr>
            <w:r>
              <w:rPr>
                <w:rFonts w:hint="default"/>
              </w:rPr>
              <w:t>本项目</w:t>
            </w:r>
            <w:r>
              <w:rPr>
                <w:rFonts w:hint="eastAsia"/>
                <w:lang w:eastAsia="zh-CN"/>
              </w:rPr>
              <w:t>总投资</w:t>
            </w:r>
            <w:r>
              <w:rPr>
                <w:rFonts w:hint="eastAsia"/>
                <w:lang w:val="en-US" w:eastAsia="zh-CN"/>
              </w:rPr>
              <w:t>110万元，</w:t>
            </w:r>
            <w:r>
              <w:rPr>
                <w:rFonts w:hint="default"/>
              </w:rPr>
              <w:t>环保投资估算约为</w:t>
            </w:r>
            <w:r>
              <w:rPr>
                <w:rFonts w:hint="eastAsia"/>
                <w:lang w:val="en-US" w:eastAsia="zh-CN"/>
              </w:rPr>
              <w:t>63</w:t>
            </w:r>
            <w:r>
              <w:rPr>
                <w:rFonts w:hint="default"/>
              </w:rPr>
              <w:t>万元，占总投资的</w:t>
            </w:r>
            <w:r>
              <w:rPr>
                <w:rFonts w:hint="eastAsia"/>
                <w:lang w:val="en-US" w:eastAsia="zh-CN"/>
              </w:rPr>
              <w:t>52.5%</w:t>
            </w:r>
            <w:r>
              <w:rPr>
                <w:rFonts w:hint="default"/>
              </w:rPr>
              <w:t>，其环保投资详见表</w:t>
            </w:r>
            <w:r>
              <w:rPr>
                <w:rFonts w:hint="eastAsia"/>
                <w:lang w:val="en-US" w:eastAsia="zh-CN"/>
              </w:rPr>
              <w:t>30</w:t>
            </w:r>
            <w:r>
              <w:rPr>
                <w:rFonts w:hint="eastAsia"/>
                <w:lang w:eastAsia="zh-CN"/>
              </w:rPr>
              <w:t>。</w:t>
            </w: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default"/>
                <w:lang w:val="en-US" w:eastAsia="zh-CN"/>
              </w:rPr>
            </w:pPr>
            <w:r>
              <w:rPr>
                <w:rFonts w:hint="eastAsia"/>
                <w:b/>
                <w:bCs/>
                <w:lang w:val="en-US" w:eastAsia="zh-CN"/>
              </w:rPr>
              <w:t xml:space="preserve">表39   </w:t>
            </w:r>
            <w:r>
              <w:rPr>
                <w:rFonts w:hint="default"/>
                <w:b/>
                <w:bCs/>
                <w:lang w:val="en-US" w:eastAsia="zh-CN"/>
              </w:rPr>
              <w:t>环保投资概况一览表</w:t>
            </w:r>
          </w:p>
          <w:tbl>
            <w:tblPr>
              <w:tblStyle w:val="20"/>
              <w:tblW w:w="8210"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1689"/>
              <w:gridCol w:w="1434"/>
              <w:gridCol w:w="1876"/>
              <w:gridCol w:w="1428"/>
              <w:gridCol w:w="1783"/>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tcBorders>
                    <w:top w:val="single" w:color="auto" w:sz="8" w:space="0"/>
                    <w:left w:val="single" w:color="auto" w:sz="0" w:space="0"/>
                  </w:tcBorders>
                  <w:vAlign w:val="center"/>
                </w:tcPr>
                <w:p>
                  <w:pPr>
                    <w:adjustRightInd w:val="0"/>
                    <w:snapToGrid w:val="0"/>
                    <w:spacing w:line="240" w:lineRule="auto"/>
                    <w:ind w:firstLine="0" w:firstLineChars="0"/>
                    <w:jc w:val="center"/>
                  </w:pPr>
                  <w:r>
                    <w:t>项目</w:t>
                  </w:r>
                </w:p>
              </w:tc>
              <w:tc>
                <w:tcPr>
                  <w:tcW w:w="1434" w:type="dxa"/>
                  <w:tcBorders>
                    <w:top w:val="single" w:color="auto" w:sz="8" w:space="0"/>
                  </w:tcBorders>
                  <w:vAlign w:val="center"/>
                </w:tcPr>
                <w:p>
                  <w:pPr>
                    <w:adjustRightInd w:val="0"/>
                    <w:snapToGrid w:val="0"/>
                    <w:spacing w:line="240" w:lineRule="auto"/>
                    <w:ind w:firstLine="0" w:firstLineChars="0"/>
                    <w:jc w:val="center"/>
                  </w:pPr>
                  <w:r>
                    <w:rPr>
                      <w:rFonts w:hint="eastAsia"/>
                    </w:rPr>
                    <w:t>污染源</w:t>
                  </w:r>
                </w:p>
              </w:tc>
              <w:tc>
                <w:tcPr>
                  <w:tcW w:w="1876" w:type="dxa"/>
                  <w:tcBorders>
                    <w:top w:val="single" w:color="auto" w:sz="8" w:space="0"/>
                  </w:tcBorders>
                  <w:vAlign w:val="center"/>
                </w:tcPr>
                <w:p>
                  <w:pPr>
                    <w:adjustRightInd w:val="0"/>
                    <w:snapToGrid w:val="0"/>
                    <w:spacing w:line="240" w:lineRule="auto"/>
                    <w:ind w:firstLine="0" w:firstLineChars="0"/>
                    <w:jc w:val="center"/>
                  </w:pPr>
                  <w:r>
                    <w:t>环保</w:t>
                  </w:r>
                  <w:r>
                    <w:rPr>
                      <w:rFonts w:hint="eastAsia"/>
                    </w:rPr>
                    <w:t>设施</w:t>
                  </w:r>
                  <w:r>
                    <w:t>名称</w:t>
                  </w:r>
                </w:p>
              </w:tc>
              <w:tc>
                <w:tcPr>
                  <w:tcW w:w="1428" w:type="dxa"/>
                  <w:tcBorders>
                    <w:top w:val="single" w:color="auto" w:sz="8" w:space="0"/>
                  </w:tcBorders>
                  <w:vAlign w:val="center"/>
                </w:tcPr>
                <w:p>
                  <w:pPr>
                    <w:adjustRightInd w:val="0"/>
                    <w:snapToGrid w:val="0"/>
                    <w:spacing w:line="240" w:lineRule="auto"/>
                    <w:ind w:firstLine="0" w:firstLineChars="0"/>
                    <w:jc w:val="center"/>
                  </w:pPr>
                  <w:r>
                    <w:rPr>
                      <w:rFonts w:hint="eastAsia"/>
                    </w:rPr>
                    <w:t>数量</w:t>
                  </w:r>
                </w:p>
              </w:tc>
              <w:tc>
                <w:tcPr>
                  <w:tcW w:w="1783" w:type="dxa"/>
                  <w:tcBorders>
                    <w:top w:val="single" w:color="auto" w:sz="8" w:space="0"/>
                    <w:right w:val="single" w:color="auto" w:sz="8" w:space="0"/>
                  </w:tcBorders>
                  <w:vAlign w:val="center"/>
                </w:tcPr>
                <w:p>
                  <w:pPr>
                    <w:adjustRightInd w:val="0"/>
                    <w:snapToGrid w:val="0"/>
                    <w:spacing w:line="240" w:lineRule="auto"/>
                    <w:ind w:firstLine="0" w:firstLineChars="0"/>
                    <w:jc w:val="center"/>
                  </w:pPr>
                  <w:r>
                    <w:t>投资额(万元)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restart"/>
                  <w:tcBorders>
                    <w:left w:val="single" w:color="auto" w:sz="4" w:space="0"/>
                  </w:tcBorders>
                  <w:vAlign w:val="center"/>
                </w:tcPr>
                <w:p>
                  <w:pPr>
                    <w:adjustRightInd w:val="0"/>
                    <w:snapToGrid w:val="0"/>
                    <w:spacing w:line="240" w:lineRule="auto"/>
                    <w:ind w:firstLine="0" w:firstLineChars="0"/>
                    <w:jc w:val="center"/>
                  </w:pPr>
                  <w:r>
                    <w:rPr>
                      <w:rFonts w:hint="eastAsia"/>
                    </w:rPr>
                    <w:t>废气治理</w:t>
                  </w:r>
                </w:p>
              </w:tc>
              <w:tc>
                <w:tcPr>
                  <w:tcW w:w="1434" w:type="dxa"/>
                  <w:vAlign w:val="center"/>
                </w:tcPr>
                <w:p>
                  <w:pPr>
                    <w:adjustRightInd w:val="0"/>
                    <w:snapToGrid w:val="0"/>
                    <w:spacing w:line="240" w:lineRule="auto"/>
                    <w:ind w:firstLine="0" w:firstLineChars="0"/>
                    <w:jc w:val="center"/>
                  </w:pPr>
                  <w:r>
                    <w:rPr>
                      <w:rFonts w:hint="eastAsia"/>
                    </w:rPr>
                    <w:t>汽油储油罐</w:t>
                  </w:r>
                </w:p>
              </w:tc>
              <w:tc>
                <w:tcPr>
                  <w:tcW w:w="1876" w:type="dxa"/>
                  <w:vMerge w:val="restart"/>
                  <w:vAlign w:val="center"/>
                </w:tcPr>
                <w:p>
                  <w:pPr>
                    <w:adjustRightInd w:val="0"/>
                    <w:snapToGrid w:val="0"/>
                    <w:spacing w:line="240" w:lineRule="auto"/>
                    <w:ind w:firstLine="0" w:firstLineChars="0"/>
                    <w:jc w:val="center"/>
                    <w:rPr>
                      <w:rFonts w:hint="eastAsia"/>
                      <w:lang w:eastAsia="zh-CN"/>
                    </w:rPr>
                  </w:pPr>
                  <w:r>
                    <w:rPr>
                      <w:rFonts w:hint="eastAsia"/>
                      <w:lang w:eastAsia="zh-CN"/>
                    </w:rPr>
                    <w:t>汽油卸油箱、一次油气回收装置、加油机二级油气回收装置</w:t>
                  </w:r>
                </w:p>
              </w:tc>
              <w:tc>
                <w:tcPr>
                  <w:tcW w:w="1428" w:type="dxa"/>
                  <w:vMerge w:val="restart"/>
                  <w:vAlign w:val="center"/>
                </w:tcPr>
                <w:p>
                  <w:pPr>
                    <w:adjustRightInd w:val="0"/>
                    <w:snapToGrid w:val="0"/>
                    <w:spacing w:line="240" w:lineRule="auto"/>
                    <w:ind w:firstLine="0" w:firstLineChars="0"/>
                    <w:jc w:val="center"/>
                    <w:rPr>
                      <w:rFonts w:hint="eastAsia"/>
                      <w:lang w:eastAsia="zh-CN"/>
                    </w:rPr>
                  </w:pPr>
                  <w:r>
                    <w:rPr>
                      <w:rFonts w:hint="eastAsia"/>
                      <w:lang w:val="en-US" w:eastAsia="zh-CN"/>
                    </w:rPr>
                    <w:t>/</w:t>
                  </w:r>
                </w:p>
              </w:tc>
              <w:tc>
                <w:tcPr>
                  <w:tcW w:w="1783" w:type="dxa"/>
                  <w:vMerge w:val="restart"/>
                  <w:tcBorders>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Align w:val="center"/>
                </w:tcPr>
                <w:p>
                  <w:pPr>
                    <w:adjustRightInd w:val="0"/>
                    <w:snapToGrid w:val="0"/>
                    <w:spacing w:line="240" w:lineRule="auto"/>
                    <w:ind w:firstLine="0" w:firstLineChars="0"/>
                    <w:jc w:val="center"/>
                  </w:pPr>
                  <w:r>
                    <w:rPr>
                      <w:rFonts w:hint="eastAsia"/>
                    </w:rPr>
                    <w:t>汽油枪</w:t>
                  </w:r>
                </w:p>
              </w:tc>
              <w:tc>
                <w:tcPr>
                  <w:tcW w:w="1876" w:type="dxa"/>
                  <w:vMerge w:val="continue"/>
                  <w:vAlign w:val="center"/>
                </w:tcPr>
                <w:p>
                  <w:pPr>
                    <w:adjustRightInd w:val="0"/>
                    <w:snapToGrid w:val="0"/>
                    <w:spacing w:line="240" w:lineRule="auto"/>
                    <w:ind w:firstLine="0" w:firstLineChars="0"/>
                    <w:jc w:val="center"/>
                  </w:pPr>
                </w:p>
              </w:tc>
              <w:tc>
                <w:tcPr>
                  <w:tcW w:w="1428" w:type="dxa"/>
                  <w:vMerge w:val="continue"/>
                  <w:vAlign w:val="center"/>
                </w:tcPr>
                <w:p>
                  <w:pPr>
                    <w:adjustRightInd w:val="0"/>
                    <w:snapToGrid w:val="0"/>
                    <w:spacing w:line="240" w:lineRule="auto"/>
                    <w:ind w:firstLine="0" w:firstLineChars="0"/>
                    <w:jc w:val="center"/>
                  </w:pP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restart"/>
                  <w:tcBorders>
                    <w:left w:val="single" w:color="auto" w:sz="4" w:space="0"/>
                  </w:tcBorders>
                  <w:vAlign w:val="center"/>
                </w:tcPr>
                <w:p>
                  <w:pPr>
                    <w:adjustRightInd w:val="0"/>
                    <w:snapToGrid w:val="0"/>
                    <w:spacing w:line="240" w:lineRule="auto"/>
                    <w:ind w:firstLine="0" w:firstLineChars="0"/>
                    <w:jc w:val="center"/>
                  </w:pPr>
                  <w:r>
                    <w:t>废水治理</w:t>
                  </w:r>
                </w:p>
              </w:tc>
              <w:tc>
                <w:tcPr>
                  <w:tcW w:w="1434" w:type="dxa"/>
                  <w:vMerge w:val="restart"/>
                  <w:vAlign w:val="center"/>
                </w:tcPr>
                <w:p>
                  <w:pPr>
                    <w:adjustRightInd w:val="0"/>
                    <w:snapToGrid w:val="0"/>
                    <w:spacing w:line="240" w:lineRule="auto"/>
                    <w:ind w:firstLine="0" w:firstLineChars="0"/>
                    <w:jc w:val="center"/>
                  </w:pPr>
                  <w:r>
                    <w:rPr>
                      <w:rFonts w:hint="eastAsia"/>
                    </w:rPr>
                    <w:t>站</w:t>
                  </w:r>
                  <w:r>
                    <w:t>区</w:t>
                  </w:r>
                </w:p>
              </w:tc>
              <w:tc>
                <w:tcPr>
                  <w:tcW w:w="1876" w:type="dxa"/>
                  <w:vAlign w:val="center"/>
                </w:tcPr>
                <w:p>
                  <w:pPr>
                    <w:adjustRightInd w:val="0"/>
                    <w:snapToGrid w:val="0"/>
                    <w:spacing w:line="240" w:lineRule="auto"/>
                    <w:ind w:firstLine="0" w:firstLineChars="0"/>
                    <w:jc w:val="center"/>
                  </w:pPr>
                  <w:r>
                    <w:rPr>
                      <w:rFonts w:hint="eastAsia"/>
                    </w:rPr>
                    <w:t>化粪池</w:t>
                  </w:r>
                </w:p>
              </w:tc>
              <w:tc>
                <w:tcPr>
                  <w:tcW w:w="1428" w:type="dxa"/>
                  <w:vAlign w:val="center"/>
                </w:tcPr>
                <w:p>
                  <w:pPr>
                    <w:adjustRightInd w:val="0"/>
                    <w:snapToGrid w:val="0"/>
                    <w:spacing w:line="240" w:lineRule="auto"/>
                    <w:ind w:firstLine="0" w:firstLineChars="0"/>
                    <w:jc w:val="center"/>
                  </w:pPr>
                  <w:r>
                    <w:t>1</w:t>
                  </w:r>
                  <w:r>
                    <w:rPr>
                      <w:rFonts w:hint="eastAsia"/>
                    </w:rPr>
                    <w:t>座</w:t>
                  </w:r>
                </w:p>
              </w:tc>
              <w:tc>
                <w:tcPr>
                  <w:tcW w:w="1783" w:type="dxa"/>
                  <w:vMerge w:val="restart"/>
                  <w:tcBorders>
                    <w:right w:val="single" w:color="auto" w:sz="8" w:space="0"/>
                  </w:tcBorders>
                  <w:vAlign w:val="center"/>
                </w:tcPr>
                <w:p>
                  <w:pPr>
                    <w:adjustRightInd w:val="0"/>
                    <w:snapToGrid w:val="0"/>
                    <w:spacing w:line="240" w:lineRule="auto"/>
                    <w:ind w:firstLine="0" w:firstLineChars="0"/>
                    <w:jc w:val="center"/>
                    <w:rPr>
                      <w:rFonts w:hint="eastAsia"/>
                      <w:lang w:val="en-US" w:eastAsia="zh-CN"/>
                    </w:rPr>
                  </w:pPr>
                  <w:r>
                    <w:rPr>
                      <w:rFonts w:hint="eastAsia"/>
                      <w:lang w:val="en-US" w:eastAsia="zh-CN"/>
                    </w:rPr>
                    <w:t>依托现有</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Merge w:val="continue"/>
                  <w:vAlign w:val="center"/>
                </w:tcPr>
                <w:p>
                  <w:pPr>
                    <w:adjustRightInd w:val="0"/>
                    <w:snapToGrid w:val="0"/>
                    <w:spacing w:line="240" w:lineRule="auto"/>
                    <w:ind w:firstLine="0" w:firstLineChars="0"/>
                    <w:jc w:val="center"/>
                    <w:rPr>
                      <w:rFonts w:hint="eastAsia"/>
                    </w:rPr>
                  </w:pPr>
                </w:p>
              </w:tc>
              <w:tc>
                <w:tcPr>
                  <w:tcW w:w="1876" w:type="dxa"/>
                  <w:vAlign w:val="center"/>
                </w:tcPr>
                <w:p>
                  <w:pPr>
                    <w:adjustRightInd w:val="0"/>
                    <w:snapToGrid w:val="0"/>
                    <w:spacing w:line="240" w:lineRule="auto"/>
                    <w:ind w:firstLine="0" w:firstLineChars="0"/>
                    <w:jc w:val="center"/>
                  </w:pPr>
                  <w:r>
                    <w:rPr>
                      <w:rFonts w:hint="eastAsia"/>
                      <w:lang w:val="en-US" w:eastAsia="zh-CN"/>
                    </w:rPr>
                    <w:t>生活污水处理站</w:t>
                  </w:r>
                </w:p>
              </w:tc>
              <w:tc>
                <w:tcPr>
                  <w:tcW w:w="1428" w:type="dxa"/>
                  <w:vAlign w:val="center"/>
                </w:tcPr>
                <w:p>
                  <w:pPr>
                    <w:adjustRightInd w:val="0"/>
                    <w:snapToGrid w:val="0"/>
                    <w:spacing w:line="240" w:lineRule="auto"/>
                    <w:ind w:firstLine="0" w:firstLineChars="0"/>
                    <w:jc w:val="center"/>
                    <w:rPr>
                      <w:rFonts w:hint="eastAsia"/>
                      <w:lang w:val="en-US" w:eastAsia="zh-CN"/>
                    </w:rPr>
                  </w:pPr>
                  <w:r>
                    <w:rPr>
                      <w:rFonts w:hint="eastAsia"/>
                      <w:lang w:val="en-US" w:eastAsia="zh-CN"/>
                    </w:rPr>
                    <w:t>1座</w:t>
                  </w: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rPr>
                      <w:rFonts w:hint="eastAsia"/>
                      <w:lang w:val="en-US" w:eastAsia="zh-CN"/>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tcBorders>
                    <w:left w:val="single" w:color="auto" w:sz="4" w:space="0"/>
                  </w:tcBorders>
                  <w:vAlign w:val="center"/>
                </w:tcPr>
                <w:p>
                  <w:pPr>
                    <w:adjustRightInd w:val="0"/>
                    <w:snapToGrid w:val="0"/>
                    <w:spacing w:line="240" w:lineRule="auto"/>
                    <w:ind w:firstLine="0" w:firstLineChars="0"/>
                    <w:jc w:val="center"/>
                  </w:pPr>
                  <w:r>
                    <w:rPr>
                      <w:rFonts w:hint="eastAsia"/>
                    </w:rPr>
                    <w:t>固废治理</w:t>
                  </w:r>
                </w:p>
              </w:tc>
              <w:tc>
                <w:tcPr>
                  <w:tcW w:w="1434" w:type="dxa"/>
                  <w:vAlign w:val="center"/>
                </w:tcPr>
                <w:p>
                  <w:pPr>
                    <w:adjustRightInd w:val="0"/>
                    <w:snapToGrid w:val="0"/>
                    <w:spacing w:line="240" w:lineRule="auto"/>
                    <w:ind w:firstLine="0" w:firstLineChars="0"/>
                    <w:jc w:val="center"/>
                    <w:rPr>
                      <w:rFonts w:hint="eastAsia"/>
                      <w:lang w:eastAsia="zh-CN"/>
                    </w:rPr>
                  </w:pPr>
                  <w:r>
                    <w:rPr>
                      <w:rFonts w:hint="eastAsia"/>
                      <w:lang w:eastAsia="zh-CN"/>
                    </w:rPr>
                    <w:t>生活垃圾</w:t>
                  </w:r>
                </w:p>
              </w:tc>
              <w:tc>
                <w:tcPr>
                  <w:tcW w:w="1876" w:type="dxa"/>
                  <w:vAlign w:val="center"/>
                </w:tcPr>
                <w:p>
                  <w:pPr>
                    <w:widowControl w:val="0"/>
                    <w:spacing w:before="168"/>
                    <w:jc w:val="center"/>
                    <w:rPr>
                      <w:rFonts w:hint="eastAsia"/>
                      <w:lang w:val="zh-CN" w:eastAsia="zh-CN"/>
                    </w:rPr>
                  </w:pPr>
                  <w:r>
                    <w:rPr>
                      <w:rFonts w:hint="eastAsia"/>
                      <w:lang w:val="zh-CN" w:eastAsia="zh-CN"/>
                    </w:rPr>
                    <w:t>垃圾收集箱</w:t>
                  </w:r>
                </w:p>
              </w:tc>
              <w:tc>
                <w:tcPr>
                  <w:tcW w:w="1428" w:type="dxa"/>
                  <w:vAlign w:val="center"/>
                </w:tcPr>
                <w:p>
                  <w:pPr>
                    <w:adjustRightInd w:val="0"/>
                    <w:snapToGrid w:val="0"/>
                    <w:spacing w:line="240" w:lineRule="auto"/>
                    <w:ind w:firstLine="0" w:firstLineChars="0"/>
                    <w:jc w:val="center"/>
                  </w:pPr>
                  <w:r>
                    <w:rPr>
                      <w:rFonts w:hint="eastAsia"/>
                    </w:rPr>
                    <w:t>/</w:t>
                  </w:r>
                </w:p>
              </w:tc>
              <w:tc>
                <w:tcPr>
                  <w:tcW w:w="1783" w:type="dxa"/>
                  <w:tcBorders>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1</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restart"/>
                  <w:tcBorders>
                    <w:left w:val="single" w:color="auto" w:sz="4" w:space="0"/>
                  </w:tcBorders>
                  <w:vAlign w:val="center"/>
                </w:tcPr>
                <w:p>
                  <w:pPr>
                    <w:adjustRightInd w:val="0"/>
                    <w:snapToGrid w:val="0"/>
                    <w:spacing w:line="240" w:lineRule="auto"/>
                    <w:ind w:firstLine="0" w:firstLineChars="0"/>
                    <w:jc w:val="center"/>
                  </w:pPr>
                  <w:r>
                    <w:rPr>
                      <w:rFonts w:hint="eastAsia"/>
                    </w:rPr>
                    <w:t>地下水保护</w:t>
                  </w:r>
                </w:p>
              </w:tc>
              <w:tc>
                <w:tcPr>
                  <w:tcW w:w="1434" w:type="dxa"/>
                  <w:vMerge w:val="restart"/>
                  <w:vAlign w:val="center"/>
                </w:tcPr>
                <w:p>
                  <w:pPr>
                    <w:adjustRightInd w:val="0"/>
                    <w:snapToGrid w:val="0"/>
                    <w:spacing w:line="240" w:lineRule="auto"/>
                    <w:ind w:firstLine="0" w:firstLineChars="0"/>
                    <w:jc w:val="center"/>
                  </w:pPr>
                  <w:r>
                    <w:rPr>
                      <w:rFonts w:hint="eastAsia"/>
                    </w:rPr>
                    <w:t>油罐</w:t>
                  </w:r>
                </w:p>
              </w:tc>
              <w:tc>
                <w:tcPr>
                  <w:tcW w:w="1876" w:type="dxa"/>
                  <w:vAlign w:val="center"/>
                </w:tcPr>
                <w:p>
                  <w:pPr>
                    <w:adjustRightInd w:val="0"/>
                    <w:snapToGrid w:val="0"/>
                    <w:spacing w:line="240" w:lineRule="auto"/>
                    <w:ind w:firstLine="0" w:firstLineChars="0"/>
                    <w:jc w:val="center"/>
                  </w:pPr>
                  <w:r>
                    <w:rPr>
                      <w:rFonts w:hint="eastAsia"/>
                    </w:rPr>
                    <w:t>双层油罐</w:t>
                  </w:r>
                </w:p>
              </w:tc>
              <w:tc>
                <w:tcPr>
                  <w:tcW w:w="1428" w:type="dxa"/>
                  <w:vAlign w:val="center"/>
                </w:tcPr>
                <w:p>
                  <w:pPr>
                    <w:adjustRightInd w:val="0"/>
                    <w:snapToGrid w:val="0"/>
                    <w:spacing w:line="240" w:lineRule="auto"/>
                    <w:ind w:firstLine="0" w:firstLineChars="0"/>
                    <w:jc w:val="center"/>
                  </w:pPr>
                  <w:r>
                    <w:rPr>
                      <w:rFonts w:hint="eastAsia"/>
                      <w:lang w:val="en-US" w:eastAsia="zh-CN"/>
                    </w:rPr>
                    <w:t>6</w:t>
                  </w:r>
                  <w:r>
                    <w:rPr>
                      <w:rFonts w:hint="eastAsia"/>
                    </w:rPr>
                    <w:t>座</w:t>
                  </w:r>
                </w:p>
              </w:tc>
              <w:tc>
                <w:tcPr>
                  <w:tcW w:w="1783" w:type="dxa"/>
                  <w:vMerge w:val="restart"/>
                  <w:tcBorders>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42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Merge w:val="continue"/>
                  <w:vAlign w:val="center"/>
                </w:tcPr>
                <w:p>
                  <w:pPr>
                    <w:adjustRightInd w:val="0"/>
                    <w:snapToGrid w:val="0"/>
                    <w:spacing w:line="240" w:lineRule="auto"/>
                    <w:ind w:firstLine="0" w:firstLineChars="0"/>
                    <w:jc w:val="center"/>
                  </w:pPr>
                </w:p>
              </w:tc>
              <w:tc>
                <w:tcPr>
                  <w:tcW w:w="1876" w:type="dxa"/>
                  <w:vAlign w:val="center"/>
                </w:tcPr>
                <w:p>
                  <w:pPr>
                    <w:adjustRightInd w:val="0"/>
                    <w:snapToGrid w:val="0"/>
                    <w:spacing w:line="240" w:lineRule="auto"/>
                    <w:ind w:firstLine="0" w:firstLineChars="0"/>
                    <w:jc w:val="center"/>
                  </w:pPr>
                  <w:r>
                    <w:rPr>
                      <w:rFonts w:hint="eastAsia"/>
                    </w:rPr>
                    <w:t>防渗管道</w:t>
                  </w:r>
                </w:p>
              </w:tc>
              <w:tc>
                <w:tcPr>
                  <w:tcW w:w="1428" w:type="dxa"/>
                  <w:vAlign w:val="center"/>
                </w:tcPr>
                <w:p>
                  <w:pPr>
                    <w:adjustRightInd w:val="0"/>
                    <w:snapToGrid w:val="0"/>
                    <w:spacing w:line="240" w:lineRule="auto"/>
                    <w:ind w:firstLine="0" w:firstLineChars="0"/>
                    <w:jc w:val="center"/>
                  </w:pPr>
                  <w:r>
                    <w:rPr>
                      <w:rFonts w:hint="eastAsia"/>
                    </w:rPr>
                    <w:t>1套</w:t>
                  </w: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89" w:type="dxa"/>
                  <w:vMerge w:val="continue"/>
                  <w:tcBorders>
                    <w:left w:val="single" w:color="auto" w:sz="4" w:space="0"/>
                  </w:tcBorders>
                  <w:vAlign w:val="center"/>
                </w:tcPr>
                <w:p>
                  <w:pPr>
                    <w:adjustRightInd w:val="0"/>
                    <w:snapToGrid w:val="0"/>
                    <w:spacing w:line="240" w:lineRule="auto"/>
                    <w:ind w:firstLine="0" w:firstLineChars="0"/>
                    <w:jc w:val="center"/>
                  </w:pPr>
                </w:p>
              </w:tc>
              <w:tc>
                <w:tcPr>
                  <w:tcW w:w="1434" w:type="dxa"/>
                  <w:vMerge w:val="continue"/>
                  <w:vAlign w:val="center"/>
                </w:tcPr>
                <w:p>
                  <w:pPr>
                    <w:adjustRightInd w:val="0"/>
                    <w:snapToGrid w:val="0"/>
                    <w:spacing w:line="240" w:lineRule="auto"/>
                    <w:ind w:firstLine="0" w:firstLineChars="0"/>
                    <w:jc w:val="center"/>
                  </w:pPr>
                </w:p>
              </w:tc>
              <w:tc>
                <w:tcPr>
                  <w:tcW w:w="1876" w:type="dxa"/>
                  <w:vAlign w:val="center"/>
                </w:tcPr>
                <w:p>
                  <w:pPr>
                    <w:adjustRightInd w:val="0"/>
                    <w:snapToGrid w:val="0"/>
                    <w:spacing w:line="240" w:lineRule="auto"/>
                    <w:ind w:firstLine="0" w:firstLineChars="0"/>
                    <w:jc w:val="center"/>
                    <w:rPr>
                      <w:rFonts w:hint="eastAsia"/>
                      <w:lang w:eastAsia="zh-CN"/>
                    </w:rPr>
                  </w:pPr>
                  <w:r>
                    <w:rPr>
                      <w:rFonts w:hint="eastAsia"/>
                    </w:rPr>
                    <w:t>地下水监测井</w:t>
                  </w:r>
                  <w:r>
                    <w:rPr>
                      <w:rFonts w:hint="eastAsia"/>
                      <w:lang w:eastAsia="zh-CN"/>
                    </w:rPr>
                    <w:t>（</w:t>
                  </w:r>
                  <w:r>
                    <w:rPr>
                      <w:rFonts w:hint="eastAsia"/>
                    </w:rPr>
                    <w:t>与埋地油罐的距离不超过30m</w:t>
                  </w:r>
                  <w:r>
                    <w:rPr>
                      <w:rFonts w:hint="eastAsia"/>
                      <w:lang w:eastAsia="zh-CN"/>
                    </w:rPr>
                    <w:t>）</w:t>
                  </w:r>
                </w:p>
              </w:tc>
              <w:tc>
                <w:tcPr>
                  <w:tcW w:w="1428" w:type="dxa"/>
                  <w:vAlign w:val="center"/>
                </w:tcPr>
                <w:p>
                  <w:pPr>
                    <w:adjustRightInd w:val="0"/>
                    <w:snapToGrid w:val="0"/>
                    <w:spacing w:line="240" w:lineRule="auto"/>
                    <w:ind w:firstLine="0" w:firstLineChars="0"/>
                    <w:jc w:val="center"/>
                  </w:pPr>
                  <w:r>
                    <w:rPr>
                      <w:rFonts w:hint="eastAsia"/>
                    </w:rPr>
                    <w:t>1个</w:t>
                  </w:r>
                </w:p>
              </w:tc>
              <w:tc>
                <w:tcPr>
                  <w:tcW w:w="1783" w:type="dxa"/>
                  <w:vMerge w:val="continue"/>
                  <w:tcBorders>
                    <w:right w:val="single" w:color="auto" w:sz="8" w:space="0"/>
                  </w:tcBorders>
                  <w:vAlign w:val="center"/>
                </w:tcPr>
                <w:p>
                  <w:pPr>
                    <w:adjustRightInd w:val="0"/>
                    <w:snapToGrid w:val="0"/>
                    <w:spacing w:line="240" w:lineRule="auto"/>
                    <w:ind w:firstLine="0" w:firstLineChars="0"/>
                    <w:jc w:val="cente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999" w:type="dxa"/>
                  <w:gridSpan w:val="3"/>
                  <w:tcBorders>
                    <w:left w:val="single" w:color="auto" w:sz="4" w:space="0"/>
                    <w:bottom w:val="single" w:color="auto" w:sz="8" w:space="0"/>
                  </w:tcBorders>
                  <w:vAlign w:val="center"/>
                </w:tcPr>
                <w:p>
                  <w:pPr>
                    <w:adjustRightInd w:val="0"/>
                    <w:snapToGrid w:val="0"/>
                    <w:spacing w:line="240" w:lineRule="auto"/>
                    <w:ind w:firstLine="0" w:firstLineChars="0"/>
                    <w:jc w:val="center"/>
                  </w:pPr>
                  <w:r>
                    <w:t>合计</w:t>
                  </w:r>
                </w:p>
              </w:tc>
              <w:tc>
                <w:tcPr>
                  <w:tcW w:w="1428" w:type="dxa"/>
                  <w:tcBorders>
                    <w:bottom w:val="single" w:color="auto" w:sz="8" w:space="0"/>
                  </w:tcBorders>
                  <w:vAlign w:val="center"/>
                </w:tcPr>
                <w:p>
                  <w:pPr>
                    <w:adjustRightInd w:val="0"/>
                    <w:snapToGrid w:val="0"/>
                    <w:spacing w:line="240" w:lineRule="auto"/>
                    <w:ind w:firstLine="0" w:firstLineChars="0"/>
                    <w:jc w:val="center"/>
                  </w:pPr>
                  <w:r>
                    <w:rPr>
                      <w:rFonts w:hint="eastAsia"/>
                    </w:rPr>
                    <w:t>/</w:t>
                  </w:r>
                </w:p>
              </w:tc>
              <w:tc>
                <w:tcPr>
                  <w:tcW w:w="1783" w:type="dxa"/>
                  <w:tcBorders>
                    <w:bottom w:val="single" w:color="auto" w:sz="8" w:space="0"/>
                    <w:right w:val="single" w:color="auto" w:sz="8" w:space="0"/>
                  </w:tcBorders>
                  <w:vAlign w:val="center"/>
                </w:tcPr>
                <w:p>
                  <w:pPr>
                    <w:adjustRightInd w:val="0"/>
                    <w:snapToGrid w:val="0"/>
                    <w:spacing w:line="240" w:lineRule="auto"/>
                    <w:ind w:firstLine="0" w:firstLineChars="0"/>
                    <w:jc w:val="center"/>
                    <w:rPr>
                      <w:rFonts w:hint="default"/>
                      <w:lang w:val="en-US" w:eastAsia="zh-CN"/>
                    </w:rPr>
                  </w:pPr>
                  <w:r>
                    <w:rPr>
                      <w:rFonts w:hint="eastAsia"/>
                      <w:lang w:val="en-US" w:eastAsia="zh-CN"/>
                    </w:rPr>
                    <w:t>63</w:t>
                  </w:r>
                </w:p>
              </w:tc>
            </w:tr>
          </w:tbl>
          <w:p>
            <w:pPr>
              <w:adjustRightInd w:val="0"/>
              <w:snapToGrid w:val="0"/>
              <w:spacing w:line="500" w:lineRule="exact"/>
              <w:ind w:firstLine="0" w:firstLineChars="0"/>
              <w:rPr>
                <w:rFonts w:hint="eastAsia"/>
                <w:lang w:val="en-US" w:eastAsia="zh-CN"/>
              </w:rPr>
            </w:pPr>
            <w:r>
              <w:rPr>
                <w:rFonts w:hint="eastAsia"/>
                <w:lang w:val="en-US" w:eastAsia="zh-CN"/>
              </w:rPr>
              <w:t>8、环保验收</w:t>
            </w:r>
          </w:p>
          <w:p>
            <w:pPr>
              <w:adjustRightInd w:val="0"/>
              <w:snapToGrid w:val="0"/>
              <w:spacing w:line="500" w:lineRule="exact"/>
              <w:ind w:firstLine="480" w:firstLineChars="200"/>
            </w:pPr>
            <w:r>
              <w:rPr>
                <w:rFonts w:hint="eastAsia"/>
              </w:rPr>
              <w:t>本项目环保设施三同时环保验收内容详见表</w:t>
            </w:r>
            <w:r>
              <w:rPr>
                <w:rFonts w:hint="eastAsia"/>
                <w:lang w:val="en-US" w:eastAsia="zh-CN"/>
              </w:rPr>
              <w:t>40</w:t>
            </w:r>
            <w:r>
              <w:rPr>
                <w:rFonts w:hint="eastAsia"/>
              </w:rPr>
              <w:t>。</w:t>
            </w:r>
          </w:p>
          <w:p>
            <w:pPr>
              <w:keepNext/>
              <w:keepLines w:val="0"/>
              <w:pageBreakBefore w:val="0"/>
              <w:widowControl w:val="0"/>
              <w:kinsoku/>
              <w:wordWrap/>
              <w:overflowPunct/>
              <w:topLinePunct w:val="0"/>
              <w:autoSpaceDE/>
              <w:autoSpaceDN/>
              <w:bidi w:val="0"/>
              <w:adjustRightInd/>
              <w:snapToGrid/>
              <w:spacing w:before="164" w:beforeLines="50" w:after="0" w:afterLines="0" w:line="240" w:lineRule="auto"/>
              <w:ind w:left="0" w:leftChars="0" w:firstLine="0" w:firstLineChars="0"/>
              <w:jc w:val="center"/>
              <w:textAlignment w:val="auto"/>
              <w:outlineLvl w:val="9"/>
              <w:rPr>
                <w:rFonts w:hint="eastAsia"/>
                <w:lang w:val="en-US" w:eastAsia="zh-CN"/>
              </w:rPr>
            </w:pPr>
            <w:r>
              <w:rPr>
                <w:rFonts w:hint="eastAsia"/>
                <w:b/>
                <w:bCs/>
                <w:lang w:val="en-US" w:eastAsia="zh-CN"/>
              </w:rPr>
              <w:t>表40       环保设施验收一览表</w:t>
            </w:r>
          </w:p>
          <w:tbl>
            <w:tblPr>
              <w:tblStyle w:val="20"/>
              <w:tblpPr w:leftFromText="180" w:rightFromText="180" w:vertAnchor="text" w:horzAnchor="margin" w:tblpY="51"/>
              <w:tblOverlap w:val="never"/>
              <w:tblW w:w="8220" w:type="dxa"/>
              <w:tblInd w:w="-2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42"/>
              <w:gridCol w:w="2284"/>
              <w:gridCol w:w="2240"/>
              <w:gridCol w:w="24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tcBorders>
                    <w:top w:val="single" w:color="auto" w:sz="8" w:space="0"/>
                    <w:left w:val="single" w:color="auto" w:sz="0"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项目类别</w:t>
                  </w:r>
                </w:p>
              </w:tc>
              <w:tc>
                <w:tcPr>
                  <w:tcW w:w="2284" w:type="dxa"/>
                  <w:tcBorders>
                    <w:top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设施名称</w:t>
                  </w:r>
                </w:p>
              </w:tc>
              <w:tc>
                <w:tcPr>
                  <w:tcW w:w="4694" w:type="dxa"/>
                  <w:gridSpan w:val="2"/>
                  <w:tcBorders>
                    <w:top w:val="single" w:color="auto" w:sz="8" w:space="0"/>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验收内容与执行标准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restart"/>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废气治理</w:t>
                  </w: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一次油气回收装置1套</w:t>
                  </w:r>
                </w:p>
              </w:tc>
              <w:tc>
                <w:tcPr>
                  <w:tcW w:w="4694" w:type="dxa"/>
                  <w:gridSpan w:val="2"/>
                  <w:vMerge w:val="restart"/>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《加油站大气污染物排放标准》（GB20952-2007）</w:t>
                  </w:r>
                </w:p>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《大气污染物综合排放标准》（GB16297-1996）表 2 中无组织排放标准的限值</w:t>
                  </w:r>
                  <w: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t>；</w:t>
                  </w:r>
                </w:p>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《关于全省开展工业企业挥发性有机物专项治理工作中排放建议值的通知》（豫环攻坚办[2017]162 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c>
                <w:tcPr>
                  <w:tcW w:w="2284"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二次油气回收装置</w:t>
                  </w:r>
                  <w:r>
                    <w:rPr>
                      <w:rFonts w:hint="eastAsia" w:cs="Times New Roman" w:eastAsiaTheme="minorEastAsia"/>
                      <w:b w:val="0"/>
                      <w:bCs w:val="0"/>
                      <w:color w:val="000000" w:themeColor="text1"/>
                      <w:sz w:val="21"/>
                      <w:szCs w:val="20"/>
                      <w:u w:val="none"/>
                      <w:lang w:val="en-US" w:eastAsia="zh-CN"/>
                      <w14:textFill>
                        <w14:solidFill>
                          <w14:schemeClr w14:val="tx1"/>
                        </w14:solidFill>
                      </w14:textFill>
                    </w:rPr>
                    <w:t>1</w:t>
                  </w: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2套</w:t>
                  </w:r>
                </w:p>
              </w:tc>
              <w:tc>
                <w:tcPr>
                  <w:tcW w:w="4694" w:type="dxa"/>
                  <w:gridSpan w:val="2"/>
                  <w:vMerge w:val="continue"/>
                  <w:tcBorders>
                    <w:right w:val="single" w:color="auto" w:sz="8"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restart"/>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废水治理</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化粪池</w:t>
                  </w:r>
                </w:p>
              </w:tc>
              <w:tc>
                <w:tcPr>
                  <w:tcW w:w="2240" w:type="dxa"/>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1座</w:t>
                  </w:r>
                </w:p>
              </w:tc>
              <w:tc>
                <w:tcPr>
                  <w:tcW w:w="2454" w:type="dxa"/>
                  <w:tcBorders>
                    <w:right w:val="single" w:color="auto" w:sz="8" w:space="0"/>
                  </w:tcBorders>
                  <w:vAlign w:val="center"/>
                </w:tcPr>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不外排</w:t>
                  </w:r>
                  <w:r>
                    <w:rPr>
                      <w:rFonts w:hint="eastAsia" w:cs="Times New Roman" w:eastAsiaTheme="minorEastAsia"/>
                      <w:b w:val="0"/>
                      <w:bCs w:val="0"/>
                      <w:color w:val="000000" w:themeColor="text1"/>
                      <w:sz w:val="21"/>
                      <w:szCs w:val="21"/>
                      <w:u w:val="none"/>
                      <w:lang w:eastAsia="zh-CN"/>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tcBorders>
                    <w:left w:val="single" w:color="auto" w:sz="4" w:space="0"/>
                  </w:tcBorders>
                  <w:vAlign w:val="center"/>
                </w:tcPr>
                <w:p>
                  <w:pPr>
                    <w:tabs>
                      <w:tab w:val="left" w:pos="930"/>
                    </w:tabs>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0"/>
                      <w:u w:val="none"/>
                      <w:lang w:eastAsia="zh-CN"/>
                      <w14:textFill>
                        <w14:solidFill>
                          <w14:schemeClr w14:val="tx1"/>
                        </w14:solidFill>
                      </w14:textFill>
                    </w:rPr>
                  </w:pPr>
                  <w:r>
                    <w:rPr>
                      <w:rFonts w:hint="eastAsia" w:cs="Times New Roman"/>
                      <w:b w:val="0"/>
                      <w:bCs w:val="0"/>
                      <w:color w:val="000000" w:themeColor="text1"/>
                      <w:sz w:val="21"/>
                      <w:szCs w:val="20"/>
                      <w:u w:val="none"/>
                      <w:lang w:val="en-US" w:eastAsia="zh-CN"/>
                      <w14:textFill>
                        <w14:solidFill>
                          <w14:schemeClr w14:val="tx1"/>
                        </w14:solidFill>
                      </w14:textFill>
                    </w:rPr>
                    <w:t>生活污水处理站</w:t>
                  </w:r>
                </w:p>
              </w:tc>
              <w:tc>
                <w:tcPr>
                  <w:tcW w:w="2240"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pPr>
                  <w:r>
                    <w:rPr>
                      <w:rFonts w:hint="eastAsia" w:ascii="Times New Roman" w:hAnsi="Times New Roman" w:eastAsia="宋体" w:cs="Times New Roman"/>
                      <w:b w:val="0"/>
                      <w:bCs w:val="0"/>
                      <w:color w:val="000000" w:themeColor="text1"/>
                      <w:sz w:val="21"/>
                      <w:szCs w:val="20"/>
                      <w:u w:val="none"/>
                      <w:lang w:val="en-US" w:eastAsia="zh-CN"/>
                      <w14:textFill>
                        <w14:solidFill>
                          <w14:schemeClr w14:val="tx1"/>
                        </w14:solidFill>
                      </w14:textFill>
                    </w:rPr>
                    <w:t>1座</w:t>
                  </w:r>
                </w:p>
              </w:tc>
              <w:tc>
                <w:tcPr>
                  <w:tcW w:w="2454" w:type="dxa"/>
                  <w:tcBorders>
                    <w:right w:val="single" w:color="auto" w:sz="8" w:space="0"/>
                  </w:tcBorders>
                  <w:vAlign w:val="center"/>
                </w:tcPr>
                <w:p>
                  <w:pPr>
                    <w:tabs>
                      <w:tab w:val="left" w:pos="930"/>
                    </w:tabs>
                    <w:adjustRightInd w:val="0"/>
                    <w:snapToGrid w:val="0"/>
                    <w:spacing w:line="240" w:lineRule="auto"/>
                    <w:ind w:firstLine="0" w:firstLineChars="0"/>
                    <w:jc w:val="center"/>
                    <w:rPr>
                      <w:rFonts w:hint="eastAsia" w:ascii="Times New Roman" w:hAnsi="Times New Roman" w:cs="Times New Roman" w:eastAsiaTheme="minorEastAsia"/>
                      <w:b w:val="0"/>
                      <w:bCs w:val="0"/>
                      <w:color w:val="000000" w:themeColor="text1"/>
                      <w:sz w:val="21"/>
                      <w:szCs w:val="21"/>
                      <w:u w:val="none"/>
                      <w:lang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1"/>
                      <w:u w:val="none"/>
                      <w14:textFill>
                        <w14:solidFill>
                          <w14:schemeClr w14:val="tx1"/>
                        </w14:solidFill>
                      </w14:textFill>
                    </w:rPr>
                    <w:t>不外排</w:t>
                  </w:r>
                  <w:r>
                    <w:rPr>
                      <w:rFonts w:hint="eastAsia" w:cs="Times New Roman" w:eastAsiaTheme="minorEastAsia"/>
                      <w:b w:val="0"/>
                      <w:bCs w:val="0"/>
                      <w:color w:val="000000" w:themeColor="text1"/>
                      <w:sz w:val="21"/>
                      <w:szCs w:val="21"/>
                      <w:u w:val="none"/>
                      <w:lang w:eastAsia="zh-CN"/>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tcBorders>
                    <w:left w:val="single" w:color="auto" w:sz="4" w:space="0"/>
                  </w:tcBorders>
                  <w:vAlign w:val="center"/>
                </w:tcPr>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固废治理</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sz w:val="21"/>
                      <w:szCs w:val="20"/>
                      <w:u w:val="none"/>
                    </w:rPr>
                    <w:t xml:space="preserve">生活垃圾油罐保养产生的油 </w:t>
                  </w:r>
                  <w:r>
                    <w:rPr>
                      <w:rFonts w:hint="default" w:ascii="Times New Roman" w:hAnsi="Times New Roman" w:cs="Times New Roman" w:eastAsiaTheme="minorEastAsia"/>
                      <w:b w:val="0"/>
                      <w:bCs w:val="0"/>
                      <w:spacing w:val="-2"/>
                      <w:sz w:val="21"/>
                      <w:szCs w:val="20"/>
                      <w:u w:val="none"/>
                    </w:rPr>
                    <w:t>泥、含油废石棉布等</w:t>
                  </w:r>
                </w:p>
              </w:tc>
              <w:tc>
                <w:tcPr>
                  <w:tcW w:w="4694" w:type="dxa"/>
                  <w:gridSpan w:val="2"/>
                  <w:tcBorders>
                    <w:right w:val="single" w:color="auto" w:sz="8" w:space="0"/>
                  </w:tcBorders>
                  <w:vAlign w:val="center"/>
                </w:tcPr>
                <w:p>
                  <w:pPr>
                    <w:widowControl w:val="0"/>
                    <w:adjustRightInd w:val="0"/>
                    <w:snapToGrid w:val="0"/>
                    <w:jc w:val="center"/>
                    <w:rPr>
                      <w:rFonts w:hint="eastAsia"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kern w:val="2"/>
                      <w:sz w:val="21"/>
                      <w:szCs w:val="21"/>
                      <w:u w:val="none"/>
                      <w:lang w:val="en-US" w:eastAsia="zh-CN" w:bidi="ar-SA"/>
                    </w:rPr>
                    <w:t>生活垃圾采用垃圾桶集中收集后由环卫部门统一处理，综合利用。</w:t>
                  </w:r>
                  <w:r>
                    <w:rPr>
                      <w:rFonts w:hint="default" w:ascii="Times New Roman" w:hAnsi="Times New Roman" w:cs="Times New Roman" w:eastAsiaTheme="minorEastAsia"/>
                      <w:b w:val="0"/>
                      <w:bCs w:val="0"/>
                      <w:spacing w:val="-6"/>
                      <w:kern w:val="2"/>
                      <w:sz w:val="21"/>
                      <w:szCs w:val="21"/>
                      <w:u w:val="none"/>
                      <w:lang w:val="en-US" w:eastAsia="zh-CN" w:bidi="ar-SA"/>
                    </w:rPr>
                    <w:t>危险废物应设置危险废物暂存间，</w:t>
                  </w:r>
                  <w:r>
                    <w:rPr>
                      <w:rFonts w:hint="eastAsia" w:ascii="Times New Roman" w:hAnsi="Times New Roman" w:cs="Times New Roman" w:eastAsiaTheme="minorEastAsia"/>
                      <w:b w:val="0"/>
                      <w:bCs w:val="0"/>
                      <w:spacing w:val="-6"/>
                      <w:kern w:val="2"/>
                      <w:sz w:val="21"/>
                      <w:szCs w:val="21"/>
                      <w:u w:val="none"/>
                      <w:lang w:val="en-US" w:eastAsia="zh-CN" w:bidi="ar-SA"/>
                    </w:rPr>
                    <w:t>定期</w:t>
                  </w:r>
                  <w:r>
                    <w:rPr>
                      <w:rFonts w:hint="default" w:ascii="Times New Roman" w:hAnsi="Times New Roman" w:cs="Times New Roman" w:eastAsiaTheme="minorEastAsia"/>
                      <w:b w:val="0"/>
                      <w:bCs w:val="0"/>
                      <w:spacing w:val="-8"/>
                      <w:kern w:val="2"/>
                      <w:sz w:val="21"/>
                      <w:szCs w:val="21"/>
                      <w:u w:val="none"/>
                      <w:lang w:val="en-US" w:eastAsia="zh-CN" w:bidi="ar-SA"/>
                    </w:rPr>
                    <w:t>送有该类危险废物资质单位进行</w:t>
                  </w:r>
                  <w:r>
                    <w:rPr>
                      <w:rFonts w:hint="eastAsia" w:ascii="Times New Roman" w:hAnsi="Times New Roman" w:cs="Times New Roman" w:eastAsiaTheme="minorEastAsia"/>
                      <w:b w:val="0"/>
                      <w:bCs w:val="0"/>
                      <w:spacing w:val="-8"/>
                      <w:kern w:val="2"/>
                      <w:sz w:val="21"/>
                      <w:szCs w:val="21"/>
                      <w:u w:val="none"/>
                      <w:lang w:val="en-US" w:eastAsia="zh-CN" w:bidi="ar-SA"/>
                    </w:rPr>
                    <w:t>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restart"/>
                  <w:tcBorders>
                    <w:left w:val="single" w:color="auto" w:sz="4" w:space="0"/>
                  </w:tcBorders>
                  <w:vAlign w:val="center"/>
                </w:tcPr>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地下</w:t>
                  </w:r>
                </w:p>
                <w:p>
                  <w:pPr>
                    <w:widowControl w:val="0"/>
                    <w:adjustRightInd w:val="0"/>
                    <w:snapToGrid w:val="0"/>
                    <w:ind w:left="0" w:leftChars="0" w:firstLine="0" w:firstLineChars="0"/>
                    <w:jc w:val="both"/>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t>水保护</w:t>
                  </w: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双层油罐</w:t>
                  </w:r>
                </w:p>
              </w:tc>
              <w:tc>
                <w:tcPr>
                  <w:tcW w:w="4694" w:type="dxa"/>
                  <w:gridSpan w:val="2"/>
                  <w:vMerge w:val="restart"/>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《汽车加油加气站设计与施工规范》（GB50156-2012）（2014年局部修订版）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防渗管道</w:t>
                  </w:r>
                </w:p>
              </w:tc>
              <w:tc>
                <w:tcPr>
                  <w:tcW w:w="4694" w:type="dxa"/>
                  <w:gridSpan w:val="2"/>
                  <w:vMerge w:val="continue"/>
                  <w:tcBorders>
                    <w:right w:val="single" w:color="auto" w:sz="8" w:space="0"/>
                  </w:tcBorders>
                  <w:vAlign w:val="center"/>
                </w:tcPr>
                <w:p>
                  <w:pPr>
                    <w:widowControl w:val="0"/>
                    <w:adjustRightInd w:val="0"/>
                    <w:snapToGrid w:val="0"/>
                    <w:jc w:val="center"/>
                    <w:rPr>
                      <w:rFonts w:hint="default" w:ascii="Times New Roman" w:hAnsi="Times New Roman" w:cs="Times New Roman" w:eastAsiaTheme="minorEastAsia"/>
                      <w:b w:val="0"/>
                      <w:bCs w:val="0"/>
                      <w:iCs/>
                      <w:color w:val="000000" w:themeColor="text1"/>
                      <w:kern w:val="2"/>
                      <w:sz w:val="21"/>
                      <w:szCs w:val="21"/>
                      <w:u w:val="none"/>
                      <w:lang w:val="en-US" w:eastAsia="zh-CN" w:bidi="ar-SA"/>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42" w:type="dxa"/>
                  <w:vMerge w:val="continue"/>
                  <w:tcBorders>
                    <w:left w:val="single" w:color="auto" w:sz="4" w:space="0"/>
                  </w:tcBorders>
                  <w:vAlign w:val="center"/>
                </w:tcPr>
                <w:p>
                  <w:pPr>
                    <w:widowControl w:val="0"/>
                    <w:adjustRightInd w:val="0"/>
                    <w:snapToGrid w:val="0"/>
                    <w:jc w:val="center"/>
                    <w:rPr>
                      <w:rFonts w:hint="default" w:ascii="Times New Roman" w:hAnsi="Times New Roman" w:cs="Times New Roman" w:eastAsiaTheme="minorEastAsia"/>
                      <w:b w:val="0"/>
                      <w:bCs w:val="0"/>
                      <w:color w:val="000000" w:themeColor="text1"/>
                      <w:kern w:val="2"/>
                      <w:sz w:val="21"/>
                      <w:szCs w:val="21"/>
                      <w:u w:val="none"/>
                      <w:lang w:val="en-US" w:eastAsia="zh-CN" w:bidi="ar-SA"/>
                      <w14:textFill>
                        <w14:solidFill>
                          <w14:schemeClr w14:val="tx1"/>
                        </w14:solidFill>
                      </w14:textFill>
                    </w:rPr>
                  </w:pPr>
                </w:p>
              </w:tc>
              <w:tc>
                <w:tcPr>
                  <w:tcW w:w="2284" w:type="dxa"/>
                  <w:vAlign w:val="center"/>
                </w:tcPr>
                <w:p>
                  <w:pPr>
                    <w:adjustRightInd w:val="0"/>
                    <w:snapToGrid w:val="0"/>
                    <w:spacing w:line="240" w:lineRule="auto"/>
                    <w:ind w:firstLine="0" w:firstLineChars="0"/>
                    <w:jc w:val="cente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pPr>
                  <w:r>
                    <w:rPr>
                      <w:rFonts w:hint="default" w:ascii="Times New Roman" w:hAnsi="Times New Roman" w:cs="Times New Roman" w:eastAsiaTheme="minorEastAsia"/>
                      <w:b w:val="0"/>
                      <w:bCs w:val="0"/>
                      <w:color w:val="000000" w:themeColor="text1"/>
                      <w:sz w:val="21"/>
                      <w:szCs w:val="20"/>
                      <w:u w:val="none"/>
                      <w14:textFill>
                        <w14:solidFill>
                          <w14:schemeClr w14:val="tx1"/>
                        </w14:solidFill>
                      </w14:textFill>
                    </w:rPr>
                    <w:t>地下水监测井</w:t>
                  </w:r>
                </w:p>
              </w:tc>
              <w:tc>
                <w:tcPr>
                  <w:tcW w:w="4694" w:type="dxa"/>
                  <w:gridSpan w:val="2"/>
                  <w:tcBorders>
                    <w:right w:val="single" w:color="auto" w:sz="8" w:space="0"/>
                  </w:tcBorders>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pPr>
                  <w:r>
                    <w:rPr>
                      <w:rFonts w:hint="default" w:ascii="Times New Roman" w:hAnsi="Times New Roman" w:cs="Times New Roman" w:eastAsiaTheme="minorEastAsia"/>
                      <w:b w:val="0"/>
                      <w:bCs w:val="0"/>
                      <w:iCs/>
                      <w:color w:val="000000" w:themeColor="text1"/>
                      <w:kern w:val="0"/>
                      <w:sz w:val="21"/>
                      <w:szCs w:val="21"/>
                      <w:u w:val="none"/>
                      <w14:textFill>
                        <w14:solidFill>
                          <w14:schemeClr w14:val="tx1"/>
                        </w14:solidFill>
                      </w14:textFill>
                    </w:rPr>
                    <w:t>《场地环境监测技术导则》（HJ/T 25.2-2014）</w:t>
                  </w:r>
                </w:p>
              </w:tc>
            </w:tr>
          </w:tbl>
          <w:p>
            <w:pPr>
              <w:adjustRightInd w:val="0"/>
              <w:snapToGrid w:val="0"/>
              <w:spacing w:line="500" w:lineRule="exact"/>
              <w:ind w:firstLine="0" w:firstLineChars="0"/>
            </w:pPr>
          </w:p>
          <w:p>
            <w:pPr>
              <w:pStyle w:val="2"/>
            </w:pPr>
          </w:p>
        </w:tc>
      </w:tr>
    </w:tbl>
    <w:p>
      <w:r>
        <w:br w:type="page"/>
      </w:r>
    </w:p>
    <w:p>
      <w:pPr>
        <w:keepNext/>
        <w:widowControl/>
        <w:adjustRightInd w:val="0"/>
        <w:snapToGrid w:val="0"/>
        <w:spacing w:line="240" w:lineRule="auto"/>
        <w:ind w:firstLine="0" w:firstLineChars="0"/>
        <w:rPr>
          <w:rFonts w:ascii="Times New Roman" w:hAnsi="Times New Roman" w:eastAsia="宋体" w:cs="Times New Roman"/>
          <w:b/>
          <w:color w:val="000000"/>
          <w:sz w:val="30"/>
          <w:szCs w:val="30"/>
        </w:rPr>
      </w:pPr>
      <w:r>
        <w:rPr>
          <w:rFonts w:hint="eastAsia" w:ascii="Times New Roman" w:hAnsi="Times New Roman" w:eastAsia="宋体" w:cs="Times New Roman"/>
          <w:b/>
          <w:color w:val="000000"/>
          <w:sz w:val="30"/>
          <w:szCs w:val="30"/>
        </w:rPr>
        <w:t>建设项目拟采取的防治措施及预期治理效果</w:t>
      </w:r>
    </w:p>
    <w:tbl>
      <w:tblPr>
        <w:tblStyle w:val="20"/>
        <w:tblW w:w="8920" w:type="dxa"/>
        <w:tblInd w:w="-34" w:type="dxa"/>
        <w:tblLayout w:type="fixed"/>
        <w:tblCellMar>
          <w:top w:w="0" w:type="dxa"/>
          <w:left w:w="108" w:type="dxa"/>
          <w:bottom w:w="0" w:type="dxa"/>
          <w:right w:w="108" w:type="dxa"/>
        </w:tblCellMar>
      </w:tblPr>
      <w:tblGrid>
        <w:gridCol w:w="1041"/>
        <w:gridCol w:w="1369"/>
        <w:gridCol w:w="1276"/>
        <w:gridCol w:w="1978"/>
        <w:gridCol w:w="3256"/>
      </w:tblGrid>
      <w:tr>
        <w:tblPrEx>
          <w:tblCellMar>
            <w:top w:w="0" w:type="dxa"/>
            <w:left w:w="108" w:type="dxa"/>
            <w:bottom w:w="0" w:type="dxa"/>
            <w:right w:w="108" w:type="dxa"/>
          </w:tblCellMar>
        </w:tblPrEx>
        <w:trPr>
          <w:trHeight w:val="903" w:hRule="atLeast"/>
        </w:trPr>
        <w:tc>
          <w:tcPr>
            <w:tcW w:w="1041" w:type="dxa"/>
            <w:tcBorders>
              <w:top w:val="single" w:color="auto" w:sz="12"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right"/>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mc:AlternateContent>
                <mc:Choice Requires="wps">
                  <w:drawing>
                    <wp:anchor distT="0" distB="0" distL="114300" distR="114300" simplePos="0" relativeHeight="324081664" behindDoc="0" locked="0" layoutInCell="1" allowOverlap="1">
                      <wp:simplePos x="0" y="0"/>
                      <wp:positionH relativeFrom="column">
                        <wp:posOffset>-64770</wp:posOffset>
                      </wp:positionH>
                      <wp:positionV relativeFrom="paragraph">
                        <wp:posOffset>11430</wp:posOffset>
                      </wp:positionV>
                      <wp:extent cx="641985" cy="549275"/>
                      <wp:effectExtent l="3175" t="3810" r="21590" b="18415"/>
                      <wp:wrapNone/>
                      <wp:docPr id="146" name="直接连接符 146"/>
                      <wp:cNvGraphicFramePr/>
                      <a:graphic xmlns:a="http://schemas.openxmlformats.org/drawingml/2006/main">
                        <a:graphicData uri="http://schemas.microsoft.com/office/word/2010/wordprocessingShape">
                          <wps:wsp>
                            <wps:cNvCnPr/>
                            <wps:spPr>
                              <a:xfrm>
                                <a:off x="0" y="0"/>
                                <a:ext cx="641985" cy="5492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1pt;margin-top:0.9pt;height:43.25pt;width:50.55pt;z-index:324081664;mso-width-relative:page;mso-height-relative:page;" filled="f" stroked="t" coordsize="21600,21600" o:gfxdata="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v6sWhdUAAAAHAQAADwAA&#10;AAAAAAABACAAAAAiAAAAZHJzL2Rvd25yZXYueG1sUEsBAhQAFAAAAAgAh07iQDQDlA7gAQAAngMA&#10;AA4AAAAAAAAAAQAgAAAAJAEAAGRycy9lMm9Eb2MueG1sUEsFBgAAAAAGAAYAWQEAAHYFAAAAAA==&#10;">
                      <v:fill on="f" focussize="0,0"/>
                      <v:stroke color="#000000" joinstyle="round"/>
                      <v:imagedata o:title=""/>
                      <o:lock v:ext="edit" aspectratio="f"/>
                    </v:line>
                  </w:pict>
                </mc:Fallback>
              </mc:AlternateContent>
            </w:r>
            <w:r>
              <w:rPr>
                <w:rFonts w:hint="eastAsia" w:ascii="Times New Roman" w:hAnsi="Times New Roman" w:eastAsia="宋体" w:cs="Times New Roman"/>
                <w:color w:val="000000"/>
                <w:sz w:val="21"/>
                <w:szCs w:val="21"/>
              </w:rPr>
              <w:t>内容</w:t>
            </w:r>
          </w:p>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类型</w:t>
            </w:r>
          </w:p>
        </w:tc>
        <w:tc>
          <w:tcPr>
            <w:tcW w:w="1369"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污染源</w:t>
            </w:r>
          </w:p>
        </w:tc>
        <w:tc>
          <w:tcPr>
            <w:tcW w:w="1276"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名称</w:t>
            </w:r>
          </w:p>
        </w:tc>
        <w:tc>
          <w:tcPr>
            <w:tcW w:w="1978" w:type="dxa"/>
            <w:tcBorders>
              <w:top w:val="single" w:color="auto" w:sz="12"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防治措施</w:t>
            </w:r>
          </w:p>
        </w:tc>
        <w:tc>
          <w:tcPr>
            <w:tcW w:w="3256" w:type="dxa"/>
            <w:tcBorders>
              <w:top w:val="single" w:color="auto" w:sz="12"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预期治理效果</w:t>
            </w:r>
          </w:p>
        </w:tc>
      </w:tr>
      <w:tr>
        <w:tblPrEx>
          <w:tblCellMar>
            <w:top w:w="0" w:type="dxa"/>
            <w:left w:w="108" w:type="dxa"/>
            <w:bottom w:w="0" w:type="dxa"/>
            <w:right w:w="108" w:type="dxa"/>
          </w:tblCellMar>
        </w:tblPrEx>
        <w:trPr>
          <w:trHeight w:val="1318"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大气</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污染物</w:t>
            </w: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卸油、储存、加油过程</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lang w:val="en-US" w:eastAsia="zh-CN"/>
              </w:rPr>
              <w:t>VOCs(</w:t>
            </w:r>
            <w:r>
              <w:rPr>
                <w:rFonts w:hint="eastAsia" w:ascii="Times New Roman" w:hAnsi="Times New Roman" w:eastAsia="宋体" w:cs="Times New Roman"/>
                <w:color w:val="000000"/>
                <w:sz w:val="21"/>
                <w:szCs w:val="21"/>
              </w:rPr>
              <w:t>非甲烷总烃</w:t>
            </w:r>
            <w:r>
              <w:rPr>
                <w:rFonts w:hint="eastAsia" w:ascii="Times New Roman" w:hAnsi="Times New Roman" w:eastAsia="宋体" w:cs="Times New Roman"/>
                <w:color w:val="000000"/>
                <w:sz w:val="21"/>
                <w:szCs w:val="21"/>
                <w:lang w:val="en-US" w:eastAsia="zh-CN"/>
              </w:rPr>
              <w:t>)</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油气回收装置</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满足《加油站大气污染物排放标准》（</w:t>
            </w:r>
            <w:r>
              <w:rPr>
                <w:rFonts w:hint="default" w:ascii="Times New Roman" w:hAnsi="Times New Roman" w:eastAsia="宋体" w:cs="Times New Roman"/>
                <w:color w:val="000000"/>
                <w:sz w:val="21"/>
                <w:szCs w:val="21"/>
              </w:rPr>
              <w:t>GB20952-2007</w:t>
            </w:r>
            <w:r>
              <w:rPr>
                <w:rFonts w:hint="eastAsia" w:ascii="Times New Roman" w:hAnsi="Times New Roman" w:eastAsia="宋体" w:cs="Times New Roman"/>
                <w:color w:val="000000"/>
                <w:sz w:val="21"/>
                <w:szCs w:val="21"/>
              </w:rPr>
              <w:t>）和《大气污染物综合排放标准》（</w:t>
            </w:r>
            <w:r>
              <w:rPr>
                <w:rFonts w:hint="default" w:ascii="Times New Roman" w:hAnsi="Times New Roman" w:eastAsia="宋体" w:cs="Times New Roman"/>
                <w:color w:val="000000"/>
                <w:sz w:val="21"/>
                <w:szCs w:val="21"/>
              </w:rPr>
              <w:t>GB16297-1996</w:t>
            </w:r>
            <w:r>
              <w:rPr>
                <w:rFonts w:hint="eastAsia" w:ascii="Times New Roman" w:hAnsi="Times New Roman" w:eastAsia="宋体" w:cs="Times New Roman"/>
                <w:color w:val="000000"/>
                <w:sz w:val="21"/>
                <w:szCs w:val="21"/>
              </w:rPr>
              <w:t>）表2要求</w:t>
            </w:r>
          </w:p>
        </w:tc>
      </w:tr>
      <w:tr>
        <w:tblPrEx>
          <w:tblCellMar>
            <w:top w:w="0" w:type="dxa"/>
            <w:left w:w="108" w:type="dxa"/>
            <w:bottom w:w="0" w:type="dxa"/>
            <w:right w:w="108" w:type="dxa"/>
          </w:tblCellMar>
        </w:tblPrEx>
        <w:trPr>
          <w:trHeight w:val="1318"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p>
        </w:tc>
        <w:tc>
          <w:tcPr>
            <w:tcW w:w="1369" w:type="dxa"/>
            <w:tcBorders>
              <w:top w:val="single" w:color="auto" w:sz="6" w:space="0"/>
              <w:left w:val="single" w:color="auto" w:sz="6" w:space="0"/>
              <w:bottom w:val="single" w:color="auto" w:sz="4"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汽车尾气</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default" w:ascii="Times New Roman" w:hAnsi="Times New Roman" w:eastAsiaTheme="minorEastAsia" w:cstheme="minorBidi"/>
                <w:sz w:val="21"/>
                <w:szCs w:val="21"/>
              </w:rPr>
              <w:t>CO、NOx</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rPr>
            </w:pPr>
            <w:r>
              <w:rPr>
                <w:rFonts w:hint="default" w:ascii="Times New Roman" w:hAnsi="Times New Roman" w:eastAsiaTheme="minorEastAsia" w:cstheme="minorBidi"/>
                <w:sz w:val="21"/>
                <w:szCs w:val="21"/>
              </w:rPr>
              <w:t>加强管理，合理引导车辆通行，降低车辆在项目区域内的行驶距离较小</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达标排放</w:t>
            </w:r>
          </w:p>
        </w:tc>
      </w:tr>
      <w:tr>
        <w:tblPrEx>
          <w:tblCellMar>
            <w:top w:w="0" w:type="dxa"/>
            <w:left w:w="108" w:type="dxa"/>
            <w:bottom w:w="0" w:type="dxa"/>
            <w:right w:w="108" w:type="dxa"/>
          </w:tblCellMar>
        </w:tblPrEx>
        <w:trPr>
          <w:trHeight w:val="1067"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水污</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染物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eastAsia="zh-CN"/>
              </w:rPr>
              <w:t>生活污水</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COD</w:t>
            </w:r>
            <w:r>
              <w:rPr>
                <w:rFonts w:hint="eastAsia" w:ascii="Times New Roman" w:hAnsi="Times New Roman" w:eastAsia="宋体" w:cs="Times New Roman"/>
                <w:color w:val="000000"/>
                <w:sz w:val="21"/>
                <w:szCs w:val="21"/>
              </w:rPr>
              <w:t>、</w:t>
            </w:r>
            <w:r>
              <w:rPr>
                <w:rFonts w:hint="default" w:ascii="Times New Roman" w:hAnsi="Times New Roman" w:eastAsia="宋体" w:cs="Times New Roman"/>
                <w:color w:val="000000"/>
                <w:sz w:val="21"/>
                <w:szCs w:val="21"/>
              </w:rPr>
              <w:t>NH</w:t>
            </w:r>
            <w:r>
              <w:rPr>
                <w:rFonts w:hint="default" w:ascii="Times New Roman" w:hAnsi="Times New Roman" w:eastAsia="宋体" w:cs="Times New Roman"/>
                <w:color w:val="000000"/>
                <w:sz w:val="21"/>
                <w:szCs w:val="21"/>
                <w:vertAlign w:val="subscript"/>
              </w:rPr>
              <w:t>3</w:t>
            </w:r>
            <w:r>
              <w:rPr>
                <w:rFonts w:hint="default" w:ascii="Times New Roman" w:hAnsi="Times New Roman" w:eastAsia="宋体" w:cs="Times New Roman"/>
                <w:color w:val="000000"/>
                <w:sz w:val="21"/>
                <w:szCs w:val="21"/>
              </w:rPr>
              <w:t>-N</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rPr>
              <w:t>化粪池</w:t>
            </w:r>
            <w:r>
              <w:rPr>
                <w:rFonts w:hint="eastAsia" w:cs="Times New Roman"/>
                <w:color w:val="000000"/>
                <w:sz w:val="21"/>
                <w:szCs w:val="21"/>
                <w:lang w:eastAsia="zh-CN"/>
              </w:rPr>
              <w:t>收集</w:t>
            </w:r>
            <w:r>
              <w:rPr>
                <w:rFonts w:hint="eastAsia" w:ascii="Times New Roman" w:hAnsi="Times New Roman" w:eastAsia="宋体" w:cs="Times New Roman"/>
                <w:color w:val="000000"/>
                <w:sz w:val="21"/>
                <w:szCs w:val="21"/>
              </w:rPr>
              <w:t>后</w:t>
            </w:r>
            <w:r>
              <w:rPr>
                <w:rFonts w:hint="eastAsia" w:ascii="Times New Roman" w:hAnsi="Times New Roman" w:eastAsia="宋体" w:cs="Times New Roman"/>
                <w:color w:val="000000"/>
                <w:sz w:val="21"/>
                <w:szCs w:val="21"/>
                <w:lang w:eastAsia="zh-CN"/>
              </w:rPr>
              <w:t>定期</w:t>
            </w:r>
            <w:r>
              <w:rPr>
                <w:rFonts w:hint="eastAsia" w:cs="Times New Roman"/>
                <w:color w:val="000000"/>
                <w:sz w:val="21"/>
                <w:szCs w:val="21"/>
                <w:lang w:eastAsia="zh-CN"/>
              </w:rPr>
              <w:t>由服务区清运处理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w:t>
            </w:r>
          </w:p>
        </w:tc>
      </w:tr>
      <w:tr>
        <w:tblPrEx>
          <w:tblCellMar>
            <w:top w:w="0" w:type="dxa"/>
            <w:left w:w="108" w:type="dxa"/>
            <w:bottom w:w="0" w:type="dxa"/>
            <w:right w:w="108" w:type="dxa"/>
          </w:tblCellMar>
        </w:tblPrEx>
        <w:trPr>
          <w:trHeight w:val="831" w:hRule="atLeast"/>
        </w:trPr>
        <w:tc>
          <w:tcPr>
            <w:tcW w:w="1041" w:type="dxa"/>
            <w:vMerge w:val="restart"/>
            <w:tcBorders>
              <w:top w:val="single" w:color="auto" w:sz="6" w:space="0"/>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固体</w:t>
            </w:r>
          </w:p>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废物</w:t>
            </w: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职工及顾客</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生活垃圾</w:t>
            </w:r>
          </w:p>
        </w:tc>
        <w:tc>
          <w:tcPr>
            <w:tcW w:w="1978"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垃圾桶收集</w:t>
            </w:r>
          </w:p>
        </w:tc>
        <w:tc>
          <w:tcPr>
            <w:tcW w:w="3256" w:type="dxa"/>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定期清运至生活垃圾填埋场</w:t>
            </w:r>
          </w:p>
        </w:tc>
      </w:tr>
      <w:tr>
        <w:tblPrEx>
          <w:tblCellMar>
            <w:top w:w="0" w:type="dxa"/>
            <w:left w:w="108" w:type="dxa"/>
            <w:bottom w:w="0" w:type="dxa"/>
            <w:right w:w="108" w:type="dxa"/>
          </w:tblCellMar>
        </w:tblPrEx>
        <w:trPr>
          <w:trHeight w:val="697" w:hRule="atLeast"/>
        </w:trPr>
        <w:tc>
          <w:tcPr>
            <w:tcW w:w="1041" w:type="dxa"/>
            <w:vMerge w:val="continue"/>
            <w:tcBorders>
              <w:left w:val="single" w:color="auto" w:sz="12" w:space="0"/>
              <w:right w:val="single" w:color="auto" w:sz="6" w:space="0"/>
            </w:tcBorders>
            <w:shd w:val="clear" w:color="auto" w:fill="auto"/>
            <w:vAlign w:val="center"/>
          </w:tcPr>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sz w:val="21"/>
                <w:szCs w:val="21"/>
              </w:rPr>
            </w:pPr>
          </w:p>
        </w:tc>
        <w:tc>
          <w:tcPr>
            <w:tcW w:w="1369"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油罐清理</w:t>
            </w:r>
          </w:p>
        </w:tc>
        <w:tc>
          <w:tcPr>
            <w:tcW w:w="1276" w:type="dxa"/>
            <w:tcBorders>
              <w:top w:val="single" w:color="auto" w:sz="6" w:space="0"/>
              <w:left w:val="single" w:color="auto" w:sz="6"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油泥及清罐废水</w:t>
            </w:r>
          </w:p>
        </w:tc>
        <w:tc>
          <w:tcPr>
            <w:tcW w:w="5234" w:type="dxa"/>
            <w:gridSpan w:val="2"/>
            <w:tcBorders>
              <w:top w:val="single" w:color="auto" w:sz="6" w:space="0"/>
              <w:left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rPr>
              <w:t>委托有资质公司清理处置</w:t>
            </w:r>
            <w:r>
              <w:rPr>
                <w:rFonts w:hint="eastAsia" w:cs="Times New Roman"/>
                <w:color w:val="000000"/>
                <w:sz w:val="21"/>
                <w:szCs w:val="21"/>
                <w:lang w:eastAsia="zh-CN"/>
              </w:rPr>
              <w:t>即产即运</w:t>
            </w:r>
          </w:p>
        </w:tc>
      </w:tr>
      <w:tr>
        <w:tblPrEx>
          <w:tblCellMar>
            <w:top w:w="0" w:type="dxa"/>
            <w:left w:w="108" w:type="dxa"/>
            <w:bottom w:w="0" w:type="dxa"/>
            <w:right w:w="108" w:type="dxa"/>
          </w:tblCellMar>
        </w:tblPrEx>
        <w:trPr>
          <w:trHeight w:val="1664"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噪声</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tcPr>
          <w:p>
            <w:pPr>
              <w:keepNext w:val="0"/>
              <w:keepLines w:val="0"/>
              <w:suppressLineNumbers w:val="0"/>
              <w:spacing w:before="0" w:beforeAutospacing="0" w:after="0" w:afterAutospacing="0" w:line="360" w:lineRule="exact"/>
              <w:ind w:left="0" w:right="0" w:firstLine="420" w:firstLineChars="200"/>
              <w:rPr>
                <w:rFonts w:hint="default"/>
              </w:rPr>
            </w:pPr>
            <w:r>
              <w:rPr>
                <w:sz w:val="21"/>
                <w:szCs w:val="21"/>
              </w:rPr>
              <w:t>项目噪声源主要为</w:t>
            </w:r>
            <w:r>
              <w:rPr>
                <w:rFonts w:hint="eastAsia"/>
                <w:sz w:val="21"/>
                <w:szCs w:val="21"/>
              </w:rPr>
              <w:t>加油机等</w:t>
            </w:r>
            <w:r>
              <w:rPr>
                <w:sz w:val="21"/>
                <w:szCs w:val="21"/>
              </w:rPr>
              <w:t>设备</w:t>
            </w:r>
            <w:r>
              <w:rPr>
                <w:rFonts w:hint="eastAsia"/>
                <w:sz w:val="21"/>
                <w:szCs w:val="21"/>
              </w:rPr>
              <w:t>运行时产生的噪声及</w:t>
            </w:r>
            <w:r>
              <w:rPr>
                <w:sz w:val="21"/>
                <w:szCs w:val="21"/>
              </w:rPr>
              <w:t>进出车辆噪声。经采取有效的控制措施、再经过距离衰减后，均满足《工业企业厂界环境噪声排放标准》（GB12348-2008）2类</w:t>
            </w:r>
            <w:r>
              <w:rPr>
                <w:rFonts w:hint="eastAsia"/>
                <w:sz w:val="21"/>
                <w:szCs w:val="21"/>
                <w:lang w:eastAsia="zh-CN"/>
              </w:rPr>
              <w:t>和</w:t>
            </w:r>
            <w:r>
              <w:rPr>
                <w:rFonts w:hint="eastAsia"/>
                <w:sz w:val="21"/>
                <w:szCs w:val="21"/>
                <w:lang w:val="en-US" w:eastAsia="zh-CN"/>
              </w:rPr>
              <w:t>4类</w:t>
            </w:r>
            <w:r>
              <w:rPr>
                <w:sz w:val="21"/>
                <w:szCs w:val="21"/>
              </w:rPr>
              <w:t>标准，因此本项目在生产过程中产生的噪声对周围声环境影响较小</w:t>
            </w:r>
          </w:p>
        </w:tc>
      </w:tr>
      <w:tr>
        <w:tblPrEx>
          <w:tblCellMar>
            <w:top w:w="0" w:type="dxa"/>
            <w:left w:w="108" w:type="dxa"/>
            <w:bottom w:w="0" w:type="dxa"/>
            <w:right w:w="108" w:type="dxa"/>
          </w:tblCellMar>
        </w:tblPrEx>
        <w:trPr>
          <w:trHeight w:val="90" w:hRule="atLeast"/>
        </w:trPr>
        <w:tc>
          <w:tcPr>
            <w:tcW w:w="1041" w:type="dxa"/>
            <w:tcBorders>
              <w:top w:val="single" w:color="auto" w:sz="6" w:space="0"/>
              <w:left w:val="single" w:color="auto" w:sz="12" w:space="0"/>
              <w:bottom w:val="single" w:color="auto" w:sz="6" w:space="0"/>
              <w:right w:val="single" w:color="auto" w:sz="6"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color w:val="000000"/>
                <w:sz w:val="21"/>
                <w:szCs w:val="21"/>
              </w:rPr>
            </w:pPr>
            <w:r>
              <w:rPr>
                <w:rFonts w:hint="eastAsia" w:ascii="Times New Roman" w:hAnsi="Times New Roman" w:eastAsia="宋体" w:cs="Times New Roman"/>
                <w:color w:val="000000"/>
                <w:sz w:val="21"/>
                <w:szCs w:val="21"/>
              </w:rPr>
              <w:t>其他</w:t>
            </w:r>
          </w:p>
        </w:tc>
        <w:tc>
          <w:tcPr>
            <w:tcW w:w="7879" w:type="dxa"/>
            <w:gridSpan w:val="4"/>
            <w:tcBorders>
              <w:top w:val="single" w:color="auto" w:sz="6" w:space="0"/>
              <w:left w:val="single" w:color="auto" w:sz="6"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jc w:val="both"/>
              <w:rPr>
                <w:rFonts w:hint="default"/>
              </w:rPr>
            </w:pPr>
            <w:r>
              <w:rPr>
                <w:rFonts w:hint="eastAsia"/>
                <w:sz w:val="21"/>
                <w:szCs w:val="21"/>
              </w:rPr>
              <w:t>环境</w:t>
            </w:r>
            <w:r>
              <w:rPr>
                <w:sz w:val="21"/>
                <w:szCs w:val="21"/>
              </w:rPr>
              <w:t>风险：本项目按消防、加油站防火规范设计、建设和管理</w:t>
            </w:r>
            <w:r>
              <w:rPr>
                <w:rFonts w:hint="eastAsia"/>
                <w:sz w:val="21"/>
                <w:szCs w:val="21"/>
              </w:rPr>
              <w:t>，</w:t>
            </w:r>
            <w:r>
              <w:rPr>
                <w:sz w:val="21"/>
                <w:szCs w:val="21"/>
              </w:rPr>
              <w:t>并采取</w:t>
            </w:r>
            <w:r>
              <w:rPr>
                <w:rFonts w:hint="eastAsia"/>
                <w:sz w:val="21"/>
                <w:szCs w:val="21"/>
              </w:rPr>
              <w:t>防火</w:t>
            </w:r>
            <w:r>
              <w:rPr>
                <w:sz w:val="21"/>
                <w:szCs w:val="21"/>
              </w:rPr>
              <w:t>、防爆、防雷</w:t>
            </w:r>
            <w:r>
              <w:rPr>
                <w:rFonts w:hint="eastAsia"/>
                <w:sz w:val="21"/>
                <w:szCs w:val="21"/>
              </w:rPr>
              <w:t>等</w:t>
            </w:r>
            <w:r>
              <w:rPr>
                <w:sz w:val="21"/>
                <w:szCs w:val="21"/>
              </w:rPr>
              <w:t>措施，防范生产事故的发生，降低环境风险发生的概</w:t>
            </w:r>
            <w:r>
              <w:rPr>
                <w:rFonts w:hint="eastAsia"/>
                <w:sz w:val="21"/>
                <w:szCs w:val="21"/>
              </w:rPr>
              <w:t>率</w:t>
            </w:r>
            <w:r>
              <w:rPr>
                <w:sz w:val="21"/>
                <w:szCs w:val="21"/>
              </w:rPr>
              <w:t>。</w:t>
            </w:r>
          </w:p>
        </w:tc>
      </w:tr>
      <w:tr>
        <w:tblPrEx>
          <w:tblCellMar>
            <w:top w:w="0" w:type="dxa"/>
            <w:left w:w="108" w:type="dxa"/>
            <w:bottom w:w="0" w:type="dxa"/>
            <w:right w:w="108" w:type="dxa"/>
          </w:tblCellMar>
        </w:tblPrEx>
        <w:trPr>
          <w:trHeight w:val="90" w:hRule="atLeast"/>
        </w:trPr>
        <w:tc>
          <w:tcPr>
            <w:tcW w:w="8920" w:type="dxa"/>
            <w:gridSpan w:val="5"/>
            <w:tcBorders>
              <w:top w:val="single" w:color="auto" w:sz="6" w:space="0"/>
              <w:left w:val="single" w:color="auto" w:sz="12" w:space="0"/>
              <w:bottom w:val="single" w:color="auto" w:sz="6" w:space="0"/>
              <w:right w:val="single" w:color="auto" w:sz="12" w:space="0"/>
            </w:tcBorders>
            <w:shd w:val="clear" w:color="auto" w:fill="auto"/>
            <w:vAlign w:val="center"/>
          </w:tcPr>
          <w:p>
            <w:pPr>
              <w:keepNext w:val="0"/>
              <w:keepLines w:val="0"/>
              <w:suppressLineNumbers w:val="0"/>
              <w:spacing w:before="0" w:beforeAutospacing="0" w:after="0" w:afterAutospacing="0" w:line="360" w:lineRule="exact"/>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生态保护措施及预期效果</w:t>
            </w:r>
          </w:p>
          <w:p>
            <w:pPr>
              <w:keepNext w:val="0"/>
              <w:keepLines w:val="0"/>
              <w:suppressLineNumbers w:val="0"/>
              <w:spacing w:before="0" w:beforeAutospacing="0" w:after="0" w:afterAutospacing="0" w:line="360" w:lineRule="exact"/>
              <w:ind w:left="0" w:right="0" w:firstLine="480" w:firstLineChars="200"/>
              <w:rPr>
                <w:rFonts w:hint="default"/>
              </w:rPr>
            </w:pPr>
            <w:r>
              <w:rPr>
                <w:rFonts w:hint="eastAsia" w:ascii="Times New Roman" w:hAnsi="Times New Roman" w:eastAsia="宋体" w:cs="Times New Roman"/>
                <w:color w:val="000000"/>
                <w:szCs w:val="20"/>
              </w:rPr>
              <w:t>项目在施工过程中，由于土方开挖和地面硬化，会对项目地块局部生态环境产生一定的影响。项目建成对站区进行合理绿化后，对该区域生态环境影响很小。</w:t>
            </w:r>
          </w:p>
          <w:p>
            <w:pPr>
              <w:pStyle w:val="18"/>
              <w:rPr>
                <w:rFonts w:hint="default"/>
              </w:rPr>
            </w:pPr>
          </w:p>
          <w:p>
            <w:pPr>
              <w:pStyle w:val="18"/>
              <w:rPr>
                <w:rFonts w:hint="default"/>
              </w:rPr>
            </w:pPr>
          </w:p>
          <w:p>
            <w:pPr>
              <w:pStyle w:val="18"/>
              <w:rPr>
                <w:rFonts w:hint="default"/>
              </w:rPr>
            </w:pPr>
          </w:p>
          <w:p>
            <w:pPr>
              <w:pStyle w:val="18"/>
              <w:rPr>
                <w:rFonts w:hint="default"/>
              </w:rPr>
            </w:pPr>
          </w:p>
          <w:p>
            <w:pPr>
              <w:pStyle w:val="18"/>
              <w:rPr>
                <w:rFonts w:hint="default"/>
              </w:rPr>
            </w:pPr>
          </w:p>
          <w:p>
            <w:pPr>
              <w:pStyle w:val="18"/>
              <w:rPr>
                <w:rFonts w:hint="default"/>
              </w:rPr>
            </w:pPr>
          </w:p>
        </w:tc>
      </w:tr>
    </w:tbl>
    <w:p>
      <w:pPr>
        <w:adjustRightInd w:val="0"/>
        <w:snapToGrid w:val="0"/>
        <w:spacing w:line="240" w:lineRule="auto"/>
        <w:ind w:firstLine="0" w:firstLineChars="0"/>
        <w:rPr>
          <w:rFonts w:ascii="Times New Roman" w:hAnsi="Times New Roman" w:eastAsia="宋体" w:cs="Times New Roman"/>
          <w:b/>
          <w:color w:val="000000"/>
          <w:sz w:val="30"/>
          <w:szCs w:val="30"/>
        </w:rPr>
      </w:pPr>
      <w:r>
        <w:rPr>
          <w:rFonts w:ascii="Times New Roman" w:hAnsi="Times New Roman" w:eastAsia="宋体" w:cs="Times New Roman"/>
          <w:b/>
          <w:color w:val="000000"/>
          <w:sz w:val="30"/>
          <w:szCs w:val="30"/>
        </w:rPr>
        <w:br w:type="page"/>
      </w:r>
      <w:r>
        <w:rPr>
          <w:rFonts w:hint="eastAsia" w:ascii="Times New Roman" w:hAnsi="Times New Roman" w:eastAsia="宋体" w:cs="Times New Roman"/>
          <w:b/>
          <w:color w:val="000000"/>
          <w:sz w:val="30"/>
          <w:szCs w:val="30"/>
        </w:rPr>
        <w:t>结论与建议</w:t>
      </w:r>
    </w:p>
    <w:tbl>
      <w:tblPr>
        <w:tblStyle w:val="20"/>
        <w:tblW w:w="9300" w:type="dxa"/>
        <w:jc w:val="center"/>
        <w:tblLayout w:type="fixed"/>
        <w:tblCellMar>
          <w:top w:w="0" w:type="dxa"/>
          <w:left w:w="108" w:type="dxa"/>
          <w:bottom w:w="0" w:type="dxa"/>
          <w:right w:w="108" w:type="dxa"/>
        </w:tblCellMar>
      </w:tblPr>
      <w:tblGrid>
        <w:gridCol w:w="8945"/>
        <w:gridCol w:w="355"/>
      </w:tblGrid>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b/>
                <w:color w:val="000000"/>
                <w:szCs w:val="24"/>
              </w:rPr>
            </w:pPr>
            <w:r>
              <w:rPr>
                <w:rFonts w:hint="default" w:ascii="Times New Roman" w:hAnsi="Times New Roman" w:eastAsia="宋体" w:cs="Times New Roman"/>
                <w:b/>
                <w:color w:val="000000"/>
                <w:szCs w:val="24"/>
              </w:rPr>
              <w:t xml:space="preserve">1. </w:t>
            </w:r>
            <w:r>
              <w:rPr>
                <w:rFonts w:hint="eastAsia" w:ascii="Times New Roman" w:hAnsi="Times New Roman" w:eastAsia="宋体" w:cs="Times New Roman"/>
                <w:b/>
                <w:color w:val="000000"/>
                <w:szCs w:val="24"/>
              </w:rPr>
              <w:t>评价结论</w:t>
            </w:r>
          </w:p>
          <w:p>
            <w:pPr>
              <w:pStyle w:val="11"/>
              <w:spacing w:line="360" w:lineRule="auto"/>
              <w:ind w:firstLine="482" w:firstLineChars="200"/>
              <w:rPr>
                <w:rFonts w:hint="eastAsia" w:ascii="Times New Roman" w:hAnsi="Times New Roman"/>
                <w:sz w:val="24"/>
                <w:szCs w:val="24"/>
              </w:rPr>
            </w:pPr>
            <w:r>
              <w:rPr>
                <w:rFonts w:ascii="Times New Roman" w:hAnsi="Times New Roman"/>
                <w:b/>
                <w:bCs/>
                <w:sz w:val="24"/>
                <w:szCs w:val="24"/>
              </w:rPr>
              <w:t>1、</w:t>
            </w:r>
            <w:r>
              <w:rPr>
                <w:rFonts w:hint="eastAsia" w:ascii="Times New Roman" w:hAnsi="Times New Roman"/>
                <w:b/>
                <w:bCs/>
                <w:sz w:val="24"/>
                <w:szCs w:val="24"/>
              </w:rPr>
              <w:t>项目概况</w:t>
            </w:r>
          </w:p>
          <w:p>
            <w:pPr>
              <w:bidi w:val="0"/>
              <w:rPr>
                <w:rFonts w:hint="eastAsia"/>
              </w:rPr>
            </w:pPr>
            <w:r>
              <w:rPr>
                <w:rFonts w:hint="eastAsia"/>
                <w:lang w:eastAsia="zh-CN"/>
              </w:rPr>
              <w:t>河南高速能源有限责任公司鲁山经营部平顶山南服务区南加油站改建项目</w:t>
            </w:r>
            <w:r>
              <w:t>位于</w:t>
            </w:r>
            <w:r>
              <w:rPr>
                <w:rFonts w:hint="eastAsia"/>
              </w:rPr>
              <w:t>平顶山市鲁山县</w:t>
            </w:r>
            <w:r>
              <w:rPr>
                <w:rFonts w:hint="eastAsia"/>
                <w:lang w:eastAsia="zh-CN"/>
              </w:rPr>
              <w:t>郑石高速公路平顶山南服务区北侧</w:t>
            </w:r>
            <w:r>
              <w:rPr>
                <w:rFonts w:hint="eastAsia"/>
              </w:rPr>
              <w:t>，占地面积</w:t>
            </w:r>
            <w:r>
              <w:rPr>
                <w:rFonts w:hint="eastAsia"/>
                <w:lang w:val="en-US" w:eastAsia="zh-CN"/>
              </w:rPr>
              <w:t>4000</w:t>
            </w:r>
            <w:r>
              <w:rPr>
                <w:rFonts w:hint="eastAsia"/>
              </w:rPr>
              <w:t>m2。</w:t>
            </w:r>
            <w:r>
              <w:t>将原加油站上的建筑</w:t>
            </w:r>
            <w:r>
              <w:rPr>
                <w:rFonts w:hint="eastAsia"/>
                <w:lang w:eastAsia="zh-CN"/>
              </w:rPr>
              <w:t>进行</w:t>
            </w:r>
            <w:r>
              <w:t>整修，</w:t>
            </w:r>
            <w:r>
              <w:rPr>
                <w:rFonts w:hint="eastAsia"/>
              </w:rPr>
              <w:t>原站房保留，</w:t>
            </w:r>
            <w:r>
              <w:rPr>
                <w:rFonts w:hint="eastAsia"/>
                <w:lang w:eastAsia="zh-CN"/>
              </w:rPr>
              <w:t>罩棚重建，</w:t>
            </w:r>
            <w:r>
              <w:rPr>
                <w:rFonts w:hint="eastAsia"/>
              </w:rPr>
              <w:t>配置</w:t>
            </w:r>
            <w:r>
              <w:rPr>
                <w:rFonts w:hint="eastAsia"/>
                <w:lang w:val="en-US" w:eastAsia="zh-CN"/>
              </w:rPr>
              <w:t>6</w:t>
            </w:r>
            <w:r>
              <w:rPr>
                <w:rFonts w:hint="eastAsia"/>
              </w:rPr>
              <w:t>台双泵双枪加油机，埋设</w:t>
            </w:r>
            <w:r>
              <w:rPr>
                <w:rFonts w:hint="eastAsia"/>
                <w:lang w:val="en-US" w:eastAsia="zh-CN"/>
              </w:rPr>
              <w:t>6</w:t>
            </w:r>
            <w:r>
              <w:rPr>
                <w:rFonts w:hint="eastAsia"/>
              </w:rPr>
              <w:t>个SF双层油罐</w:t>
            </w:r>
            <w:r>
              <w:rPr>
                <w:rFonts w:hint="eastAsia"/>
                <w:lang w:eastAsia="zh-CN"/>
              </w:rPr>
              <w:t>（</w:t>
            </w:r>
            <w:r>
              <w:rPr>
                <w:rFonts w:hint="eastAsia"/>
                <w:lang w:val="en-US" w:eastAsia="zh-CN"/>
              </w:rPr>
              <w:t>3</w:t>
            </w:r>
            <w:r>
              <w:rPr>
                <w:rFonts w:hint="eastAsia"/>
              </w:rPr>
              <w:t>个30m</w:t>
            </w:r>
            <w:r>
              <w:rPr>
                <w:rFonts w:hint="eastAsia"/>
                <w:vertAlign w:val="superscript"/>
              </w:rPr>
              <w:t>3</w:t>
            </w:r>
            <w:r>
              <w:rPr>
                <w:rFonts w:hint="eastAsia"/>
              </w:rPr>
              <w:t>SF双层汽油罐，</w:t>
            </w:r>
            <w:r>
              <w:rPr>
                <w:rFonts w:hint="eastAsia"/>
                <w:lang w:val="en-US" w:eastAsia="zh-CN"/>
              </w:rPr>
              <w:t>3</w:t>
            </w:r>
            <w:r>
              <w:rPr>
                <w:rFonts w:hint="eastAsia"/>
              </w:rPr>
              <w:t>个</w:t>
            </w:r>
            <w:r>
              <w:rPr>
                <w:rFonts w:hint="eastAsia"/>
                <w:lang w:val="en-US" w:eastAsia="zh-CN"/>
              </w:rPr>
              <w:t>5</w:t>
            </w:r>
            <w:r>
              <w:rPr>
                <w:rFonts w:hint="eastAsia"/>
              </w:rPr>
              <w:t>0m</w:t>
            </w:r>
            <w:r>
              <w:rPr>
                <w:rFonts w:hint="eastAsia"/>
                <w:vertAlign w:val="superscript"/>
              </w:rPr>
              <w:t>3</w:t>
            </w:r>
            <w:r>
              <w:rPr>
                <w:rFonts w:hint="eastAsia"/>
              </w:rPr>
              <w:t>SF双层柴油罐</w:t>
            </w:r>
            <w:r>
              <w:rPr>
                <w:rFonts w:hint="eastAsia"/>
                <w:lang w:eastAsia="zh-CN"/>
              </w:rPr>
              <w:t>）</w:t>
            </w:r>
            <w:r>
              <w:t>，</w:t>
            </w:r>
            <w:r>
              <w:rPr>
                <w:rFonts w:hint="eastAsia"/>
              </w:rPr>
              <w:t>改建后本站</w:t>
            </w:r>
            <w:r>
              <w:rPr>
                <w:rFonts w:hint="eastAsia"/>
                <w:lang w:eastAsia="zh-CN"/>
              </w:rPr>
              <w:t>等级不变</w:t>
            </w:r>
            <w:r>
              <w:rPr>
                <w:rFonts w:hint="eastAsia"/>
              </w:rPr>
              <w:t>为</w:t>
            </w:r>
            <w:r>
              <w:rPr>
                <w:rFonts w:hint="eastAsia"/>
                <w:lang w:eastAsia="zh-CN"/>
              </w:rPr>
              <w:t>一级</w:t>
            </w:r>
            <w:r>
              <w:rPr>
                <w:rFonts w:hint="eastAsia"/>
              </w:rPr>
              <w:t>加油站。</w:t>
            </w:r>
          </w:p>
          <w:p>
            <w:pPr>
              <w:bidi w:val="0"/>
              <w:rPr>
                <w:rFonts w:ascii="Times New Roman" w:hAnsi="Times New Roman"/>
                <w:szCs w:val="24"/>
              </w:rPr>
            </w:pPr>
            <w:r>
              <w:rPr>
                <w:rFonts w:hint="eastAsia"/>
                <w:b/>
                <w:bCs/>
              </w:rPr>
              <w:t>2</w:t>
            </w:r>
            <w:r>
              <w:rPr>
                <w:b/>
                <w:bCs/>
              </w:rPr>
              <w:t>、</w:t>
            </w:r>
            <w:r>
              <w:rPr>
                <w:rFonts w:hint="eastAsia"/>
                <w:b/>
                <w:bCs/>
                <w:lang w:eastAsia="zh-CN"/>
              </w:rPr>
              <w:t>项目选址及规划</w:t>
            </w:r>
            <w:r>
              <w:rPr>
                <w:b/>
                <w:bCs/>
              </w:rPr>
              <w:t>相符性</w:t>
            </w:r>
          </w:p>
          <w:p>
            <w:pPr>
              <w:spacing w:line="500" w:lineRule="exact"/>
              <w:ind w:firstLine="480" w:firstLineChars="200"/>
              <w:rPr>
                <w:rFonts w:hint="eastAsia" w:ascii="Times New Roman" w:hAnsi="Times New Roman" w:cs="宋体"/>
                <w:sz w:val="24"/>
                <w:szCs w:val="24"/>
              </w:rPr>
            </w:pPr>
            <w:r>
              <w:rPr>
                <w:rFonts w:hint="eastAsia" w:ascii="Times New Roman" w:hAnsi="Times New Roman" w:cs="宋体"/>
                <w:color w:val="auto"/>
                <w:sz w:val="24"/>
                <w:szCs w:val="24"/>
                <w:lang w:val="zh-CN"/>
              </w:rPr>
              <w:t>本项目为改建性质，已由</w:t>
            </w:r>
            <w:r>
              <w:rPr>
                <w:rFonts w:hint="eastAsia" w:ascii="Times New Roman" w:hAnsi="Times New Roman"/>
                <w:color w:val="auto"/>
                <w:sz w:val="24"/>
                <w:szCs w:val="22"/>
              </w:rPr>
              <w:t>鲁山县发展和改革委员会</w:t>
            </w:r>
            <w:r>
              <w:rPr>
                <w:rFonts w:hint="eastAsia" w:ascii="Times New Roman" w:hAnsi="Times New Roman" w:cs="宋体"/>
                <w:color w:val="auto"/>
                <w:sz w:val="24"/>
                <w:szCs w:val="24"/>
                <w:lang w:val="zh-CN"/>
              </w:rPr>
              <w:t xml:space="preserve">备案，项目代码为 </w:t>
            </w:r>
            <w:r>
              <w:rPr>
                <w:rFonts w:hint="eastAsia"/>
                <w:color w:val="auto"/>
                <w:sz w:val="24"/>
                <w:szCs w:val="22"/>
                <w:lang w:eastAsia="zh-CN"/>
              </w:rPr>
              <w:t>2020-410423-52-03-101107</w:t>
            </w:r>
            <w:r>
              <w:rPr>
                <w:rFonts w:hint="eastAsia" w:ascii="Times New Roman" w:hAnsi="Times New Roman" w:cs="宋体"/>
                <w:color w:val="auto"/>
                <w:sz w:val="24"/>
                <w:szCs w:val="24"/>
                <w:lang w:val="zh-CN"/>
              </w:rPr>
              <w:t>。</w:t>
            </w:r>
            <w:r>
              <w:rPr>
                <w:rFonts w:hint="eastAsia" w:ascii="Times New Roman" w:hAnsi="Times New Roman" w:cs="宋体"/>
                <w:sz w:val="24"/>
                <w:szCs w:val="24"/>
              </w:rPr>
              <w:t>经查阅《产业结构调整指导目录（201</w:t>
            </w:r>
            <w:r>
              <w:rPr>
                <w:rFonts w:hint="eastAsia" w:ascii="Times New Roman" w:hAnsi="Times New Roman" w:cs="宋体"/>
                <w:sz w:val="24"/>
                <w:szCs w:val="24"/>
                <w:lang w:val="en-US" w:eastAsia="zh-CN"/>
              </w:rPr>
              <w:t>9</w:t>
            </w:r>
            <w:r>
              <w:rPr>
                <w:rFonts w:hint="eastAsia" w:ascii="Times New Roman" w:hAnsi="Times New Roman" w:cs="宋体"/>
                <w:sz w:val="24"/>
                <w:szCs w:val="24"/>
              </w:rPr>
              <w:t>年）》，本项目不属于鼓励类、限制类和淘汰类，属于允许类。因此本项目符合国家有关产业政策。</w:t>
            </w:r>
          </w:p>
          <w:p>
            <w:pPr>
              <w:spacing w:line="520" w:lineRule="exact"/>
              <w:ind w:firstLine="480" w:firstLineChars="200"/>
              <w:rPr>
                <w:rFonts w:hint="eastAsia" w:ascii="Times New Roman" w:hAnsi="Times New Roman"/>
                <w:color w:val="auto"/>
                <w:sz w:val="24"/>
                <w:szCs w:val="22"/>
                <w:lang w:eastAsia="zh-CN"/>
              </w:rPr>
            </w:pPr>
            <w:r>
              <w:rPr>
                <w:rFonts w:hint="eastAsia" w:ascii="Times New Roman" w:hAnsi="Times New Roman"/>
                <w:color w:val="auto"/>
                <w:sz w:val="24"/>
                <w:szCs w:val="22"/>
              </w:rPr>
              <w:t>本项目选址位于平顶山市鲁山县</w:t>
            </w:r>
            <w:r>
              <w:rPr>
                <w:rFonts w:hint="eastAsia" w:ascii="Times New Roman" w:hAnsi="Times New Roman"/>
                <w:color w:val="auto"/>
                <w:sz w:val="24"/>
                <w:szCs w:val="22"/>
                <w:lang w:eastAsia="zh-CN"/>
              </w:rPr>
              <w:t>郑</w:t>
            </w:r>
            <w:r>
              <w:rPr>
                <w:rFonts w:hint="eastAsia"/>
                <w:color w:val="auto"/>
                <w:sz w:val="24"/>
                <w:szCs w:val="22"/>
                <w:lang w:eastAsia="zh-CN"/>
              </w:rPr>
              <w:t>石</w:t>
            </w:r>
            <w:r>
              <w:rPr>
                <w:rFonts w:hint="eastAsia" w:ascii="Times New Roman" w:hAnsi="Times New Roman"/>
                <w:color w:val="auto"/>
                <w:sz w:val="24"/>
                <w:szCs w:val="22"/>
                <w:lang w:eastAsia="zh-CN"/>
              </w:rPr>
              <w:t>高速公路</w:t>
            </w:r>
            <w:r>
              <w:rPr>
                <w:rFonts w:hint="eastAsia"/>
                <w:color w:val="auto"/>
                <w:sz w:val="24"/>
                <w:szCs w:val="22"/>
                <w:lang w:eastAsia="zh-CN"/>
              </w:rPr>
              <w:t>石人山南服务区南</w:t>
            </w:r>
            <w:r>
              <w:rPr>
                <w:rFonts w:hint="eastAsia" w:ascii="Times New Roman" w:hAnsi="Times New Roman"/>
                <w:color w:val="auto"/>
                <w:sz w:val="24"/>
                <w:szCs w:val="22"/>
                <w:lang w:eastAsia="zh-CN"/>
              </w:rPr>
              <w:t>侧</w:t>
            </w:r>
            <w:r>
              <w:rPr>
                <w:rFonts w:hint="eastAsia" w:ascii="Times New Roman" w:hAnsi="Times New Roman"/>
                <w:color w:val="auto"/>
                <w:sz w:val="24"/>
                <w:szCs w:val="22"/>
              </w:rPr>
              <w:t>，</w:t>
            </w:r>
            <w:r>
              <w:rPr>
                <w:rFonts w:hint="eastAsia" w:ascii="Times New Roman" w:hAnsi="Times New Roman"/>
                <w:color w:val="auto"/>
                <w:sz w:val="24"/>
                <w:szCs w:val="22"/>
                <w:lang w:eastAsia="zh-CN"/>
              </w:rPr>
              <w:t>项目用地为</w:t>
            </w:r>
            <w:r>
              <w:rPr>
                <w:rFonts w:hint="eastAsia" w:ascii="Times New Roman" w:hAnsi="Times New Roman"/>
                <w:color w:val="auto"/>
                <w:sz w:val="24"/>
                <w:szCs w:val="22"/>
              </w:rPr>
              <w:t>平顶山市鲁山县</w:t>
            </w:r>
            <w:r>
              <w:rPr>
                <w:rFonts w:hint="eastAsia"/>
                <w:color w:val="auto"/>
                <w:sz w:val="24"/>
                <w:szCs w:val="22"/>
                <w:lang w:eastAsia="zh-CN"/>
              </w:rPr>
              <w:t>郑石高速公路</w:t>
            </w:r>
            <w:r>
              <w:rPr>
                <w:rFonts w:hint="eastAsia" w:ascii="Times New Roman" w:hAnsi="Times New Roman"/>
                <w:color w:val="auto"/>
                <w:sz w:val="24"/>
                <w:szCs w:val="22"/>
                <w:lang w:eastAsia="zh-CN"/>
              </w:rPr>
              <w:t>附属的</w:t>
            </w:r>
            <w:r>
              <w:rPr>
                <w:rFonts w:hint="eastAsia"/>
                <w:color w:val="auto"/>
                <w:sz w:val="24"/>
                <w:szCs w:val="22"/>
                <w:lang w:eastAsia="zh-CN"/>
              </w:rPr>
              <w:t>石人山</w:t>
            </w:r>
            <w:r>
              <w:rPr>
                <w:rFonts w:hint="eastAsia" w:ascii="Times New Roman" w:hAnsi="Times New Roman"/>
                <w:color w:val="auto"/>
                <w:sz w:val="24"/>
                <w:szCs w:val="22"/>
                <w:lang w:eastAsia="zh-CN"/>
              </w:rPr>
              <w:t>服务区建设用地，该项目用地为鲁山县国土资源局划拨用地，项目选址符合鲁山县规划建设。</w:t>
            </w:r>
          </w:p>
          <w:p>
            <w:pPr>
              <w:spacing w:line="520" w:lineRule="exact"/>
              <w:ind w:firstLine="480" w:firstLineChars="200"/>
              <w:rPr>
                <w:rFonts w:hint="eastAsia" w:ascii="Times New Roman" w:hAnsi="Times New Roman" w:cs="宋体"/>
                <w:sz w:val="24"/>
                <w:szCs w:val="24"/>
              </w:rPr>
            </w:pPr>
            <w:r>
              <w:rPr>
                <w:rFonts w:hint="eastAsia" w:ascii="Times New Roman" w:hAnsi="Times New Roman" w:cs="宋体"/>
                <w:sz w:val="24"/>
                <w:szCs w:val="24"/>
              </w:rPr>
              <w:t>本项目汽油、柴油设备与站外建（构）筑物的安全距离均可达到《汽车加油加气站设计与施工规范》（GB50516-2012）中相关标准。</w:t>
            </w:r>
          </w:p>
          <w:p>
            <w:pPr>
              <w:pStyle w:val="32"/>
              <w:ind w:firstLine="480"/>
              <w:rPr>
                <w:rFonts w:hint="eastAsia" w:ascii="Times New Roman" w:hAnsi="Times New Roman" w:cs="宋体"/>
                <w:szCs w:val="24"/>
              </w:rPr>
            </w:pPr>
            <w:r>
              <w:rPr>
                <w:rFonts w:hint="eastAsia" w:ascii="Times New Roman" w:hAnsi="Times New Roman"/>
                <w:szCs w:val="24"/>
              </w:rPr>
              <w:t>本项目在设计中充分考虑了消防、安全、环保等规范规定的要求；总图布置功能分区明确，布局较合理，将加油区、油罐区、站房分区设置，各功能区相对独立，减少了彼此的干扰，整个布置既方便管理，又减少了安全隐患，满足《汽车加油加气站设计与施工规范》（GB50156-2012）要求</w:t>
            </w:r>
            <w:r>
              <w:rPr>
                <w:rFonts w:hint="eastAsia" w:ascii="Times New Roman" w:hAnsi="Times New Roman"/>
                <w:szCs w:val="24"/>
                <w:lang w:eastAsia="zh-CN"/>
              </w:rPr>
              <w:t>，</w:t>
            </w:r>
            <w:r>
              <w:rPr>
                <w:rFonts w:hint="eastAsia" w:ascii="Times New Roman" w:hAnsi="Times New Roman" w:cs="宋体"/>
                <w:szCs w:val="24"/>
              </w:rPr>
              <w:t>本项目选址合理可行。</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3</w:t>
            </w:r>
            <w:r>
              <w:rPr>
                <w:rFonts w:hint="eastAsia" w:ascii="Times New Roman" w:hAnsi="Times New Roman"/>
                <w:b/>
                <w:bCs/>
                <w:sz w:val="24"/>
                <w:szCs w:val="24"/>
              </w:rPr>
              <w:t>、施工期影响分析结论</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施工期间污染环境的因素，可采取一定的措施避免或减轻其污染，使其达标排放，采取本报告提出的施工期污染防治措施，本项目施工噪声和扬尘对周围保护目标的影响小，且这些影响也是短期的，随着施工期结束，施工噪声、扬尘等问题也会消失。</w:t>
            </w:r>
          </w:p>
          <w:p>
            <w:pPr>
              <w:spacing w:line="360" w:lineRule="auto"/>
              <w:ind w:firstLine="482" w:firstLineChars="200"/>
              <w:rPr>
                <w:rFonts w:hint="eastAsia" w:ascii="Times New Roman" w:hAnsi="Times New Roman"/>
                <w:b/>
                <w:bCs/>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、营运期影响分析结论</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4</w:t>
            </w:r>
            <w:r>
              <w:rPr>
                <w:rFonts w:hint="eastAsia" w:ascii="Times New Roman" w:hAnsi="Times New Roman"/>
                <w:b/>
                <w:bCs/>
                <w:sz w:val="24"/>
                <w:szCs w:val="24"/>
              </w:rPr>
              <w:t>.1大气环境影响分析结论</w:t>
            </w:r>
          </w:p>
          <w:p>
            <w:pPr>
              <w:spacing w:line="360" w:lineRule="auto"/>
              <w:ind w:firstLine="480" w:firstLineChars="200"/>
              <w:rPr>
                <w:rFonts w:hint="eastAsia" w:ascii="Times New Roman" w:hAnsi="Times New Roman"/>
                <w:bCs/>
                <w:sz w:val="24"/>
                <w:szCs w:val="24"/>
              </w:rPr>
            </w:pPr>
            <w:r>
              <w:rPr>
                <w:rFonts w:ascii="Times New Roman" w:hAnsi="Times New Roman"/>
                <w:bCs/>
                <w:sz w:val="24"/>
              </w:rPr>
              <w:t>加油站废气主要是来往加油的汽车尾气、油罐大小呼吸及加油作业等排放的非甲烷总烃</w:t>
            </w:r>
            <w:r>
              <w:rPr>
                <w:rFonts w:ascii="Times New Roman" w:hAnsi="Times New Roman"/>
                <w:bCs/>
                <w:sz w:val="24"/>
                <w:szCs w:val="22"/>
              </w:rPr>
              <w:t>。加油</w:t>
            </w:r>
            <w:r>
              <w:rPr>
                <w:rFonts w:ascii="Times New Roman" w:hAnsi="Times New Roman"/>
                <w:bCs/>
                <w:sz w:val="24"/>
              </w:rPr>
              <w:t>时车辆均熄火，汽车尾气产生量较小，不会改变区域环境空气质量，对周围环境影响很小。</w:t>
            </w:r>
            <w:r>
              <w:rPr>
                <w:rFonts w:ascii="Times New Roman" w:hAnsi="Times New Roman"/>
                <w:sz w:val="24"/>
              </w:rPr>
              <w:t>项目将安装油气回收系统，</w:t>
            </w:r>
            <w:r>
              <w:rPr>
                <w:rFonts w:ascii="Times New Roman" w:hAnsi="Times New Roman"/>
                <w:bCs/>
                <w:sz w:val="24"/>
                <w:szCs w:val="24"/>
              </w:rPr>
              <w:t>项目污染</w:t>
            </w:r>
            <w:r>
              <w:rPr>
                <w:rFonts w:ascii="Times New Roman" w:hAnsi="Times New Roman"/>
                <w:bCs/>
                <w:color w:val="000000"/>
                <w:sz w:val="24"/>
                <w:szCs w:val="24"/>
              </w:rPr>
              <w:t>物在各厂界浓度值</w:t>
            </w:r>
            <w:r>
              <w:rPr>
                <w:rFonts w:ascii="Times New Roman" w:hAnsi="Times New Roman"/>
                <w:bCs/>
                <w:sz w:val="24"/>
                <w:szCs w:val="24"/>
              </w:rPr>
              <w:t>满足《大气污染物综合排放标准》（GB16297-1996）表2中非甲烷总烃周界外浓度最高点4.0 mg/m³的要求，</w:t>
            </w:r>
            <w:r>
              <w:rPr>
                <w:rFonts w:hint="eastAsia" w:ascii="Times New Roman" w:hAnsi="Times New Roman"/>
                <w:bCs/>
                <w:sz w:val="24"/>
                <w:szCs w:val="24"/>
              </w:rPr>
              <w:t>满足《加油站大气污染物排放标准》（GB20952-2007）中的油气控制浓度限值（≦25 mg/m</w:t>
            </w:r>
            <w:r>
              <w:rPr>
                <w:rFonts w:hint="eastAsia" w:ascii="Times New Roman" w:hAnsi="Times New Roman"/>
                <w:bCs/>
                <w:sz w:val="24"/>
                <w:szCs w:val="24"/>
                <w:vertAlign w:val="superscript"/>
              </w:rPr>
              <w:t>3</w:t>
            </w:r>
            <w:r>
              <w:rPr>
                <w:rFonts w:hint="eastAsia" w:ascii="Times New Roman" w:hAnsi="Times New Roman"/>
                <w:bCs/>
                <w:sz w:val="24"/>
                <w:szCs w:val="24"/>
              </w:rPr>
              <w:t>）</w:t>
            </w:r>
            <w:r>
              <w:rPr>
                <w:rFonts w:ascii="Times New Roman" w:hAnsi="Times New Roman"/>
                <w:bCs/>
                <w:sz w:val="24"/>
                <w:szCs w:val="24"/>
              </w:rPr>
              <w:t>的要求</w:t>
            </w:r>
            <w:r>
              <w:rPr>
                <w:rFonts w:hint="eastAsia" w:ascii="Times New Roman" w:hAnsi="Times New Roman"/>
                <w:bCs/>
                <w:sz w:val="24"/>
                <w:szCs w:val="24"/>
              </w:rPr>
              <w:t>，</w:t>
            </w:r>
            <w:r>
              <w:rPr>
                <w:rFonts w:ascii="Times New Roman" w:hAnsi="Times New Roman"/>
                <w:bCs/>
                <w:sz w:val="24"/>
                <w:szCs w:val="24"/>
              </w:rPr>
              <w:t>以及河南省环境污染防治攻坚战领导小组办公室《关于全省开展工业企业挥发性有机物专项治理工作中排放建议值的通知》（豫环攻坚办[2017]162号）中企业边界挥发性有机物排放建议值</w:t>
            </w:r>
            <w:r>
              <w:rPr>
                <w:rFonts w:hint="eastAsia" w:ascii="Times New Roman" w:hAnsi="Times New Roman"/>
                <w:bCs/>
                <w:sz w:val="24"/>
                <w:szCs w:val="24"/>
              </w:rPr>
              <w:t>非甲烷总烃</w:t>
            </w:r>
            <w:r>
              <w:rPr>
                <w:rFonts w:ascii="Times New Roman" w:hAnsi="Times New Roman"/>
                <w:bCs/>
                <w:sz w:val="24"/>
                <w:szCs w:val="24"/>
              </w:rPr>
              <w:t>2.0mg/m³的要求</w:t>
            </w:r>
            <w:r>
              <w:rPr>
                <w:rFonts w:ascii="Times New Roman" w:hAnsi="Times New Roman"/>
                <w:sz w:val="24"/>
              </w:rPr>
              <w:t>。</w:t>
            </w:r>
            <w:r>
              <w:rPr>
                <w:rFonts w:hint="eastAsia" w:ascii="Times New Roman" w:hAnsi="Times New Roman"/>
                <w:sz w:val="24"/>
              </w:rPr>
              <w:t>根据估算软件计算，项目营运期无组织非甲烷总烃无超标点，</w:t>
            </w:r>
            <w:r>
              <w:rPr>
                <w:rFonts w:hint="eastAsia" w:ascii="Times New Roman" w:hAnsi="Times New Roman"/>
                <w:bCs/>
                <w:sz w:val="24"/>
                <w:szCs w:val="24"/>
              </w:rPr>
              <w:t>不设大气防护距离。根据《制定地方大气污染物排放标准的技术方法》（GB/T3840-91）本项目无组织非甲烷总烃最大落地浓度低于质量标准，无需设施卫生防护距离。营运期挥发油气对周边环境影响较小。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.2水环境影响评价结论</w:t>
            </w:r>
          </w:p>
          <w:p>
            <w:pPr>
              <w:adjustRightInd w:val="0"/>
              <w:snapToGrid w:val="0"/>
              <w:spacing w:line="360" w:lineRule="auto"/>
              <w:ind w:firstLine="480" w:firstLineChars="200"/>
              <w:rPr>
                <w:rFonts w:hint="eastAsia" w:ascii="Times New Roman" w:hAnsi="Times New Roman" w:cs="Arial"/>
                <w:sz w:val="24"/>
              </w:rPr>
            </w:pPr>
            <w:r>
              <w:rPr>
                <w:rFonts w:ascii="Times New Roman" w:hAnsi="Times New Roman"/>
                <w:sz w:val="24"/>
                <w:szCs w:val="24"/>
              </w:rPr>
              <w:t>本项目产</w:t>
            </w:r>
            <w:r>
              <w:rPr>
                <w:rFonts w:hint="eastAsia" w:ascii="Times New Roman" w:hAnsi="Times New Roman"/>
                <w:sz w:val="24"/>
                <w:szCs w:val="22"/>
              </w:rPr>
              <w:t>生生活</w:t>
            </w:r>
            <w:r>
              <w:rPr>
                <w:rFonts w:hint="eastAsia" w:ascii="Times New Roman" w:hAnsi="Times New Roman"/>
                <w:sz w:val="24"/>
                <w:szCs w:val="22"/>
                <w:lang w:eastAsia="zh-CN"/>
              </w:rPr>
              <w:t>污水经服务区生活污水处理站处理后用于服务区洒水降尘；站区内不设卫生间，依托服务区卫生间，卫生间废水经化粪池处理后由附近村民拉走肥田。</w:t>
            </w:r>
            <w:r>
              <w:rPr>
                <w:rFonts w:hint="eastAsia" w:ascii="Times New Roman" w:hAnsi="Times New Roman"/>
                <w:sz w:val="24"/>
                <w:szCs w:val="22"/>
              </w:rPr>
              <w:t>不外排</w:t>
            </w:r>
            <w:r>
              <w:rPr>
                <w:rFonts w:hint="eastAsia" w:ascii="Times New Roman" w:hAnsi="Times New Roman"/>
                <w:sz w:val="24"/>
                <w:szCs w:val="22"/>
                <w:lang w:val="en-US" w:eastAsia="zh-CN"/>
              </w:rPr>
              <w:t>，</w:t>
            </w:r>
            <w:r>
              <w:rPr>
                <w:rFonts w:hint="eastAsia" w:ascii="Times New Roman" w:hAnsi="Times New Roman"/>
                <w:sz w:val="24"/>
                <w:szCs w:val="22"/>
              </w:rPr>
              <w:t>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.3声环境影响评价结论</w:t>
            </w:r>
          </w:p>
          <w:p>
            <w:pPr>
              <w:spacing w:line="360" w:lineRule="auto"/>
              <w:ind w:firstLine="480"/>
              <w:rPr>
                <w:rFonts w:hint="eastAsia" w:ascii="Times New Roman" w:hAnsi="Times New Roman"/>
                <w:sz w:val="24"/>
                <w:szCs w:val="24"/>
              </w:rPr>
            </w:pPr>
            <w:r>
              <w:rPr>
                <w:rFonts w:ascii="Times New Roman" w:hAnsi="Times New Roman"/>
                <w:sz w:val="24"/>
              </w:rPr>
              <w:t>本项目噪声源主要为油罐车和加油车辆在进出加油站时产生的交通噪声以及加油泵、潜油泵产生的运行噪声。经采取车辆进站时减速、禁止鸣笛、加油时车辆熄火和平稳启动等措施，可使区域内的交通噪声降到最低值；对加油泵、潜油泵</w:t>
            </w:r>
            <w:r>
              <w:rPr>
                <w:rFonts w:ascii="Times New Roman" w:hAnsi="Times New Roman"/>
                <w:kern w:val="0"/>
                <w:sz w:val="24"/>
              </w:rPr>
              <w:t>采取减振、消声等措施，项目营运期噪声对周围环境影响较小。</w:t>
            </w:r>
          </w:p>
          <w:p>
            <w:pPr>
              <w:spacing w:line="360" w:lineRule="auto"/>
              <w:ind w:firstLine="482" w:firstLineChars="200"/>
              <w:rPr>
                <w:rFonts w:ascii="Times New Roman" w:hAnsi="Times New Roman"/>
                <w:sz w:val="24"/>
                <w:szCs w:val="24"/>
              </w:rPr>
            </w:pPr>
            <w:r>
              <w:rPr>
                <w:rFonts w:hint="eastAsia" w:ascii="Times New Roman" w:hAnsi="Times New Roman"/>
                <w:b/>
                <w:bCs/>
                <w:sz w:val="24"/>
                <w:szCs w:val="24"/>
                <w:lang w:val="en-US" w:eastAsia="zh-CN"/>
              </w:rPr>
              <w:t>4</w:t>
            </w:r>
            <w:r>
              <w:rPr>
                <w:rFonts w:ascii="Times New Roman" w:hAnsi="Times New Roman"/>
                <w:b/>
                <w:bCs/>
                <w:sz w:val="24"/>
                <w:szCs w:val="24"/>
              </w:rPr>
              <w:t>.4固体废物环境影响评价结论</w:t>
            </w:r>
          </w:p>
          <w:p>
            <w:pPr>
              <w:adjustRightInd w:val="0"/>
              <w:snapToGrid w:val="0"/>
              <w:spacing w:line="500" w:lineRule="exact"/>
              <w:ind w:firstLine="480" w:firstLineChars="200"/>
              <w:rPr>
                <w:rFonts w:ascii="Times New Roman" w:hAnsi="Times New Roman"/>
                <w:sz w:val="24"/>
                <w:szCs w:val="24"/>
              </w:rPr>
            </w:pPr>
            <w:r>
              <w:rPr>
                <w:rFonts w:ascii="Times New Roman" w:hAnsi="Times New Roman"/>
                <w:sz w:val="24"/>
                <w:szCs w:val="24"/>
              </w:rPr>
              <w:t>项目运营期产生的固体废物主要为职工办公生活垃圾及顾客生活垃圾、油罐清洗废油渣。</w:t>
            </w:r>
          </w:p>
          <w:p>
            <w:pPr>
              <w:adjustRightInd w:val="0"/>
              <w:snapToGrid w:val="0"/>
              <w:spacing w:line="500" w:lineRule="exact"/>
              <w:ind w:firstLine="480" w:firstLineChars="200"/>
              <w:rPr>
                <w:rFonts w:ascii="Times New Roman" w:hAnsi="Times New Roman"/>
                <w:bCs/>
                <w:sz w:val="24"/>
                <w:szCs w:val="24"/>
              </w:rPr>
            </w:pPr>
            <w:r>
              <w:rPr>
                <w:rFonts w:ascii="Times New Roman" w:hAnsi="Times New Roman"/>
                <w:bCs/>
                <w:sz w:val="24"/>
                <w:szCs w:val="24"/>
              </w:rPr>
              <w:t>生活垃圾产生量为</w:t>
            </w:r>
            <w:r>
              <w:rPr>
                <w:rFonts w:hint="eastAsia" w:ascii="Times New Roman" w:hAnsi="Times New Roman"/>
                <w:bCs/>
                <w:sz w:val="24"/>
                <w:szCs w:val="24"/>
                <w:lang w:val="en-US" w:eastAsia="zh-CN"/>
              </w:rPr>
              <w:t>1.095</w:t>
            </w:r>
            <w:r>
              <w:rPr>
                <w:rFonts w:ascii="Times New Roman" w:hAnsi="Times New Roman"/>
                <w:bCs/>
                <w:sz w:val="24"/>
                <w:szCs w:val="24"/>
              </w:rPr>
              <w:t>t/a。评价建议</w:t>
            </w:r>
            <w:r>
              <w:rPr>
                <w:rFonts w:ascii="Times New Roman" w:hAnsi="Times New Roman"/>
                <w:sz w:val="24"/>
                <w:szCs w:val="24"/>
              </w:rPr>
              <w:t>在项目区内作好垃圾收集系统建设，因地制宜地设置垃圾箱，</w:t>
            </w:r>
            <w:r>
              <w:rPr>
                <w:rFonts w:ascii="Times New Roman" w:hAnsi="Times New Roman"/>
                <w:kern w:val="0"/>
                <w:sz w:val="24"/>
                <w:szCs w:val="24"/>
              </w:rPr>
              <w:t>垃圾分类收集，</w:t>
            </w:r>
            <w:r>
              <w:rPr>
                <w:rFonts w:ascii="Times New Roman" w:hAnsi="Times New Roman"/>
                <w:bCs/>
                <w:sz w:val="24"/>
                <w:szCs w:val="24"/>
              </w:rPr>
              <w:t>运入市政垃圾收集处，定期由环卫部门运走。</w:t>
            </w:r>
          </w:p>
          <w:p>
            <w:pPr>
              <w:pStyle w:val="19"/>
              <w:spacing w:line="500" w:lineRule="exact"/>
              <w:ind w:left="0" w:leftChars="0" w:firstLine="480" w:firstLineChars="200"/>
              <w:rPr>
                <w:rFonts w:hint="eastAsia" w:ascii="Times New Roman" w:hAnsi="Times New Roman"/>
                <w:sz w:val="24"/>
                <w:szCs w:val="24"/>
              </w:rPr>
            </w:pPr>
            <w:r>
              <w:rPr>
                <w:rFonts w:ascii="Times New Roman" w:hAnsi="Times New Roman"/>
                <w:sz w:val="24"/>
                <w:szCs w:val="24"/>
              </w:rPr>
              <w:t>项目运营期危险废物主要为油罐定期清洗产生的清洗废水和油泥。根据建设单位介绍，油罐每</w:t>
            </w:r>
            <w:r>
              <w:rPr>
                <w:rFonts w:hint="eastAsia"/>
                <w:sz w:val="24"/>
                <w:szCs w:val="24"/>
                <w:lang w:val="en-US" w:eastAsia="zh-CN"/>
              </w:rPr>
              <w:t>5</w:t>
            </w:r>
            <w:r>
              <w:rPr>
                <w:rFonts w:ascii="Times New Roman" w:hAnsi="Times New Roman"/>
                <w:sz w:val="24"/>
                <w:szCs w:val="24"/>
              </w:rPr>
              <w:t>年清洗一次，委托</w:t>
            </w:r>
            <w:r>
              <w:rPr>
                <w:rFonts w:hint="eastAsia" w:ascii="Times New Roman" w:hAnsi="Times New Roman"/>
                <w:sz w:val="24"/>
                <w:szCs w:val="24"/>
              </w:rPr>
              <w:t>相关单位</w:t>
            </w:r>
            <w:r>
              <w:rPr>
                <w:rFonts w:ascii="Times New Roman" w:hAnsi="Times New Roman"/>
                <w:sz w:val="24"/>
                <w:szCs w:val="24"/>
              </w:rPr>
              <w:t>进行清洗，清洗废水产生量约</w:t>
            </w:r>
            <w:r>
              <w:rPr>
                <w:rFonts w:hint="eastAsia"/>
                <w:sz w:val="24"/>
                <w:szCs w:val="24"/>
                <w:lang w:val="en-US" w:eastAsia="zh-CN"/>
              </w:rPr>
              <w:t>2</w:t>
            </w:r>
            <w:r>
              <w:rPr>
                <w:rFonts w:ascii="Times New Roman" w:hAnsi="Times New Roman"/>
                <w:sz w:val="24"/>
                <w:szCs w:val="24"/>
              </w:rPr>
              <w:t>t/次，油泥产生量约为</w:t>
            </w:r>
            <w:r>
              <w:rPr>
                <w:rFonts w:hint="eastAsia"/>
                <w:sz w:val="24"/>
                <w:szCs w:val="24"/>
                <w:lang w:eastAsia="zh-CN"/>
              </w:rPr>
              <w:t>0.22t/次</w:t>
            </w:r>
            <w:r>
              <w:rPr>
                <w:rFonts w:ascii="Times New Roman" w:hAnsi="Times New Roman"/>
                <w:sz w:val="24"/>
                <w:szCs w:val="24"/>
              </w:rPr>
              <w:t>。根据《国家危险废物名录》（环境保护部第39号令，2016年8月1日起施行），油罐清洗废水的危废编号为HW09，油泥的危废编号为HW08，本项目油罐清洗产生的清洗废水、油泥均</w:t>
            </w:r>
            <w:r>
              <w:rPr>
                <w:rFonts w:hint="eastAsia" w:ascii="Times New Roman" w:hAnsi="Times New Roman"/>
                <w:sz w:val="24"/>
                <w:szCs w:val="24"/>
              </w:rPr>
              <w:t>应交由有资质单位进行</w:t>
            </w:r>
            <w:r>
              <w:rPr>
                <w:rFonts w:ascii="Times New Roman" w:hAnsi="Times New Roman"/>
                <w:sz w:val="24"/>
                <w:szCs w:val="24"/>
              </w:rPr>
              <w:t>处理，不在站内暂存</w:t>
            </w:r>
            <w:r>
              <w:rPr>
                <w:rFonts w:hint="eastAsia" w:ascii="Times New Roman" w:hAnsi="Times New Roman"/>
                <w:sz w:val="24"/>
                <w:szCs w:val="24"/>
              </w:rPr>
              <w:t>。</w:t>
            </w:r>
          </w:p>
          <w:p>
            <w:pPr>
              <w:adjustRightInd w:val="0"/>
              <w:snapToGrid w:val="0"/>
              <w:spacing w:line="500" w:lineRule="exact"/>
              <w:ind w:firstLine="480" w:firstLineChars="200"/>
              <w:rPr>
                <w:rFonts w:ascii="Times New Roman" w:hAnsi="Times New Roman"/>
                <w:bCs/>
                <w:sz w:val="24"/>
              </w:rPr>
            </w:pPr>
            <w:r>
              <w:rPr>
                <w:rFonts w:ascii="Times New Roman" w:hAnsi="Times New Roman"/>
                <w:bCs/>
                <w:sz w:val="24"/>
              </w:rPr>
              <w:t>综上所述，</w:t>
            </w:r>
            <w:r>
              <w:rPr>
                <w:rFonts w:hint="eastAsia" w:ascii="Times New Roman" w:hAnsi="Times New Roman"/>
                <w:bCs/>
                <w:sz w:val="24"/>
              </w:rPr>
              <w:t>本项目</w:t>
            </w:r>
            <w:r>
              <w:rPr>
                <w:rFonts w:ascii="Times New Roman" w:hAnsi="Times New Roman"/>
                <w:bCs/>
                <w:sz w:val="24"/>
              </w:rPr>
              <w:t>固废均得到妥善处置，处理率100%</w:t>
            </w:r>
            <w:r>
              <w:rPr>
                <w:rFonts w:hint="eastAsia" w:ascii="Times New Roman" w:hAnsi="Times New Roman"/>
                <w:bCs/>
                <w:sz w:val="24"/>
              </w:rPr>
              <w:t>，</w:t>
            </w:r>
            <w:r>
              <w:rPr>
                <w:rFonts w:ascii="Times New Roman" w:hAnsi="Times New Roman"/>
                <w:bCs/>
                <w:sz w:val="24"/>
              </w:rPr>
              <w:t>对</w:t>
            </w:r>
            <w:r>
              <w:rPr>
                <w:rFonts w:hint="eastAsia" w:ascii="Times New Roman" w:hAnsi="Times New Roman"/>
                <w:bCs/>
                <w:sz w:val="24"/>
              </w:rPr>
              <w:t>周围</w:t>
            </w:r>
            <w:r>
              <w:rPr>
                <w:rFonts w:ascii="Times New Roman" w:hAnsi="Times New Roman"/>
                <w:bCs/>
                <w:sz w:val="24"/>
              </w:rPr>
              <w:t>环境影响</w:t>
            </w:r>
            <w:r>
              <w:rPr>
                <w:rFonts w:hint="eastAsia" w:ascii="Times New Roman" w:hAnsi="Times New Roman"/>
                <w:bCs/>
                <w:sz w:val="24"/>
              </w:rPr>
              <w:t>较小</w:t>
            </w:r>
            <w:r>
              <w:rPr>
                <w:rFonts w:ascii="Times New Roman" w:hAnsi="Times New Roman"/>
                <w:bCs/>
                <w:sz w:val="24"/>
              </w:rPr>
              <w:t>。</w:t>
            </w:r>
          </w:p>
          <w:p>
            <w:pPr>
              <w:pStyle w:val="19"/>
              <w:spacing w:line="500" w:lineRule="exact"/>
              <w:ind w:left="0" w:leftChars="0" w:firstLine="482" w:firstLineChars="200"/>
              <w:rPr>
                <w:rFonts w:ascii="Times New Roman" w:hAnsi="Times New Roman"/>
                <w:sz w:val="24"/>
                <w:szCs w:val="24"/>
              </w:rPr>
            </w:pPr>
            <w:r>
              <w:rPr>
                <w:rFonts w:hint="eastAsia"/>
                <w:b/>
                <w:bCs/>
                <w:sz w:val="24"/>
                <w:szCs w:val="24"/>
                <w:lang w:val="en-US" w:eastAsia="zh-CN"/>
              </w:rPr>
              <w:t>5</w:t>
            </w:r>
            <w:r>
              <w:rPr>
                <w:rFonts w:hint="eastAsia" w:ascii="Times New Roman" w:hAnsi="Times New Roman"/>
                <w:b/>
                <w:bCs/>
                <w:sz w:val="24"/>
                <w:szCs w:val="24"/>
              </w:rPr>
              <w:t>、</w:t>
            </w:r>
            <w:r>
              <w:rPr>
                <w:rFonts w:ascii="Times New Roman" w:hAnsi="Times New Roman"/>
                <w:b/>
                <w:bCs/>
                <w:sz w:val="24"/>
                <w:szCs w:val="24"/>
              </w:rPr>
              <w:t>环境风险评价结论</w:t>
            </w:r>
          </w:p>
          <w:p>
            <w:pPr>
              <w:pStyle w:val="19"/>
              <w:spacing w:line="500" w:lineRule="exact"/>
              <w:ind w:left="0" w:leftChars="0" w:firstLine="480" w:firstLineChars="200"/>
              <w:rPr>
                <w:rFonts w:ascii="Times New Roman" w:hAnsi="Times New Roman"/>
                <w:sz w:val="24"/>
                <w:szCs w:val="24"/>
              </w:rPr>
            </w:pPr>
            <w:r>
              <w:rPr>
                <w:rFonts w:ascii="Times New Roman" w:hAnsi="Times New Roman" w:cs="Arial"/>
                <w:sz w:val="24"/>
              </w:rPr>
              <w:t>由于环境风险具有突发性和短暂性及危害较大等特点，必须采取相应有效预防措施加以防范，加强控制和管理，杜绝、减轻和避免环境风险。本项目主要事故类型可以分为火灾与爆炸、溢出与泄漏两大类。为防止事故的发生，项目严格按照《汽车加油加气站设计与施工规范》（GB50156-2012）</w:t>
            </w:r>
            <w:r>
              <w:rPr>
                <w:rFonts w:hint="eastAsia" w:ascii="Times New Roman" w:hAnsi="Times New Roman" w:cs="Arial"/>
                <w:sz w:val="24"/>
              </w:rPr>
              <w:t>（2014修订版）</w:t>
            </w:r>
            <w:r>
              <w:rPr>
                <w:rFonts w:ascii="Times New Roman" w:hAnsi="Times New Roman" w:cs="Arial"/>
                <w:sz w:val="24"/>
              </w:rPr>
              <w:t>进行了设计与施工，</w:t>
            </w:r>
            <w:r>
              <w:rPr>
                <w:rFonts w:hint="eastAsia" w:ascii="Times New Roman" w:hAnsi="Times New Roman" w:cs="Arial"/>
                <w:sz w:val="24"/>
              </w:rPr>
              <w:t>确保安全距离，</w:t>
            </w:r>
            <w:r>
              <w:rPr>
                <w:rFonts w:ascii="Times New Roman" w:hAnsi="Times New Roman" w:cs="Arial"/>
                <w:sz w:val="24"/>
              </w:rPr>
              <w:t>采取风险防范措施，并加强安全管理，编制应急预案。在严格按照以上措施实行风险防范的前提下，本项目的环境风险在可接受范围内</w:t>
            </w:r>
            <w:r>
              <w:rPr>
                <w:rFonts w:ascii="Times New Roman" w:hAnsi="Times New Roman"/>
                <w:sz w:val="24"/>
                <w:szCs w:val="24"/>
              </w:rPr>
              <w:t>。</w:t>
            </w:r>
          </w:p>
          <w:p>
            <w:pPr>
              <w:spacing w:line="360" w:lineRule="auto"/>
              <w:ind w:firstLine="482" w:firstLineChars="200"/>
              <w:rPr>
                <w:rFonts w:hint="eastAsia" w:ascii="Times New Roman" w:hAnsi="Times New Roman"/>
                <w:sz w:val="24"/>
                <w:szCs w:val="24"/>
              </w:rPr>
            </w:pPr>
            <w:r>
              <w:rPr>
                <w:rFonts w:hint="eastAsia" w:ascii="Times New Roman" w:hAnsi="Times New Roman"/>
                <w:b/>
                <w:bCs/>
                <w:sz w:val="24"/>
                <w:szCs w:val="24"/>
                <w:lang w:val="en-US" w:eastAsia="zh-CN"/>
              </w:rPr>
              <w:t>6</w:t>
            </w:r>
            <w:r>
              <w:rPr>
                <w:rFonts w:ascii="Times New Roman" w:hAnsi="Times New Roman"/>
                <w:b/>
                <w:bCs/>
                <w:sz w:val="24"/>
                <w:szCs w:val="24"/>
              </w:rPr>
              <w:t>、</w:t>
            </w:r>
            <w:r>
              <w:rPr>
                <w:rFonts w:hint="eastAsia" w:ascii="Times New Roman" w:hAnsi="Times New Roman"/>
                <w:b/>
                <w:bCs/>
                <w:sz w:val="24"/>
                <w:szCs w:val="24"/>
              </w:rPr>
              <w:t>总量控制分析</w:t>
            </w:r>
          </w:p>
          <w:p>
            <w:pPr>
              <w:pStyle w:val="6"/>
              <w:spacing w:line="360" w:lineRule="auto"/>
              <w:ind w:firstLine="480" w:firstLineChars="200"/>
              <w:rPr>
                <w:rFonts w:ascii="Times New Roman" w:hAnsi="Times New Roman"/>
                <w:lang w:val="fr-FR"/>
              </w:rPr>
            </w:pPr>
            <w:r>
              <w:rPr>
                <w:rFonts w:hint="eastAsia" w:ascii="Times New Roman" w:hAnsi="Times New Roman" w:cs="宋体"/>
                <w:sz w:val="24"/>
                <w:szCs w:val="24"/>
              </w:rPr>
              <w:t>本项目不涉及二氧化硫和氮氧化物废气。</w:t>
            </w:r>
            <w:r>
              <w:rPr>
                <w:rFonts w:hint="eastAsia" w:ascii="Times New Roman" w:hAnsi="Times New Roman" w:cs="宋体"/>
                <w:sz w:val="24"/>
                <w:szCs w:val="24"/>
                <w:lang w:eastAsia="zh-CN"/>
              </w:rPr>
              <w:t>生活污水经服务区污水处理站处理后用于服务区洒水降尘，不外排；站内不设卫生间，依托服务区卫生间，卫生间废水经化粪池处理后由附近村民拉走肥田，不外排，</w:t>
            </w:r>
            <w:r>
              <w:rPr>
                <w:rFonts w:hint="eastAsia" w:ascii="Times New Roman" w:hAnsi="Times New Roman" w:cs="宋体"/>
                <w:sz w:val="24"/>
                <w:szCs w:val="24"/>
              </w:rPr>
              <w:t>不涉及COD和NH</w:t>
            </w:r>
            <w:r>
              <w:rPr>
                <w:rFonts w:hint="eastAsia" w:ascii="Times New Roman" w:hAnsi="Times New Roman" w:cs="宋体"/>
                <w:sz w:val="24"/>
                <w:szCs w:val="24"/>
                <w:vertAlign w:val="subscript"/>
              </w:rPr>
              <w:t>3</w:t>
            </w:r>
            <w:r>
              <w:rPr>
                <w:rFonts w:hint="eastAsia" w:ascii="Times New Roman" w:hAnsi="Times New Roman" w:cs="宋体"/>
                <w:sz w:val="24"/>
                <w:szCs w:val="24"/>
              </w:rPr>
              <w:t>-N</w:t>
            </w:r>
            <w:r>
              <w:rPr>
                <w:rFonts w:hint="eastAsia" w:ascii="Times New Roman" w:hAnsi="Times New Roman" w:cs="宋体"/>
                <w:sz w:val="24"/>
                <w:szCs w:val="24"/>
                <w:lang w:eastAsia="zh-CN"/>
              </w:rPr>
              <w:t>；</w:t>
            </w:r>
            <w:r>
              <w:rPr>
                <w:rFonts w:hint="eastAsia" w:ascii="Times New Roman" w:hAnsi="Times New Roman" w:eastAsia="宋体" w:cs="Times New Roman"/>
                <w:color w:val="auto"/>
                <w:sz w:val="24"/>
                <w:szCs w:val="24"/>
                <w:lang w:val="en-US" w:eastAsia="zh-CN"/>
              </w:rPr>
              <w:t>建成后运行期间有无组织废气非甲烷总烃排放，</w:t>
            </w:r>
            <w:r>
              <w:rPr>
                <w:rFonts w:hint="default" w:ascii="Times New Roman" w:hAnsi="Times New Roman" w:eastAsia="宋体" w:cs="Times New Roman"/>
                <w:color w:val="auto"/>
                <w:sz w:val="24"/>
                <w:szCs w:val="24"/>
              </w:rPr>
              <w:t>因此本项目总量控制因子为VOCs，其总量控制指标为</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1.2525t/a。</w:t>
            </w:r>
          </w:p>
          <w:p>
            <w:pPr>
              <w:tabs>
                <w:tab w:val="left" w:pos="540"/>
              </w:tabs>
              <w:spacing w:line="360" w:lineRule="auto"/>
              <w:rPr>
                <w:rFonts w:ascii="Times New Roman" w:hAnsi="Times New Roman"/>
                <w:b/>
                <w:bCs/>
                <w:sz w:val="24"/>
                <w:szCs w:val="24"/>
              </w:rPr>
            </w:pPr>
            <w:r>
              <w:rPr>
                <w:rFonts w:ascii="Times New Roman" w:hAnsi="Times New Roman"/>
                <w:b/>
                <w:bCs/>
                <w:sz w:val="24"/>
                <w:szCs w:val="24"/>
              </w:rPr>
              <w:t>二、建议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1、加油加气站加强操作人员的业务培训和学习，严格按照行业操作规程作业，从管理和作业上减少排污量。</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2、加油站内的电器设备严格按照防爆区划分配置。工程项目运营过程中要加强管理，遵守相应的规章制度。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3、在加油加气站入口处设立“严禁烟火”警告牌。</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4、对储油系统及管道定期进行检查和维护，定期检查加油机内各油管、油泵及流量计是否有渗漏情况发生，并在火灾危险场所设置报警装置。</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5、汽油易吸收空气中的水分产生分层，建议对汽油定期更换干燥设施。</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6、站内的电器设备严格按照防爆区划分配置。工程项目运营过程中要加强管理，遵守相应的规章制度。</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7、加强站内事故的防范措施，一旦出现加气区火灾事故应尽量避免引发加气区火灾和爆炸事故。</w:t>
            </w:r>
          </w:p>
          <w:p>
            <w:pPr>
              <w:spacing w:line="360" w:lineRule="auto"/>
              <w:ind w:firstLine="480" w:firstLineChars="200"/>
              <w:rPr>
                <w:rFonts w:hint="eastAsia" w:ascii="Times New Roman" w:hAnsi="Times New Roman"/>
                <w:sz w:val="24"/>
                <w:szCs w:val="24"/>
              </w:rPr>
            </w:pPr>
            <w:r>
              <w:rPr>
                <w:rFonts w:hint="eastAsia" w:ascii="Times New Roman" w:hAnsi="Times New Roman"/>
                <w:sz w:val="24"/>
                <w:szCs w:val="24"/>
              </w:rPr>
              <w:t>8、定期、不定期开展风险大检查，严防风险事故的发生。</w:t>
            </w:r>
          </w:p>
          <w:p>
            <w:pPr>
              <w:keepNext w:val="0"/>
              <w:keepLines w:val="0"/>
              <w:suppressLineNumbers w:val="0"/>
              <w:adjustRightInd w:val="0"/>
              <w:snapToGrid w:val="0"/>
              <w:spacing w:before="0" w:beforeAutospacing="0" w:after="0" w:afterAutospacing="0" w:line="360" w:lineRule="auto"/>
              <w:ind w:left="0" w:right="0" w:firstLine="0" w:firstLineChars="0"/>
              <w:rPr>
                <w:rFonts w:hint="eastAsia" w:ascii="Times New Roman" w:hAnsi="Times New Roman"/>
                <w:sz w:val="24"/>
                <w:szCs w:val="24"/>
              </w:rPr>
            </w:pPr>
            <w:r>
              <w:rPr>
                <w:rFonts w:ascii="Times New Roman" w:hAnsi="Times New Roman"/>
                <w:sz w:val="24"/>
                <w:szCs w:val="24"/>
              </w:rPr>
              <w:t>评价结论：本项目符合国家产业政策，</w:t>
            </w:r>
            <w:r>
              <w:rPr>
                <w:rFonts w:hint="eastAsia" w:ascii="Times New Roman" w:hAnsi="Times New Roman"/>
                <w:sz w:val="24"/>
                <w:szCs w:val="24"/>
              </w:rPr>
              <w:t>项目</w:t>
            </w:r>
            <w:r>
              <w:rPr>
                <w:rFonts w:ascii="Times New Roman" w:hAnsi="Times New Roman"/>
                <w:sz w:val="24"/>
                <w:szCs w:val="24"/>
              </w:rPr>
              <w:t>选址可行</w:t>
            </w:r>
            <w:r>
              <w:rPr>
                <w:rFonts w:hint="eastAsia" w:ascii="Times New Roman" w:hAnsi="Times New Roman"/>
                <w:sz w:val="24"/>
                <w:szCs w:val="24"/>
              </w:rPr>
              <w:t>。</w:t>
            </w:r>
            <w:r>
              <w:rPr>
                <w:rFonts w:ascii="Times New Roman" w:hAnsi="Times New Roman"/>
                <w:sz w:val="24"/>
                <w:szCs w:val="24"/>
              </w:rPr>
              <w:t>在严格执行有关环保法规和“三同时”制度，落实报告提出的污染防治措施后，污染物能够达标排放</w:t>
            </w:r>
            <w:r>
              <w:rPr>
                <w:rFonts w:hint="eastAsia" w:ascii="Times New Roman" w:hAnsi="Times New Roman"/>
                <w:sz w:val="24"/>
                <w:szCs w:val="24"/>
              </w:rPr>
              <w:t>或合理处置</w:t>
            </w:r>
            <w:r>
              <w:rPr>
                <w:rFonts w:ascii="Times New Roman" w:hAnsi="Times New Roman"/>
                <w:sz w:val="24"/>
                <w:szCs w:val="24"/>
              </w:rPr>
              <w:t>，对环境影响很小，从环境</w:t>
            </w:r>
            <w:r>
              <w:rPr>
                <w:rFonts w:hint="eastAsia" w:ascii="Times New Roman" w:hAnsi="Times New Roman"/>
                <w:sz w:val="24"/>
                <w:szCs w:val="24"/>
              </w:rPr>
              <w:t>影响</w:t>
            </w:r>
            <w:r>
              <w:rPr>
                <w:rFonts w:ascii="Times New Roman" w:hAnsi="Times New Roman"/>
                <w:sz w:val="24"/>
                <w:szCs w:val="24"/>
              </w:rPr>
              <w:t>角度分析，项目建设可行</w:t>
            </w:r>
            <w:r>
              <w:rPr>
                <w:rFonts w:hint="eastAsia" w:ascii="Times New Roman" w:hAnsi="Times New Roman"/>
                <w:sz w:val="24"/>
                <w:szCs w:val="24"/>
              </w:rPr>
              <w:t>。</w:t>
            </w:r>
          </w:p>
          <w:p>
            <w:pPr>
              <w:keepNext w:val="0"/>
              <w:keepLines w:val="0"/>
              <w:suppressLineNumbers w:val="0"/>
              <w:adjustRightInd w:val="0"/>
              <w:snapToGrid w:val="0"/>
              <w:spacing w:before="0" w:beforeAutospacing="0" w:after="0" w:afterAutospacing="0" w:line="360" w:lineRule="auto"/>
              <w:ind w:left="0" w:right="0" w:firstLine="0" w:firstLineChars="0"/>
              <w:rPr>
                <w:rFonts w:hint="default" w:ascii="Times New Roman" w:hAnsi="Times New Roman" w:eastAsia="宋体" w:cs="Times New Roman"/>
                <w:color w:val="000000"/>
                <w:szCs w:val="24"/>
              </w:rPr>
            </w:pPr>
            <w:r>
              <w:rPr>
                <w:rFonts w:hint="default" w:ascii="Times New Roman" w:hAnsi="Times New Roman" w:eastAsia="宋体" w:cs="Times New Roman"/>
                <w:b/>
                <w:color w:val="000000"/>
                <w:szCs w:val="24"/>
              </w:rPr>
              <w:t xml:space="preserve">3. </w:t>
            </w:r>
            <w:r>
              <w:rPr>
                <w:rFonts w:hint="eastAsia" w:ascii="Times New Roman" w:hAnsi="Times New Roman" w:eastAsia="宋体" w:cs="Times New Roman"/>
                <w:b/>
                <w:color w:val="000000"/>
                <w:szCs w:val="24"/>
              </w:rPr>
              <w:t>评价总结论</w:t>
            </w:r>
          </w:p>
          <w:p>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color w:val="000000"/>
                <w:szCs w:val="24"/>
              </w:rPr>
            </w:pPr>
            <w:r>
              <w:rPr>
                <w:rFonts w:hint="eastAsia" w:ascii="Times New Roman" w:hAnsi="Times New Roman" w:eastAsia="宋体" w:cs="Times New Roman"/>
                <w:b w:val="0"/>
                <w:bCs/>
                <w:color w:val="000000"/>
                <w:szCs w:val="24"/>
              </w:rPr>
              <w:t>综上所述，</w:t>
            </w:r>
            <w:r>
              <w:rPr>
                <w:rFonts w:hint="eastAsia" w:cs="Times New Roman"/>
                <w:b w:val="0"/>
                <w:bCs/>
                <w:color w:val="000000"/>
                <w:szCs w:val="24"/>
                <w:lang w:eastAsia="zh-CN"/>
              </w:rPr>
              <w:t>河南高速能源有限责任公司鲁山经营部石人山服务区南加油站</w:t>
            </w:r>
            <w:r>
              <w:rPr>
                <w:rFonts w:hint="eastAsia" w:ascii="Times New Roman" w:hAnsi="Times New Roman" w:eastAsia="宋体" w:cs="Times New Roman"/>
                <w:b w:val="0"/>
                <w:bCs/>
                <w:color w:val="000000"/>
                <w:szCs w:val="24"/>
                <w:lang w:eastAsia="zh-CN"/>
              </w:rPr>
              <w:t>项目</w:t>
            </w:r>
            <w:r>
              <w:rPr>
                <w:rFonts w:hint="eastAsia" w:ascii="Times New Roman" w:hAnsi="Times New Roman" w:eastAsia="宋体" w:cs="Times New Roman"/>
                <w:b w:val="0"/>
                <w:bCs/>
                <w:color w:val="000000"/>
                <w:szCs w:val="24"/>
              </w:rPr>
              <w:t>建设符合国家和地方相关政策的要求，场址选择合理。项目建成后，产生的污染物经采取措施治理后，能够实现污染物的达标排放，不会对环境造成大的影响。在严格执行有关环保法规和“三同时”制度，认真落实环评提出的各项环保措施和对策的基础上能够实现污染物达标排放，实现社会效益、经济效益和环境效益的协调发展，从环保角度分析，该项目建设是可行的。</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szCs w:val="24"/>
              </w:rPr>
            </w:pPr>
          </w:p>
        </w:tc>
      </w:tr>
      <w:tr>
        <w:tblPrEx>
          <w:tblCellMar>
            <w:top w:w="0" w:type="dxa"/>
            <w:left w:w="108" w:type="dxa"/>
            <w:bottom w:w="0" w:type="dxa"/>
            <w:right w:w="108" w:type="dxa"/>
          </w:tblCellMar>
        </w:tblPrEx>
        <w:trPr>
          <w:trHeight w:val="12474" w:hRule="atLeast"/>
          <w:jc w:val="center"/>
        </w:trPr>
        <w:tc>
          <w:tcPr>
            <w:tcW w:w="9300" w:type="dxa"/>
            <w:gridSpan w:val="2"/>
            <w:tcBorders>
              <w:top w:val="single" w:color="auto" w:sz="12" w:space="0"/>
              <w:left w:val="single" w:color="auto" w:sz="12" w:space="0"/>
              <w:bottom w:val="single" w:color="auto" w:sz="12" w:space="0"/>
              <w:right w:val="single" w:color="auto" w:sz="12" w:space="0"/>
            </w:tcBorders>
            <w:shd w:val="clear" w:color="auto" w:fill="auto"/>
          </w:tcPr>
          <w:p>
            <w:pPr>
              <w:keepNext w:val="0"/>
              <w:keepLines w:val="0"/>
              <w:widowControl w:val="0"/>
              <w:suppressLineNumbers w:val="0"/>
              <w:autoSpaceDE w:val="0"/>
              <w:autoSpaceDN/>
              <w:adjustRightInd w:val="0"/>
              <w:snapToGrid w:val="0"/>
              <w:spacing w:before="318" w:beforeLines="100" w:beforeAutospacing="0" w:after="0" w:afterAutospacing="0" w:line="520" w:lineRule="exact"/>
              <w:ind w:left="0" w:right="0"/>
              <w:jc w:val="center"/>
              <w:rPr>
                <w:rFonts w:hint="default" w:ascii="Times New Roman" w:hAnsi="Times New Roman" w:eastAsia="宋体" w:cs="Times New Roman"/>
                <w:b/>
                <w:kern w:val="2"/>
                <w:sz w:val="36"/>
                <w:szCs w:val="36"/>
              </w:rPr>
            </w:pPr>
            <w:r>
              <w:rPr>
                <w:rFonts w:hint="eastAsia" w:ascii="Times New Roman" w:hAnsi="Times New Roman" w:eastAsia="宋体" w:cs="宋体"/>
                <w:b/>
                <w:kern w:val="2"/>
                <w:sz w:val="36"/>
                <w:szCs w:val="36"/>
                <w:lang w:val="en-US" w:eastAsia="zh-CN" w:bidi="ar"/>
              </w:rPr>
              <w:t>注</w:t>
            </w:r>
            <w:r>
              <w:rPr>
                <w:rFonts w:hint="default" w:ascii="Times New Roman" w:hAnsi="Times New Roman" w:eastAsia="宋体" w:cs="Times New Roman"/>
                <w:b/>
                <w:kern w:val="2"/>
                <w:sz w:val="36"/>
                <w:szCs w:val="36"/>
                <w:lang w:val="en-US" w:eastAsia="zh-CN" w:bidi="ar"/>
              </w:rPr>
              <w:t xml:space="preserve">    </w:t>
            </w:r>
            <w:r>
              <w:rPr>
                <w:rFonts w:hint="eastAsia" w:ascii="Times New Roman" w:hAnsi="Times New Roman" w:eastAsia="宋体" w:cs="宋体"/>
                <w:b/>
                <w:kern w:val="2"/>
                <w:sz w:val="36"/>
                <w:szCs w:val="36"/>
                <w:lang w:val="en-US" w:eastAsia="zh-CN" w:bidi="ar"/>
              </w:rPr>
              <w:t>释</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一、本报告表应附以下附图、附件：</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附图</w:t>
            </w:r>
            <w:r>
              <w:rPr>
                <w:rFonts w:hint="eastAsia" w:ascii="Times New Roman" w:hAnsi="Times New Roman" w:eastAsia="宋体" w:cs="Times New Roman"/>
                <w:kern w:val="2"/>
                <w:sz w:val="24"/>
                <w:szCs w:val="24"/>
                <w:lang w:val="en-US" w:eastAsia="zh-CN" w:bidi="ar"/>
              </w:rPr>
              <w:t>1</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项目地理位置图</w:t>
            </w:r>
            <w:r>
              <w:rPr>
                <w:rFonts w:hint="default" w:ascii="Times New Roman" w:hAnsi="Times New Roman" w:eastAsia="宋体" w:cs="Times New Roman"/>
                <w:kern w:val="2"/>
                <w:sz w:val="24"/>
                <w:szCs w:val="24"/>
                <w:lang w:val="en-US" w:eastAsia="zh-CN" w:bidi="ar"/>
              </w:rPr>
              <w:t xml:space="preserve">  </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附图</w:t>
            </w:r>
            <w:r>
              <w:rPr>
                <w:rFonts w:hint="eastAsia" w:ascii="Times New Roman" w:hAnsi="Times New Roman" w:eastAsia="宋体" w:cs="Times New Roman"/>
                <w:kern w:val="2"/>
                <w:sz w:val="24"/>
                <w:szCs w:val="24"/>
                <w:lang w:val="en-US" w:eastAsia="zh-CN" w:bidi="ar"/>
              </w:rPr>
              <w:t>2</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项目四邻关系图</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附图</w:t>
            </w:r>
            <w:r>
              <w:rPr>
                <w:rFonts w:hint="eastAsia" w:ascii="Times New Roman" w:hAnsi="Times New Roman" w:eastAsia="宋体" w:cs="Times New Roman"/>
                <w:kern w:val="2"/>
                <w:sz w:val="24"/>
                <w:szCs w:val="24"/>
                <w:lang w:val="en-US" w:eastAsia="zh-CN" w:bidi="ar"/>
              </w:rPr>
              <w:t>3</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项目平面布置图</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ascii="Times New Roman" w:hAnsi="Times New Roman" w:eastAsia="宋体" w:cs="宋体"/>
                <w:color w:val="auto"/>
                <w:kern w:val="2"/>
                <w:sz w:val="24"/>
                <w:szCs w:val="24"/>
                <w:lang w:val="en-US" w:eastAsia="zh-CN" w:bidi="ar"/>
              </w:rPr>
              <w:t>附图</w:t>
            </w:r>
            <w:r>
              <w:rPr>
                <w:rFonts w:hint="eastAsia" w:ascii="Times New Roman" w:hAnsi="Times New Roman" w:eastAsia="宋体" w:cs="Times New Roman"/>
                <w:color w:val="auto"/>
                <w:kern w:val="2"/>
                <w:sz w:val="24"/>
                <w:szCs w:val="24"/>
                <w:lang w:val="en-US" w:eastAsia="zh-CN" w:bidi="ar"/>
              </w:rPr>
              <w:t>4</w:t>
            </w:r>
            <w:r>
              <w:rPr>
                <w:rFonts w:hint="default" w:ascii="Times New Roman" w:hAnsi="Times New Roman" w:eastAsia="宋体" w:cs="Times New Roman"/>
                <w:color w:val="auto"/>
                <w:kern w:val="2"/>
                <w:sz w:val="24"/>
                <w:szCs w:val="24"/>
                <w:lang w:val="en-US" w:eastAsia="zh-CN" w:bidi="ar"/>
              </w:rPr>
              <w:t xml:space="preserve">   </w:t>
            </w:r>
            <w:r>
              <w:rPr>
                <w:rFonts w:hint="eastAsia" w:ascii="Times New Roman" w:hAnsi="Times New Roman" w:eastAsia="宋体" w:cs="宋体"/>
                <w:color w:val="auto"/>
                <w:kern w:val="2"/>
                <w:sz w:val="24"/>
                <w:szCs w:val="24"/>
                <w:lang w:val="en-US" w:eastAsia="zh-CN" w:bidi="ar"/>
              </w:rPr>
              <w:t>项目周围环境现状</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1</w:t>
            </w:r>
            <w:r>
              <w:rPr>
                <w:rFonts w:hint="default" w:ascii="Times New Roman" w:hAnsi="Times New Roman" w:eastAsia="宋体" w:cs="Times New Roman"/>
                <w:color w:val="auto"/>
                <w:kern w:val="2"/>
                <w:sz w:val="24"/>
                <w:szCs w:val="24"/>
                <w:lang w:val="en-US" w:eastAsia="zh-CN" w:bidi="ar"/>
              </w:rPr>
              <w:t xml:space="preserve">   </w:t>
            </w:r>
            <w:r>
              <w:rPr>
                <w:rFonts w:hint="eastAsia" w:ascii="Times New Roman" w:hAnsi="Times New Roman" w:eastAsia="宋体" w:cs="宋体"/>
                <w:color w:val="auto"/>
                <w:kern w:val="2"/>
                <w:sz w:val="24"/>
                <w:szCs w:val="24"/>
                <w:lang w:val="en-US" w:eastAsia="zh-CN" w:bidi="ar"/>
              </w:rPr>
              <w:t>委托书</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ascii="Times New Roman" w:hAnsi="Times New Roman" w:eastAsia="宋体" w:cs="宋体"/>
                <w:kern w:val="2"/>
                <w:sz w:val="24"/>
                <w:szCs w:val="24"/>
                <w:lang w:val="en-US" w:eastAsia="zh-CN" w:bidi="ar"/>
              </w:rPr>
            </w:pPr>
            <w:r>
              <w:rPr>
                <w:rFonts w:hint="eastAsia" w:ascii="Times New Roman" w:hAnsi="Times New Roman" w:eastAsia="宋体" w:cs="宋体"/>
                <w:kern w:val="2"/>
                <w:sz w:val="24"/>
                <w:szCs w:val="24"/>
                <w:lang w:val="en-US" w:eastAsia="zh-CN" w:bidi="ar"/>
              </w:rPr>
              <w:t>附件</w:t>
            </w:r>
            <w:r>
              <w:rPr>
                <w:rFonts w:hint="eastAsia" w:ascii="Times New Roman" w:hAnsi="Times New Roman" w:eastAsia="宋体" w:cs="Times New Roman"/>
                <w:kern w:val="2"/>
                <w:sz w:val="24"/>
                <w:szCs w:val="24"/>
                <w:lang w:val="en-US" w:eastAsia="zh-CN" w:bidi="ar"/>
              </w:rPr>
              <w:t>2</w:t>
            </w:r>
            <w:r>
              <w:rPr>
                <w:rFonts w:hint="default" w:ascii="Times New Roman" w:hAnsi="Times New Roman" w:eastAsia="宋体" w:cs="Times New Roman"/>
                <w:kern w:val="2"/>
                <w:sz w:val="24"/>
                <w:szCs w:val="24"/>
                <w:lang w:val="en-US" w:eastAsia="zh-CN" w:bidi="ar"/>
              </w:rPr>
              <w:t xml:space="preserve">   </w:t>
            </w:r>
            <w:r>
              <w:rPr>
                <w:rFonts w:hint="eastAsia" w:ascii="Times New Roman" w:hAnsi="Times New Roman" w:eastAsia="宋体" w:cs="宋体"/>
                <w:kern w:val="2"/>
                <w:sz w:val="24"/>
                <w:szCs w:val="24"/>
                <w:lang w:val="en-US" w:eastAsia="zh-CN" w:bidi="ar"/>
              </w:rPr>
              <w:t>备案表</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3</w:t>
            </w:r>
            <w:r>
              <w:rPr>
                <w:rFonts w:hint="default" w:ascii="Times New Roman" w:hAnsi="Times New Roman" w:eastAsia="宋体" w:cs="Times New Roman"/>
                <w:color w:val="auto"/>
                <w:kern w:val="2"/>
                <w:sz w:val="24"/>
                <w:szCs w:val="24"/>
                <w:lang w:val="en-US" w:eastAsia="zh-CN" w:bidi="ar"/>
              </w:rPr>
              <w:t xml:space="preserve">   </w:t>
            </w:r>
            <w:r>
              <w:rPr>
                <w:rFonts w:hint="eastAsia" w:ascii="Times New Roman" w:hAnsi="Times New Roman" w:eastAsia="宋体" w:cs="宋体"/>
                <w:color w:val="auto"/>
                <w:kern w:val="2"/>
                <w:sz w:val="24"/>
                <w:szCs w:val="24"/>
                <w:lang w:val="en-US" w:eastAsia="zh-CN" w:bidi="ar"/>
              </w:rPr>
              <w:t>营业执照</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FF0000"/>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4</w:t>
            </w:r>
            <w:r>
              <w:rPr>
                <w:rFonts w:hint="default" w:ascii="Times New Roman" w:hAnsi="Times New Roman" w:eastAsia="宋体" w:cs="Times New Roman"/>
                <w:color w:val="auto"/>
                <w:kern w:val="2"/>
                <w:sz w:val="24"/>
                <w:szCs w:val="24"/>
                <w:lang w:val="en-US" w:eastAsia="zh-CN" w:bidi="ar"/>
              </w:rPr>
              <w:t xml:space="preserve">  </w:t>
            </w:r>
            <w:r>
              <w:rPr>
                <w:rFonts w:hint="eastAsia" w:cs="Times New Roman"/>
                <w:color w:val="auto"/>
                <w:kern w:val="2"/>
                <w:sz w:val="24"/>
                <w:szCs w:val="24"/>
                <w:lang w:val="en-US" w:eastAsia="zh-CN" w:bidi="ar"/>
              </w:rPr>
              <w:t>加油站使用权转让协议</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color w:val="auto"/>
                <w:kern w:val="2"/>
                <w:sz w:val="24"/>
                <w:szCs w:val="24"/>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5</w:t>
            </w:r>
            <w:r>
              <w:rPr>
                <w:rFonts w:hint="default" w:ascii="Times New Roman" w:hAnsi="Times New Roman" w:eastAsia="宋体" w:cs="Times New Roman"/>
                <w:color w:val="auto"/>
                <w:kern w:val="2"/>
                <w:sz w:val="24"/>
                <w:szCs w:val="24"/>
                <w:lang w:val="en-US" w:eastAsia="zh-CN" w:bidi="ar"/>
              </w:rPr>
              <w:t xml:space="preserve">   </w:t>
            </w:r>
            <w:r>
              <w:rPr>
                <w:rFonts w:hint="eastAsia" w:cs="Times New Roman"/>
                <w:color w:val="auto"/>
                <w:kern w:val="2"/>
                <w:sz w:val="24"/>
                <w:szCs w:val="24"/>
                <w:lang w:val="en-US" w:eastAsia="zh-CN" w:bidi="ar"/>
              </w:rPr>
              <w:t>郑石高速环评批复</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eastAsia" w:cs="Times New Roman"/>
                <w:color w:val="auto"/>
                <w:kern w:val="2"/>
                <w:sz w:val="24"/>
                <w:szCs w:val="24"/>
                <w:lang w:val="en-US" w:eastAsia="zh-CN" w:bidi="ar"/>
              </w:rPr>
            </w:pPr>
            <w:r>
              <w:rPr>
                <w:rFonts w:hint="eastAsia" w:ascii="Times New Roman" w:hAnsi="Times New Roman" w:eastAsia="宋体" w:cs="宋体"/>
                <w:color w:val="auto"/>
                <w:kern w:val="2"/>
                <w:sz w:val="24"/>
                <w:szCs w:val="24"/>
                <w:lang w:val="en-US" w:eastAsia="zh-CN" w:bidi="ar"/>
              </w:rPr>
              <w:t>附件</w:t>
            </w:r>
            <w:r>
              <w:rPr>
                <w:rFonts w:hint="eastAsia" w:ascii="Times New Roman" w:hAnsi="Times New Roman" w:eastAsia="宋体" w:cs="Times New Roman"/>
                <w:color w:val="auto"/>
                <w:kern w:val="2"/>
                <w:sz w:val="24"/>
                <w:szCs w:val="24"/>
                <w:lang w:val="en-US" w:eastAsia="zh-CN" w:bidi="ar"/>
              </w:rPr>
              <w:t>6</w:t>
            </w:r>
            <w:r>
              <w:rPr>
                <w:rFonts w:hint="default" w:ascii="Times New Roman" w:hAnsi="Times New Roman" w:eastAsia="宋体" w:cs="Times New Roman"/>
                <w:color w:val="auto"/>
                <w:kern w:val="2"/>
                <w:sz w:val="24"/>
                <w:szCs w:val="24"/>
                <w:lang w:val="en-US" w:eastAsia="zh-CN" w:bidi="ar"/>
              </w:rPr>
              <w:t xml:space="preserve">   </w:t>
            </w:r>
            <w:r>
              <w:rPr>
                <w:rFonts w:hint="eastAsia" w:cs="Times New Roman"/>
                <w:color w:val="auto"/>
                <w:kern w:val="2"/>
                <w:sz w:val="24"/>
                <w:szCs w:val="24"/>
                <w:lang w:val="en-US" w:eastAsia="zh-CN" w:bidi="ar"/>
              </w:rPr>
              <w:t>郑石高速验收意见</w:t>
            </w:r>
          </w:p>
          <w:p>
            <w:pPr>
              <w:bidi w:val="0"/>
              <w:rPr>
                <w:rFonts w:hint="default"/>
              </w:rPr>
            </w:pPr>
            <w:r>
              <w:rPr>
                <w:rFonts w:hint="eastAsia"/>
                <w:lang w:val="en-US" w:eastAsia="zh-CN"/>
              </w:rPr>
              <w:t>附件7   检测报告</w:t>
            </w:r>
          </w:p>
          <w:p>
            <w:pPr>
              <w:keepNext w:val="0"/>
              <w:keepLines w:val="0"/>
              <w:widowControl w:val="0"/>
              <w:suppressLineNumbers w:val="0"/>
              <w:adjustRightInd w:val="0"/>
              <w:snapToGrid w:val="0"/>
              <w:spacing w:before="0" w:beforeAutospacing="0" w:after="0" w:afterAutospacing="0" w:line="520" w:lineRule="exact"/>
              <w:ind w:left="0" w:right="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二、如果本报告表不能说明项目产生的污染及对环境造成的影响，应进行专项评价。根据建设项目的特点和当地环境特征，应选下列</w:t>
            </w:r>
            <w:r>
              <w:rPr>
                <w:rFonts w:hint="default" w:ascii="Times New Roman" w:hAnsi="Times New Roman" w:eastAsia="宋体" w:cs="Times New Roman"/>
                <w:kern w:val="2"/>
                <w:sz w:val="24"/>
                <w:szCs w:val="24"/>
                <w:lang w:val="en-US" w:eastAsia="zh-CN" w:bidi="ar"/>
              </w:rPr>
              <w:t>1-2</w:t>
            </w:r>
            <w:r>
              <w:rPr>
                <w:rFonts w:hint="eastAsia" w:ascii="Times New Roman" w:hAnsi="Times New Roman" w:eastAsia="宋体" w:cs="宋体"/>
                <w:kern w:val="2"/>
                <w:sz w:val="24"/>
                <w:szCs w:val="24"/>
                <w:lang w:val="en-US" w:eastAsia="zh-CN" w:bidi="ar"/>
              </w:rPr>
              <w:t>项进行专项评价。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1</w:t>
            </w:r>
            <w:r>
              <w:rPr>
                <w:rFonts w:hint="eastAsia" w:ascii="Times New Roman" w:hAnsi="Times New Roman" w:eastAsia="宋体" w:cs="宋体"/>
                <w:kern w:val="2"/>
                <w:sz w:val="24"/>
                <w:szCs w:val="24"/>
                <w:lang w:val="en-US" w:eastAsia="zh-CN" w:bidi="ar"/>
              </w:rPr>
              <w:t>、大气环境影响专项评价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2</w:t>
            </w:r>
            <w:r>
              <w:rPr>
                <w:rFonts w:hint="eastAsia" w:ascii="Times New Roman" w:hAnsi="Times New Roman" w:eastAsia="宋体" w:cs="宋体"/>
                <w:kern w:val="2"/>
                <w:sz w:val="24"/>
                <w:szCs w:val="24"/>
                <w:lang w:val="en-US" w:eastAsia="zh-CN" w:bidi="ar"/>
              </w:rPr>
              <w:t>、水环境影响专项评价（包括地表水和地下水）</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3</w:t>
            </w:r>
            <w:r>
              <w:rPr>
                <w:rFonts w:hint="eastAsia" w:ascii="Times New Roman" w:hAnsi="Times New Roman" w:eastAsia="宋体" w:cs="宋体"/>
                <w:kern w:val="2"/>
                <w:sz w:val="24"/>
                <w:szCs w:val="24"/>
                <w:lang w:val="en-US" w:eastAsia="zh-CN" w:bidi="ar"/>
              </w:rPr>
              <w:t>、生态影响专项评价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4</w:t>
            </w:r>
            <w:r>
              <w:rPr>
                <w:rFonts w:hint="eastAsia" w:ascii="Times New Roman" w:hAnsi="Times New Roman" w:eastAsia="宋体" w:cs="宋体"/>
                <w:kern w:val="2"/>
                <w:sz w:val="24"/>
                <w:szCs w:val="24"/>
                <w:lang w:val="en-US" w:eastAsia="zh-CN" w:bidi="ar"/>
              </w:rPr>
              <w:t>、声影响专项评价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5</w:t>
            </w:r>
            <w:r>
              <w:rPr>
                <w:rFonts w:hint="eastAsia" w:ascii="Times New Roman" w:hAnsi="Times New Roman" w:eastAsia="宋体" w:cs="宋体"/>
                <w:kern w:val="2"/>
                <w:sz w:val="24"/>
                <w:szCs w:val="24"/>
                <w:lang w:val="en-US" w:eastAsia="zh-CN" w:bidi="ar"/>
              </w:rPr>
              <w:t>、土壤影响专项评价</w:t>
            </w:r>
          </w:p>
          <w:p>
            <w:pPr>
              <w:keepNext w:val="0"/>
              <w:keepLines w:val="0"/>
              <w:widowControl w:val="0"/>
              <w:suppressLineNumbers w:val="0"/>
              <w:adjustRightInd w:val="0"/>
              <w:snapToGrid w:val="0"/>
              <w:spacing w:before="0" w:beforeAutospacing="0" w:after="0" w:afterAutospacing="0" w:line="520" w:lineRule="exact"/>
              <w:ind w:left="720" w:right="0"/>
              <w:jc w:val="both"/>
              <w:rPr>
                <w:rFonts w:hint="default" w:ascii="Times New Roman" w:hAnsi="Times New Roman" w:eastAsia="宋体" w:cs="Times New Roman"/>
                <w:kern w:val="2"/>
                <w:sz w:val="24"/>
                <w:szCs w:val="24"/>
              </w:rPr>
            </w:pPr>
            <w:r>
              <w:rPr>
                <w:rFonts w:hint="eastAsia" w:ascii="Times New Roman" w:hAnsi="Times New Roman" w:eastAsia="宋体" w:cs="Times New Roman"/>
                <w:kern w:val="2"/>
                <w:sz w:val="24"/>
                <w:szCs w:val="24"/>
                <w:lang w:val="en-US" w:eastAsia="zh-CN" w:bidi="ar"/>
              </w:rPr>
              <w:t>6</w:t>
            </w:r>
            <w:r>
              <w:rPr>
                <w:rFonts w:hint="eastAsia" w:ascii="Times New Roman" w:hAnsi="Times New Roman" w:eastAsia="宋体" w:cs="宋体"/>
                <w:kern w:val="2"/>
                <w:sz w:val="24"/>
                <w:szCs w:val="24"/>
                <w:lang w:val="en-US" w:eastAsia="zh-CN" w:bidi="ar"/>
              </w:rPr>
              <w:t>、固体废弃物影响专项评价</w:t>
            </w:r>
          </w:p>
          <w:p>
            <w:pPr>
              <w:keepNext w:val="0"/>
              <w:keepLines w:val="0"/>
              <w:widowControl w:val="0"/>
              <w:suppressLineNumbers w:val="0"/>
              <w:autoSpaceDE w:val="0"/>
              <w:autoSpaceDN/>
              <w:spacing w:before="0" w:beforeAutospacing="0" w:after="0" w:afterAutospacing="0" w:line="520" w:lineRule="exact"/>
              <w:ind w:left="0" w:right="0" w:rightChars="0" w:firstLine="480" w:firstLineChars="200"/>
              <w:jc w:val="both"/>
              <w:rPr>
                <w:rFonts w:hint="default" w:ascii="Times New Roman" w:hAnsi="Times New Roman" w:eastAsia="宋体" w:cs="Times New Roman"/>
                <w:kern w:val="2"/>
                <w:sz w:val="24"/>
                <w:szCs w:val="24"/>
              </w:rPr>
            </w:pPr>
            <w:r>
              <w:rPr>
                <w:rFonts w:hint="eastAsia" w:ascii="Times New Roman" w:hAnsi="Times New Roman" w:eastAsia="宋体" w:cs="宋体"/>
                <w:kern w:val="2"/>
                <w:sz w:val="24"/>
                <w:szCs w:val="24"/>
                <w:lang w:val="en-US" w:eastAsia="zh-CN" w:bidi="ar"/>
              </w:rPr>
              <w:t>以上专项评价未包括的可另列专项，专项评价按照《环境影响评价技术导则》中的要求进行。</w:t>
            </w:r>
          </w:p>
          <w:p>
            <w:pPr>
              <w:keepNext w:val="0"/>
              <w:keepLines w:val="0"/>
              <w:suppressLineNumbers w:val="0"/>
              <w:adjustRightInd w:val="0"/>
              <w:snapToGrid w:val="0"/>
              <w:spacing w:before="0" w:beforeAutospacing="0" w:after="0" w:afterAutospacing="0" w:line="360" w:lineRule="auto"/>
              <w:ind w:left="0" w:right="0" w:firstLine="482" w:firstLineChars="200"/>
              <w:rPr>
                <w:rFonts w:hint="default" w:ascii="Times New Roman" w:hAnsi="Times New Roman" w:eastAsia="宋体" w:cs="Times New Roman"/>
                <w:b/>
                <w:color w:val="000000"/>
                <w:szCs w:val="24"/>
              </w:rPr>
            </w:pPr>
          </w:p>
        </w:tc>
      </w:tr>
      <w:tr>
        <w:tblPrEx>
          <w:tblCellMar>
            <w:top w:w="0" w:type="dxa"/>
            <w:left w:w="108" w:type="dxa"/>
            <w:bottom w:w="0" w:type="dxa"/>
            <w:right w:w="108" w:type="dxa"/>
          </w:tblCellMar>
        </w:tblPrEx>
        <w:trPr>
          <w:gridAfter w:val="1"/>
          <w:wAfter w:w="355" w:type="dxa"/>
          <w:cantSplit/>
          <w:trHeight w:val="4749" w:hRule="atLeast"/>
          <w:jc w:val="center"/>
        </w:trPr>
        <w:tc>
          <w:tcPr>
            <w:tcW w:w="8945" w:type="dxa"/>
            <w:tcBorders>
              <w:top w:val="single" w:color="auto" w:sz="4"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color w:val="000000"/>
                <w:sz w:val="21"/>
                <w:szCs w:val="21"/>
              </w:rPr>
              <w:t xml:space="preserve"> </w:t>
            </w:r>
            <w:r>
              <w:rPr>
                <w:rFonts w:hint="eastAsia" w:ascii="Times New Roman" w:hAnsi="Times New Roman" w:eastAsia="宋体" w:cs="Times New Roman"/>
                <w:b/>
                <w:color w:val="000000"/>
                <w:szCs w:val="24"/>
              </w:rPr>
              <w:t>预审意见：</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r>
        <w:tblPrEx>
          <w:tblCellMar>
            <w:top w:w="0" w:type="dxa"/>
            <w:left w:w="108" w:type="dxa"/>
            <w:bottom w:w="0" w:type="dxa"/>
            <w:right w:w="108" w:type="dxa"/>
          </w:tblCellMar>
        </w:tblPrEx>
        <w:trPr>
          <w:gridAfter w:val="1"/>
          <w:wAfter w:w="355" w:type="dxa"/>
          <w:cantSplit/>
          <w:trHeight w:val="6271" w:hRule="atLeast"/>
          <w:jc w:val="center"/>
        </w:trPr>
        <w:tc>
          <w:tcPr>
            <w:tcW w:w="8945" w:type="dxa"/>
            <w:tcBorders>
              <w:top w:val="single" w:color="auto" w:sz="4"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下一级环境保护行政主管部门审查意见：</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p>
        </w:tc>
      </w:tr>
      <w:tr>
        <w:tblPrEx>
          <w:tblCellMar>
            <w:top w:w="0" w:type="dxa"/>
            <w:left w:w="108" w:type="dxa"/>
            <w:bottom w:w="0" w:type="dxa"/>
            <w:right w:w="108" w:type="dxa"/>
          </w:tblCellMar>
        </w:tblPrEx>
        <w:trPr>
          <w:gridAfter w:val="1"/>
          <w:wAfter w:w="355" w:type="dxa"/>
          <w:cantSplit/>
          <w:trHeight w:val="12748" w:hRule="atLeast"/>
          <w:jc w:val="center"/>
        </w:trPr>
        <w:tc>
          <w:tcPr>
            <w:tcW w:w="8945" w:type="dxa"/>
            <w:tcBorders>
              <w:top w:val="single" w:color="auto" w:sz="4" w:space="0"/>
              <w:left w:val="single" w:color="auto" w:sz="4" w:space="0"/>
              <w:bottom w:val="single" w:color="auto" w:sz="4" w:space="0"/>
              <w:right w:val="single" w:color="auto" w:sz="4" w:space="0"/>
            </w:tcBorders>
            <w:shd w:val="clear" w:color="auto" w:fill="auto"/>
          </w:tcPr>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b/>
                <w:color w:val="000000"/>
                <w:szCs w:val="24"/>
              </w:rPr>
            </w:pPr>
            <w:r>
              <w:rPr>
                <w:rFonts w:hint="eastAsia" w:ascii="Times New Roman" w:hAnsi="Times New Roman" w:eastAsia="宋体" w:cs="Times New Roman"/>
                <w:b/>
                <w:color w:val="000000"/>
                <w:szCs w:val="24"/>
              </w:rPr>
              <w:t>审批意见</w:t>
            </w:r>
            <w:r>
              <w:rPr>
                <w:rFonts w:hint="eastAsia" w:ascii="Times New Roman" w:hAnsi="Times New Roman" w:eastAsia="宋体" w:cs="Times New Roman"/>
                <w:b/>
                <w:color w:val="000000"/>
                <w:szCs w:val="24"/>
                <w:lang w:eastAsia="zh-CN"/>
              </w:rPr>
              <w:t>：</w:t>
            </w:r>
            <w:r>
              <w:rPr>
                <w:rFonts w:hint="default" w:ascii="Times New Roman" w:hAnsi="Times New Roman" w:eastAsia="宋体" w:cs="Times New Roman"/>
                <w:b/>
                <w:color w:val="000000"/>
                <w:szCs w:val="24"/>
              </w:rPr>
              <w:t xml:space="preserve">                                  </w:t>
            </w:r>
            <w:r>
              <w:rPr>
                <w:rFonts w:hint="default" w:ascii="Times New Roman" w:hAnsi="Times New Roman" w:eastAsia="宋体" w:cs="Times New Roman"/>
                <w:color w:val="000000"/>
                <w:szCs w:val="24"/>
              </w:rPr>
              <w:t xml:space="preserve">          </w:t>
            </w: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520" w:lineRule="exact"/>
              <w:ind w:left="0" w:right="0" w:firstLine="0" w:firstLineChars="0"/>
              <w:rPr>
                <w:rFonts w:hint="default" w:ascii="Times New Roman" w:hAnsi="Times New Roman" w:cs="Times New Roman" w:eastAsiaTheme="minorEastAsia"/>
                <w:color w:val="000000"/>
                <w:sz w:val="26"/>
                <w:szCs w:val="26"/>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公</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章</w:t>
            </w: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cs="Times New Roman" w:eastAsiaTheme="minorEastAsia"/>
                <w:b/>
                <w:color w:val="000000"/>
                <w:szCs w:val="24"/>
              </w:rPr>
            </w:pPr>
          </w:p>
          <w:p>
            <w:pPr>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b/>
                <w:color w:val="000000"/>
                <w:szCs w:val="24"/>
              </w:rPr>
            </w:pPr>
            <w:r>
              <w:rPr>
                <w:rFonts w:hint="eastAsia" w:ascii="Times New Roman" w:hAnsi="Times New Roman" w:eastAsia="宋体" w:cs="Times New Roman"/>
                <w:b/>
                <w:color w:val="000000"/>
                <w:szCs w:val="24"/>
              </w:rPr>
              <w:t>经办人：</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年</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月</w:t>
            </w:r>
            <w:r>
              <w:rPr>
                <w:rFonts w:hint="default" w:ascii="Times New Roman" w:hAnsi="Times New Roman" w:eastAsia="宋体" w:cs="Times New Roman"/>
                <w:b/>
                <w:color w:val="000000"/>
                <w:szCs w:val="24"/>
              </w:rPr>
              <w:t xml:space="preserve">     </w:t>
            </w:r>
            <w:r>
              <w:rPr>
                <w:rFonts w:hint="eastAsia" w:ascii="Times New Roman" w:hAnsi="Times New Roman" w:eastAsia="宋体" w:cs="Times New Roman"/>
                <w:b/>
                <w:color w:val="000000"/>
                <w:szCs w:val="24"/>
              </w:rPr>
              <w:t>日</w:t>
            </w:r>
          </w:p>
        </w:tc>
      </w:tr>
    </w:tbl>
    <w:p>
      <w:pPr>
        <w:spacing w:line="240" w:lineRule="auto"/>
        <w:ind w:firstLine="0" w:firstLineChars="0"/>
        <w:jc w:val="center"/>
        <w:rPr>
          <w:rFonts w:ascii="Times New Roman" w:hAnsi="Times New Roman" w:eastAsia="宋体" w:cs="Times New Roman"/>
          <w:sz w:val="28"/>
          <w:szCs w:val="30"/>
        </w:rPr>
        <w:sectPr>
          <w:pgSz w:w="11906" w:h="16838"/>
          <w:pgMar w:top="1440" w:right="1800" w:bottom="1440" w:left="1800" w:header="851" w:footer="992" w:gutter="0"/>
          <w:pgNumType w:fmt="decimal"/>
          <w:cols w:space="425" w:num="1"/>
          <w:docGrid w:type="lines" w:linePitch="312" w:charSpace="0"/>
        </w:sectPr>
      </w:pPr>
    </w:p>
    <w:p>
      <w:pPr>
        <w:spacing w:line="240" w:lineRule="auto"/>
        <w:ind w:firstLine="0" w:firstLineChars="0"/>
        <w:jc w:val="center"/>
        <w:rPr>
          <w:rFonts w:hint="eastAsia" w:ascii="Times New Roman" w:hAnsi="Times New Roman" w:eastAsia="黑体" w:cstheme="minorBidi"/>
          <w:sz w:val="44"/>
          <w:szCs w:val="44"/>
          <w:lang w:val="en-US" w:eastAsia="zh-CN"/>
        </w:rPr>
        <w:sectPr>
          <w:footerReference r:id="rId7" w:type="default"/>
          <w:pgSz w:w="11906" w:h="16838"/>
          <w:pgMar w:top="1440" w:right="1800" w:bottom="1440" w:left="1800" w:header="851" w:footer="992" w:gutter="0"/>
          <w:pgNumType w:fmt="decimal"/>
          <w:cols w:space="425" w:num="1"/>
          <w:docGrid w:type="lines" w:linePitch="312" w:charSpace="0"/>
        </w:sectPr>
      </w:pPr>
    </w:p>
    <w:p>
      <w:pPr>
        <w:spacing w:line="240" w:lineRule="auto"/>
        <w:ind w:firstLine="0" w:firstLineChars="0"/>
        <w:jc w:val="center"/>
        <w:rPr>
          <w:rFonts w:hint="eastAsia" w:ascii="Times New Roman" w:hAnsi="Times New Roman" w:eastAsia="黑体" w:cstheme="minorBidi"/>
          <w:sz w:val="44"/>
          <w:szCs w:val="44"/>
          <w:lang w:val="en-US" w:eastAsia="zh-CN"/>
        </w:rPr>
      </w:pPr>
      <w:r>
        <w:rPr>
          <w:rFonts w:hint="eastAsia" w:ascii="Times New Roman" w:hAnsi="Times New Roman" w:eastAsia="黑体" w:cstheme="minorBidi"/>
          <w:sz w:val="44"/>
          <w:szCs w:val="44"/>
          <w:lang w:val="en-US" w:eastAsia="zh-CN"/>
        </w:rPr>
        <w:t>河南高速能源有限责任公司鲁山经营部石人山服务区南加油站项目</w:t>
      </w:r>
    </w:p>
    <w:p>
      <w:pPr>
        <w:spacing w:line="240" w:lineRule="auto"/>
        <w:ind w:firstLine="0" w:firstLineChars="0"/>
        <w:jc w:val="center"/>
        <w:rPr>
          <w:rFonts w:hint="eastAsia" w:ascii="Times New Roman" w:hAnsi="Times New Roman" w:eastAsia="黑体" w:cstheme="minorBidi"/>
          <w:sz w:val="44"/>
          <w:szCs w:val="44"/>
          <w:lang w:val="en-US" w:eastAsia="zh-CN"/>
        </w:rPr>
      </w:pPr>
      <w:r>
        <w:rPr>
          <w:rFonts w:hint="eastAsia" w:ascii="Times New Roman" w:hAnsi="Times New Roman" w:eastAsia="黑体" w:cstheme="minorBidi"/>
          <w:sz w:val="44"/>
          <w:szCs w:val="44"/>
          <w:lang w:val="en-US" w:eastAsia="zh-CN"/>
        </w:rPr>
        <w:t>环境风险评价专题</w:t>
      </w:r>
    </w:p>
    <w:p>
      <w:pPr>
        <w:widowControl w:val="0"/>
        <w:autoSpaceDE w:val="0"/>
        <w:autoSpaceDN w:val="0"/>
        <w:adjustRightInd w:val="0"/>
        <w:jc w:val="center"/>
        <w:rPr>
          <w:rFonts w:hint="eastAsia" w:ascii="Times New Roman" w:hAnsi="Times New Roman" w:eastAsia="黑体" w:cs="Times New Roman"/>
          <w:color w:val="000000"/>
          <w:sz w:val="44"/>
          <w:szCs w:val="44"/>
          <w:lang w:val="en-US" w:eastAsia="zh-CN" w:bidi="ar-SA"/>
        </w:rPr>
      </w:pPr>
      <w:r>
        <w:rPr>
          <w:rFonts w:hint="eastAsia" w:ascii="Times New Roman" w:hAnsi="Times New Roman" w:eastAsia="黑体" w:cs="Times New Roman"/>
          <w:color w:val="000000"/>
          <w:sz w:val="44"/>
          <w:szCs w:val="44"/>
          <w:lang w:val="en-US" w:eastAsia="zh-CN" w:bidi="ar-SA"/>
        </w:rPr>
        <w:t>（报批版）</w:t>
      </w: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eastAsia="黑体" w:cs="Times New Roman"/>
          <w:color w:val="000000"/>
          <w:sz w:val="32"/>
          <w:szCs w:val="32"/>
          <w:lang w:val="en-US" w:eastAsia="zh-CN" w:bidi="ar-SA"/>
        </w:rPr>
        <w:t>河北科祥环保科技</w:t>
      </w:r>
      <w:r>
        <w:rPr>
          <w:rFonts w:hint="eastAsia" w:ascii="Times New Roman" w:hAnsi="Times New Roman" w:eastAsia="黑体" w:cs="Times New Roman"/>
          <w:color w:val="000000"/>
          <w:sz w:val="32"/>
          <w:szCs w:val="32"/>
          <w:lang w:val="en-US" w:eastAsia="zh-CN" w:bidi="ar-SA"/>
        </w:rPr>
        <w:t>有限公司</w:t>
      </w:r>
    </w:p>
    <w:p>
      <w:pPr>
        <w:widowControl w:val="0"/>
        <w:autoSpaceDE w:val="0"/>
        <w:autoSpaceDN w:val="0"/>
        <w:adjustRightInd w:val="0"/>
        <w:jc w:val="center"/>
        <w:rPr>
          <w:rFonts w:hint="eastAsia" w:ascii="Times New Roman" w:hAnsi="Times New Roman" w:eastAsia="黑体" w:cs="Times New Roman"/>
          <w:color w:val="000000"/>
          <w:sz w:val="32"/>
          <w:szCs w:val="32"/>
          <w:lang w:val="en-US" w:eastAsia="zh-CN" w:bidi="ar-SA"/>
        </w:rPr>
      </w:pPr>
      <w:r>
        <w:rPr>
          <w:rFonts w:hint="eastAsia" w:ascii="Times New Roman" w:hAnsi="Times New Roman" w:eastAsia="黑体" w:cs="Times New Roman"/>
          <w:color w:val="000000"/>
          <w:sz w:val="32"/>
          <w:szCs w:val="32"/>
          <w:lang w:val="en-US" w:eastAsia="zh-CN" w:bidi="ar-SA"/>
        </w:rPr>
        <w:t>二〇二〇年十</w:t>
      </w:r>
      <w:r>
        <w:rPr>
          <w:rFonts w:hint="eastAsia" w:eastAsia="黑体" w:cs="Times New Roman"/>
          <w:color w:val="000000"/>
          <w:sz w:val="32"/>
          <w:szCs w:val="32"/>
          <w:lang w:val="en-US" w:eastAsia="zh-CN" w:bidi="ar-SA"/>
        </w:rPr>
        <w:t>二</w:t>
      </w:r>
      <w:r>
        <w:rPr>
          <w:rFonts w:hint="eastAsia" w:ascii="Times New Roman" w:hAnsi="Times New Roman" w:eastAsia="黑体" w:cs="Times New Roman"/>
          <w:color w:val="000000"/>
          <w:sz w:val="32"/>
          <w:szCs w:val="32"/>
          <w:lang w:val="en-US" w:eastAsia="zh-CN" w:bidi="ar-SA"/>
        </w:rPr>
        <w:t>月</w:t>
      </w:r>
    </w:p>
    <w:p>
      <w:pPr>
        <w:widowControl w:val="0"/>
        <w:autoSpaceDE w:val="0"/>
        <w:autoSpaceDN w:val="0"/>
        <w:adjustRightInd w:val="0"/>
        <w:jc w:val="center"/>
        <w:rPr>
          <w:rFonts w:hint="eastAsia" w:ascii="Times New Roman" w:hAnsi="Times New Roman" w:eastAsia="黑体" w:cs="Times New Roman"/>
          <w:color w:val="000000"/>
          <w:sz w:val="52"/>
          <w:szCs w:val="52"/>
          <w:lang w:val="en-US" w:eastAsia="zh-CN" w:bidi="ar-SA"/>
        </w:rPr>
      </w:pPr>
    </w:p>
    <w:p>
      <w:pPr>
        <w:rPr>
          <w:rFonts w:hint="eastAsia" w:ascii="Times New Roman" w:hAnsi="Times New Roman" w:cs="Times New Roman" w:eastAsiaTheme="minorEastAsia"/>
          <w:b/>
          <w:bCs/>
          <w:sz w:val="28"/>
          <w:szCs w:val="22"/>
          <w:u w:val="none"/>
          <w:lang w:val="en-US" w:eastAsia="zh-CN"/>
        </w:rPr>
        <w:sectPr>
          <w:footerReference r:id="rId8" w:type="default"/>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jc w:val="both"/>
        <w:textAlignment w:val="auto"/>
        <w:outlineLvl w:val="0"/>
        <w:rPr>
          <w:rFonts w:hint="eastAsia" w:ascii="Times New Roman" w:hAnsi="Times New Roman" w:cs="Times New Roman" w:eastAsiaTheme="minorEastAsia"/>
          <w:b/>
          <w:bCs/>
          <w:sz w:val="28"/>
          <w:szCs w:val="22"/>
          <w:u w:val="none"/>
          <w:lang w:val="en-US" w:eastAsia="zh-CN"/>
        </w:rPr>
        <w:sectPr>
          <w:footerReference r:id="rId9" w:type="default"/>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firstLine="562" w:firstLineChars="200"/>
        <w:jc w:val="both"/>
        <w:textAlignment w:val="auto"/>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1、评价依据</w:t>
      </w:r>
    </w:p>
    <w:p>
      <w:pPr>
        <w:spacing w:line="520" w:lineRule="exact"/>
        <w:ind w:firstLine="482" w:firstLineChars="200"/>
        <w:jc w:val="both"/>
        <w:outlineLvl w:val="1"/>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（1）评价目的</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环境风险评价的目的是分析和预测建设项目存在的潜在危险、有害因素，建设项目建设和运行期间可能发生的突发性事件或事故，引起有毒有害和易燃易爆等物质的泄漏所造成的人身安全与环境影响和损害程度。提出合理可行的防范、应急与减缓措施，以使建设项目的事故率、损失和环境影响达到可接受的水平</w:t>
      </w:r>
      <w:r>
        <w:rPr>
          <w:rFonts w:hint="default" w:ascii="Times New Roman" w:hAnsi="Times New Roman" w:cs="Times New Roman" w:eastAsiaTheme="minorEastAsia"/>
          <w:sz w:val="24"/>
          <w:szCs w:val="21"/>
          <w:u w:val="none"/>
          <w:lang w:eastAsia="zh-CN"/>
        </w:rPr>
        <w:t>。</w:t>
      </w:r>
    </w:p>
    <w:p>
      <w:pPr>
        <w:spacing w:line="520" w:lineRule="exact"/>
        <w:ind w:firstLine="482" w:firstLineChars="200"/>
        <w:jc w:val="both"/>
        <w:outlineLvl w:val="1"/>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（2）风险调查</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根</w:t>
      </w:r>
      <w:r>
        <w:rPr>
          <w:rFonts w:hint="default" w:ascii="Times New Roman" w:hAnsi="Times New Roman" w:eastAsia="TimesNewRomanPSMT" w:cs="Times New Roman"/>
          <w:sz w:val="24"/>
          <w:szCs w:val="21"/>
          <w:u w:val="none"/>
        </w:rPr>
        <w:t>据GB18218-20</w:t>
      </w:r>
      <w:r>
        <w:rPr>
          <w:rFonts w:hint="eastAsia" w:ascii="Times New Roman" w:hAnsi="Times New Roman" w:eastAsia="宋体" w:cs="Times New Roman"/>
          <w:sz w:val="24"/>
          <w:szCs w:val="21"/>
          <w:u w:val="none"/>
          <w:lang w:val="en-US" w:eastAsia="zh-CN"/>
        </w:rPr>
        <w:t>18</w:t>
      </w:r>
      <w:r>
        <w:rPr>
          <w:rFonts w:hint="default" w:ascii="Times New Roman" w:hAnsi="Times New Roman" w:eastAsia="TimesNewRomanPSMT" w:cs="Times New Roman"/>
          <w:sz w:val="24"/>
          <w:szCs w:val="21"/>
          <w:u w:val="none"/>
        </w:rPr>
        <w:t>《危险化学品重大危险源辩识》，重大危险源辨识指标有两种情况：</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（1）</w:t>
      </w:r>
      <w:r>
        <w:rPr>
          <w:rFonts w:hint="default" w:ascii="Times New Roman" w:hAnsi="Times New Roman" w:eastAsia="TimesNewRomanPSMT" w:cs="Times New Roman"/>
          <w:sz w:val="24"/>
          <w:szCs w:val="21"/>
          <w:u w:val="none"/>
        </w:rPr>
        <w:t>单元内存在的危险物质为单一品种，则该物质的数量即为单元内危险物质的总量，若等于或超过相应的临界量，则定为重大危险源。</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cs="Times New Roman" w:eastAsiaTheme="minorEastAsia"/>
          <w:sz w:val="24"/>
          <w:szCs w:val="21"/>
          <w:u w:val="none"/>
        </w:rPr>
        <w:t>（2）</w:t>
      </w:r>
      <w:r>
        <w:rPr>
          <w:rFonts w:hint="default" w:ascii="Times New Roman" w:hAnsi="Times New Roman" w:eastAsia="TimesNewRomanPSMT" w:cs="Times New Roman"/>
          <w:sz w:val="24"/>
          <w:szCs w:val="21"/>
          <w:u w:val="none"/>
        </w:rPr>
        <w:t>单元内存在的危险物质为多品种时，则按下式计算，若满足下式，则定为重大危险源。</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1"/>
          <w:u w:val="none"/>
          <w:lang w:eastAsia="zh-CN"/>
        </w:rPr>
        <w:pict>
          <v:shape id="_x0000_s1026" o:spid="_x0000_s1026" o:spt="75" type="#_x0000_t75" style="position:absolute;left:0pt;margin-left:181.8pt;margin-top:1.8pt;height:33pt;width:94pt;mso-wrap-distance-bottom:0pt;mso-wrap-distance-top:0pt;z-index:843662336;mso-width-relative:page;mso-height-relative:page;" o:ole="t" filled="f" o:preferrelative="t" stroked="f" coordsize="21600,21600">
            <v:path/>
            <v:fill on="f" focussize="0,0"/>
            <v:stroke on="f"/>
            <v:imagedata r:id="rId24" o:title=""/>
            <o:lock v:ext="edit" aspectratio="t"/>
            <w10:wrap type="topAndBottom"/>
          </v:shape>
          <o:OLEObject Type="Embed" ProgID="Equation.3" ShapeID="_x0000_s1026" DrawAspect="Content" ObjectID="_1468075726" r:id="rId23">
            <o:LockedField>false</o:LockedField>
          </o:OLEObject>
        </w:pict>
      </w:r>
      <w:r>
        <w:rPr>
          <w:rFonts w:hint="default" w:ascii="Times New Roman" w:hAnsi="Times New Roman" w:cs="Times New Roman" w:eastAsiaTheme="minorEastAsia"/>
          <w:sz w:val="24"/>
          <w:szCs w:val="21"/>
          <w:u w:val="none"/>
        </w:rPr>
        <w:t>式中，</w:t>
      </w:r>
      <w:r>
        <w:rPr>
          <w:rFonts w:hint="eastAsia" w:ascii="Times New Roman" w:hAnsi="Times New Roman" w:cs="Times New Roman" w:eastAsiaTheme="minorEastAsia"/>
          <w:sz w:val="24"/>
          <w:szCs w:val="21"/>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每种危险物质实际存在量</w:t>
      </w:r>
      <w:r>
        <w:rPr>
          <w:rFonts w:hint="eastAsia" w:ascii="Times New Roman" w:hAnsi="Times New Roman" w:cs="Times New Roman" w:eastAsiaTheme="minorEastAsia"/>
          <w:sz w:val="24"/>
          <w:szCs w:val="24"/>
          <w:u w:val="none"/>
          <w:lang w:val="en-US" w:eastAsia="zh-CN"/>
        </w:rPr>
        <w:t>，t；</w:t>
      </w:r>
    </w:p>
    <w:p>
      <w:pPr>
        <w:spacing w:line="520" w:lineRule="exact"/>
        <w:ind w:firstLine="1200" w:firstLineChars="5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W</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w:t>
      </w:r>
      <w:r>
        <w:rPr>
          <w:rFonts w:hint="default" w:ascii="Times New Roman" w:hAnsi="Times New Roman" w:cs="Times New Roman" w:eastAsiaTheme="minorEastAsia"/>
          <w:sz w:val="24"/>
          <w:szCs w:val="21"/>
          <w:u w:val="none"/>
        </w:rPr>
        <w:t>与各危险</w:t>
      </w:r>
      <w:r>
        <w:rPr>
          <w:rFonts w:hint="eastAsia" w:ascii="Times New Roman" w:hAnsi="Times New Roman" w:cs="Times New Roman" w:eastAsiaTheme="minorEastAsia"/>
          <w:sz w:val="24"/>
          <w:szCs w:val="21"/>
          <w:u w:val="none"/>
          <w:lang w:eastAsia="zh-CN"/>
        </w:rPr>
        <w:t>化学品</w:t>
      </w:r>
      <w:r>
        <w:rPr>
          <w:rFonts w:hint="default" w:ascii="Times New Roman" w:hAnsi="Times New Roman" w:cs="Times New Roman" w:eastAsiaTheme="minorEastAsia"/>
          <w:sz w:val="24"/>
          <w:szCs w:val="21"/>
          <w:u w:val="none"/>
        </w:rPr>
        <w:t>相对应的临界量</w:t>
      </w:r>
      <w:r>
        <w:rPr>
          <w:rFonts w:hint="eastAsia" w:ascii="Times New Roman" w:hAnsi="Times New Roman" w:cs="Times New Roman" w:eastAsiaTheme="minorEastAsia"/>
          <w:sz w:val="24"/>
          <w:szCs w:val="24"/>
          <w:u w:val="none"/>
          <w:lang w:val="en-US" w:eastAsia="zh-CN"/>
        </w:rPr>
        <w:t>，t。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本项目加油站储罐区汽单罐容量为</w:t>
      </w:r>
      <w:r>
        <w:rPr>
          <w:rFonts w:hint="eastAsia" w:ascii="Times New Roman" w:hAnsi="Times New Roman" w:cs="Times New Roman" w:eastAsiaTheme="minorEastAsia"/>
          <w:sz w:val="24"/>
          <w:szCs w:val="21"/>
          <w:u w:val="none"/>
          <w:lang w:val="en-US" w:eastAsia="zh-CN"/>
        </w:rPr>
        <w:t>5</w:t>
      </w:r>
      <w:r>
        <w:rPr>
          <w:rFonts w:hint="eastAsia" w:ascii="Times New Roman" w:hAnsi="Times New Roman" w:eastAsia="宋体" w:cs="Times New Roman"/>
          <w:sz w:val="24"/>
          <w:szCs w:val="21"/>
          <w:u w:val="none"/>
          <w:lang w:val="en-US" w:eastAsia="zh-CN"/>
        </w:rPr>
        <w:t xml:space="preserve">0 </w:t>
      </w:r>
      <w:r>
        <w:rPr>
          <w:rFonts w:hint="default" w:ascii="Times New Roman" w:hAnsi="Times New Roman" w:eastAsia="TimesNewRomanPSMT" w:cs="Times New Roman"/>
          <w:sz w:val="24"/>
          <w:szCs w:val="21"/>
          <w:u w:val="none"/>
        </w:rPr>
        <w: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，项目使用</w:t>
      </w:r>
      <w:r>
        <w:rPr>
          <w:rFonts w:hint="eastAsia" w:ascii="Times New Roman" w:hAnsi="Times New Roman" w:cs="Times New Roman" w:eastAsiaTheme="minorEastAsia"/>
          <w:sz w:val="24"/>
          <w:szCs w:val="21"/>
          <w:u w:val="none"/>
          <w:lang w:val="en-US" w:eastAsia="zh-CN"/>
        </w:rPr>
        <w:t>3</w:t>
      </w:r>
      <w:r>
        <w:rPr>
          <w:rFonts w:hint="default" w:ascii="Times New Roman" w:hAnsi="Times New Roman" w:cs="Times New Roman" w:eastAsiaTheme="minorEastAsia"/>
          <w:sz w:val="24"/>
          <w:szCs w:val="21"/>
          <w:u w:val="none"/>
        </w:rPr>
        <w:t>个汽油罐和</w:t>
      </w:r>
      <w:r>
        <w:rPr>
          <w:rFonts w:hint="eastAsia" w:ascii="Times New Roman" w:hAnsi="Times New Roman" w:cs="Times New Roman" w:eastAsiaTheme="minorEastAsia"/>
          <w:sz w:val="24"/>
          <w:szCs w:val="21"/>
          <w:u w:val="none"/>
          <w:lang w:val="en-US" w:eastAsia="zh-CN"/>
        </w:rPr>
        <w:t>2</w:t>
      </w:r>
      <w:r>
        <w:rPr>
          <w:rFonts w:hint="default" w:ascii="Times New Roman" w:hAnsi="Times New Roman" w:cs="Times New Roman" w:eastAsiaTheme="minorEastAsia"/>
          <w:sz w:val="24"/>
          <w:szCs w:val="21"/>
          <w:u w:val="none"/>
        </w:rPr>
        <w:t>个柴油罐，汽油密度</w:t>
      </w:r>
      <w:r>
        <w:rPr>
          <w:rFonts w:hint="default" w:ascii="Times New Roman" w:hAnsi="Times New Roman" w:eastAsia="TimesNewRomanPSMT" w:cs="Times New Roman"/>
          <w:sz w:val="24"/>
          <w:szCs w:val="21"/>
          <w:u w:val="none"/>
        </w:rPr>
        <w:t>0.70</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0.7</w:t>
      </w:r>
      <w:r>
        <w:rPr>
          <w:rFonts w:hint="eastAsia" w:ascii="Times New Roman" w:hAnsi="Times New Roman" w:eastAsia="宋体" w:cs="Times New Roman"/>
          <w:sz w:val="24"/>
          <w:szCs w:val="21"/>
          <w:u w:val="none"/>
          <w:lang w:val="en-US" w:eastAsia="zh-CN"/>
        </w:rPr>
        <w:t>8</w:t>
      </w:r>
      <w:r>
        <w:rPr>
          <w:rFonts w:hint="default" w:ascii="Times New Roman" w:hAnsi="Times New Roman" w:cs="Times New Roman" w:eastAsiaTheme="minorEastAsia"/>
          <w:sz w:val="24"/>
          <w:szCs w:val="21"/>
          <w:u w:val="none"/>
        </w:rPr>
        <w:t>，本次取</w:t>
      </w:r>
      <w:r>
        <w:rPr>
          <w:rFonts w:hint="default" w:ascii="Times New Roman" w:hAnsi="Times New Roman" w:eastAsia="TimesNewRomanPSMT" w:cs="Times New Roman"/>
          <w:sz w:val="24"/>
          <w:szCs w:val="21"/>
          <w:u w:val="none"/>
        </w:rPr>
        <w:t>0.75</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t/m</w:t>
      </w:r>
      <w:r>
        <w:rPr>
          <w:rFonts w:hint="default" w:ascii="Times New Roman" w:hAnsi="Times New Roman" w:cs="Times New Roman" w:eastAsiaTheme="minorEastAsia"/>
          <w:sz w:val="24"/>
          <w:szCs w:val="21"/>
          <w:u w:val="none"/>
          <w:vertAlign w:val="superscript"/>
        </w:rPr>
        <w:t>3</w:t>
      </w:r>
      <w:r>
        <w:rPr>
          <w:rFonts w:hint="default" w:ascii="Times New Roman" w:hAnsi="Times New Roman" w:cs="Times New Roman" w:eastAsiaTheme="minorEastAsia"/>
          <w:sz w:val="24"/>
          <w:szCs w:val="21"/>
          <w:u w:val="none"/>
        </w:rPr>
        <w:t>，柴油密度</w:t>
      </w:r>
      <w:r>
        <w:rPr>
          <w:rFonts w:hint="default" w:ascii="Times New Roman" w:hAnsi="Times New Roman" w:eastAsia="TimesNewRomanPSMT" w:cs="Times New Roman"/>
          <w:sz w:val="24"/>
          <w:szCs w:val="21"/>
          <w:u w:val="none"/>
        </w:rPr>
        <w:t>0.8</w:t>
      </w:r>
      <w:r>
        <w:rPr>
          <w:rFonts w:hint="eastAsia" w:ascii="Times New Roman" w:hAnsi="Times New Roman" w:eastAsia="宋体" w:cs="Times New Roman"/>
          <w:sz w:val="24"/>
          <w:szCs w:val="21"/>
          <w:u w:val="none"/>
          <w:lang w:val="en-US" w:eastAsia="zh-CN"/>
        </w:rPr>
        <w:t>3</w:t>
      </w:r>
      <w:r>
        <w:rPr>
          <w:rFonts w:hint="default" w:ascii="Times New Roman" w:hAnsi="Times New Roman" w:cs="Times New Roman" w:eastAsiaTheme="minorEastAsia"/>
          <w:sz w:val="24"/>
          <w:szCs w:val="21"/>
          <w:u w:val="none"/>
        </w:rPr>
        <w:t>～</w:t>
      </w:r>
      <w:r>
        <w:rPr>
          <w:rFonts w:hint="eastAsia" w:ascii="Times New Roman" w:hAnsi="Times New Roman" w:eastAsia="宋体" w:cs="Times New Roman"/>
          <w:sz w:val="24"/>
          <w:szCs w:val="21"/>
          <w:u w:val="none"/>
          <w:lang w:val="en-US" w:eastAsia="zh-CN"/>
        </w:rPr>
        <w:t>0.855</w:t>
      </w:r>
      <w:r>
        <w:rPr>
          <w:rFonts w:hint="default" w:ascii="Times New Roman" w:hAnsi="Times New Roman" w:cs="Times New Roman" w:eastAsiaTheme="minorEastAsia"/>
          <w:sz w:val="24"/>
          <w:szCs w:val="21"/>
          <w:u w:val="none"/>
        </w:rPr>
        <w:t>，本项目取</w:t>
      </w:r>
      <w:r>
        <w:rPr>
          <w:rFonts w:hint="default" w:ascii="Times New Roman" w:hAnsi="Times New Roman" w:eastAsia="TimesNewRomanPSMT" w:cs="Times New Roman"/>
          <w:sz w:val="24"/>
          <w:szCs w:val="21"/>
          <w:u w:val="none"/>
        </w:rPr>
        <w:t>0.</w:t>
      </w:r>
      <w:r>
        <w:rPr>
          <w:rFonts w:hint="eastAsia" w:ascii="Times New Roman" w:hAnsi="Times New Roman" w:eastAsia="宋体" w:cs="Times New Roman"/>
          <w:sz w:val="24"/>
          <w:szCs w:val="21"/>
          <w:u w:val="none"/>
          <w:lang w:val="en-US" w:eastAsia="zh-CN"/>
        </w:rPr>
        <w:t>84</w:t>
      </w:r>
      <w:r>
        <w:rPr>
          <w:rFonts w:hint="default" w:ascii="Times New Roman" w:hAnsi="Times New Roman" w:cs="Times New Roman" w:eastAsiaTheme="minorEastAsia"/>
          <w:sz w:val="24"/>
          <w:szCs w:val="21"/>
          <w:u w:val="none"/>
        </w:rPr>
        <w:t>，最大储量按储油罐</w:t>
      </w:r>
      <w:r>
        <w:rPr>
          <w:rFonts w:hint="eastAsia" w:ascii="Times New Roman" w:hAnsi="Times New Roman" w:cs="Times New Roman" w:eastAsiaTheme="minorEastAsia"/>
          <w:sz w:val="24"/>
          <w:szCs w:val="21"/>
          <w:u w:val="none"/>
          <w:lang w:eastAsia="zh-CN"/>
        </w:rPr>
        <w:t>的</w:t>
      </w:r>
      <w:r>
        <w:rPr>
          <w:rFonts w:hint="default" w:ascii="Times New Roman" w:hAnsi="Times New Roman" w:cs="Times New Roman" w:eastAsiaTheme="minorEastAsia"/>
          <w:sz w:val="24"/>
          <w:szCs w:val="21"/>
          <w:u w:val="none"/>
        </w:rPr>
        <w:t>90%，则汽油的最大存储量为</w:t>
      </w:r>
      <w:r>
        <w:rPr>
          <w:rFonts w:hint="eastAsia" w:ascii="Times New Roman" w:hAnsi="Times New Roman" w:cs="Times New Roman" w:eastAsiaTheme="minorEastAsia"/>
          <w:sz w:val="24"/>
          <w:szCs w:val="21"/>
          <w:u w:val="none"/>
          <w:lang w:val="en-US" w:eastAsia="zh-CN"/>
        </w:rPr>
        <w:t>101.25</w:t>
      </w:r>
      <w:r>
        <w:rPr>
          <w:rFonts w:hint="default" w:ascii="Times New Roman" w:hAnsi="Times New Roman" w:cs="Times New Roman" w:eastAsiaTheme="minorEastAsia"/>
          <w:sz w:val="24"/>
          <w:szCs w:val="21"/>
          <w:u w:val="none"/>
        </w:rPr>
        <w:t>t，柴油最大存储量为</w:t>
      </w:r>
      <w:r>
        <w:rPr>
          <w:rFonts w:hint="eastAsia" w:cs="Times New Roman" w:eastAsiaTheme="minorEastAsia"/>
          <w:sz w:val="24"/>
          <w:szCs w:val="21"/>
          <w:u w:val="none"/>
          <w:lang w:val="en-US" w:eastAsia="zh-CN"/>
        </w:rPr>
        <w:t>68.04</w:t>
      </w:r>
      <w:r>
        <w:rPr>
          <w:rFonts w:hint="default" w:ascii="Times New Roman" w:hAnsi="Times New Roman" w:cs="Times New Roman" w:eastAsiaTheme="minorEastAsia"/>
          <w:sz w:val="24"/>
          <w:szCs w:val="21"/>
          <w:u w:val="none"/>
        </w:rPr>
        <w:t>t。</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1-1</w:t>
      </w:r>
      <w:r>
        <w:rPr>
          <w:rFonts w:hint="default" w:ascii="Times New Roman" w:hAnsi="Times New Roman" w:eastAsia="黑体" w:cs="Times New Roman"/>
          <w:sz w:val="24"/>
          <w:szCs w:val="21"/>
          <w:u w:val="none"/>
        </w:rPr>
        <w:t xml:space="preserve">  </w:t>
      </w:r>
      <w:r>
        <w:rPr>
          <w:rFonts w:hint="eastAsia" w:ascii="Times New Roman" w:hAnsi="Times New Roman" w:eastAsia="黑体" w:cs="Times New Roman"/>
          <w:sz w:val="24"/>
          <w:szCs w:val="21"/>
          <w:u w:val="none"/>
          <w:lang w:eastAsia="zh-CN"/>
        </w:rPr>
        <w:t>项目危险化学品情况</w:t>
      </w:r>
    </w:p>
    <w:tbl>
      <w:tblPr>
        <w:tblStyle w:val="20"/>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56"/>
        <w:gridCol w:w="2045"/>
        <w:gridCol w:w="2223"/>
        <w:gridCol w:w="2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eastAsia" w:ascii="Times New Roman" w:hAnsi="Times New Roman" w:cs="Times New Roman" w:eastAsiaTheme="minorEastAsia"/>
                <w:b/>
                <w:bCs/>
                <w:szCs w:val="21"/>
                <w:u w:val="none"/>
                <w:lang w:eastAsia="zh-CN"/>
              </w:rPr>
              <w:t>危险物质</w:t>
            </w:r>
            <w:r>
              <w:rPr>
                <w:rFonts w:hint="default" w:ascii="Times New Roman" w:hAnsi="Times New Roman" w:cs="Times New Roman" w:eastAsiaTheme="minorEastAsia"/>
                <w:b/>
                <w:bCs/>
                <w:szCs w:val="21"/>
                <w:u w:val="none"/>
              </w:rPr>
              <w:t>名称</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最大储量（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cs="Times New Roman" w:eastAsiaTheme="minorEastAsia"/>
                <w:b/>
                <w:bCs/>
                <w:szCs w:val="21"/>
                <w:u w:val="none"/>
              </w:rPr>
              <w:t>临界量（</w:t>
            </w:r>
            <w:r>
              <w:rPr>
                <w:rFonts w:hint="default" w:ascii="Times New Roman" w:hAnsi="Times New Roman" w:eastAsia="TimesNewRomanPSMT" w:cs="Times New Roman"/>
                <w:b/>
                <w:bCs/>
                <w:szCs w:val="21"/>
                <w:u w:val="none"/>
              </w:rPr>
              <w:t>t</w:t>
            </w:r>
            <w:r>
              <w:rPr>
                <w:rFonts w:hint="default" w:ascii="Times New Roman" w:hAnsi="Times New Roman" w:cs="Times New Roman" w:eastAsiaTheme="minorEastAsia"/>
                <w:b/>
                <w:bCs/>
                <w:szCs w:val="21"/>
                <w:u w:val="none"/>
              </w:rPr>
              <w:t>）</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b/>
                <w:bCs/>
                <w:sz w:val="24"/>
                <w:szCs w:val="21"/>
                <w:u w:val="none"/>
              </w:rPr>
            </w:pPr>
            <w:r>
              <w:rPr>
                <w:rFonts w:hint="default" w:ascii="Times New Roman" w:hAnsi="Times New Roman" w:eastAsia="TimesNewRomanPSMT" w:cs="Times New Roman"/>
                <w:b/>
                <w:bCs/>
                <w:szCs w:val="21"/>
                <w:u w:val="none"/>
              </w:rPr>
              <w:t>qi/Qi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汽油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cs="Times New Roman"/>
                <w:szCs w:val="21"/>
                <w:u w:val="none"/>
                <w:lang w:val="en-US" w:eastAsia="zh-CN"/>
              </w:rPr>
              <w:t>101.25</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ascii="Times New Roman" w:hAnsi="Times New Roman" w:eastAsia="宋体" w:cs="Times New Roman"/>
                <w:szCs w:val="21"/>
                <w:u w:val="none"/>
                <w:lang w:val="en-US" w:eastAsia="zh-CN"/>
              </w:rPr>
              <w:t>0.0</w:t>
            </w:r>
            <w:r>
              <w:rPr>
                <w:rFonts w:hint="eastAsia" w:ascii="Times New Roman" w:hAnsi="Times New Roman" w:cs="Times New Roman"/>
                <w:szCs w:val="21"/>
                <w:u w:val="none"/>
                <w:lang w:val="en-US" w:eastAsia="zh-CN"/>
              </w:rPr>
              <w:t>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5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柴油</w:t>
            </w:r>
          </w:p>
        </w:tc>
        <w:tc>
          <w:tcPr>
            <w:tcW w:w="2045"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cs="Times New Roman"/>
                <w:szCs w:val="21"/>
                <w:u w:val="none"/>
                <w:lang w:val="en-US" w:eastAsia="zh-CN"/>
              </w:rPr>
              <w:t>68.04</w:t>
            </w:r>
          </w:p>
        </w:tc>
        <w:tc>
          <w:tcPr>
            <w:tcW w:w="2223"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lang w:val="en-US" w:eastAsia="zh-CN"/>
              </w:rPr>
            </w:pPr>
            <w:r>
              <w:rPr>
                <w:rFonts w:hint="eastAsia" w:ascii="Times New Roman" w:hAnsi="Times New Roman" w:eastAsia="宋体" w:cs="Times New Roman"/>
                <w:szCs w:val="21"/>
                <w:u w:val="none"/>
                <w:lang w:val="en-US" w:eastAsia="zh-CN"/>
              </w:rPr>
              <w:t>2500</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宋体" w:cs="Times New Roman"/>
                <w:sz w:val="24"/>
                <w:szCs w:val="21"/>
                <w:u w:val="none"/>
                <w:lang w:val="en-US" w:eastAsia="zh-CN"/>
              </w:rPr>
            </w:pPr>
            <w:r>
              <w:rPr>
                <w:rFonts w:hint="eastAsia" w:cs="Times New Roman"/>
                <w:szCs w:val="21"/>
                <w:u w:val="none"/>
                <w:lang w:val="en-US" w:eastAsia="zh-CN"/>
              </w:rPr>
              <w:t>0.0272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eastAsia="TimesNewRomanPSMT" w:cs="Times New Roman"/>
                <w:szCs w:val="21"/>
                <w:u w:val="none"/>
              </w:rPr>
              <w:t>Σqn/Qn</w:t>
            </w:r>
          </w:p>
        </w:tc>
        <w:tc>
          <w:tcPr>
            <w:tcW w:w="2406" w:type="dxa"/>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eastAsia" w:eastAsia="宋体" w:cs="Times New Roman"/>
                <w:szCs w:val="21"/>
                <w:u w:val="none"/>
                <w:lang w:eastAsia="zh-CN"/>
              </w:rPr>
              <w:t>0.0677</w:t>
            </w:r>
            <w:r>
              <w:rPr>
                <w:rFonts w:hint="default" w:ascii="Times New Roman" w:hAnsi="Times New Roman" w:cs="Times New Roman" w:eastAsiaTheme="minorEastAsia"/>
                <w:szCs w:val="21"/>
                <w:u w:val="none"/>
              </w:rPr>
              <w:t>＜</w:t>
            </w:r>
            <w:r>
              <w:rPr>
                <w:rFonts w:hint="default" w:ascii="Times New Roman" w:hAnsi="Times New Roman" w:eastAsia="TimesNewRomanPSMT" w:cs="Times New Roman"/>
                <w:szCs w:val="21"/>
                <w:u w:val="none"/>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24" w:type="dxa"/>
            <w:gridSpan w:val="3"/>
            <w:noWrap w:val="0"/>
            <w:vAlign w:val="center"/>
          </w:tcPr>
          <w:p>
            <w:pPr>
              <w:keepNext w:val="0"/>
              <w:keepLines w:val="0"/>
              <w:suppressLineNumbers w:val="0"/>
              <w:spacing w:before="0" w:beforeAutospacing="0" w:after="0" w:afterAutospacing="0" w:line="360" w:lineRule="exact"/>
              <w:ind w:left="0" w:right="0" w:firstLine="0" w:firstLineChars="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重大危险源判定</w:t>
            </w:r>
          </w:p>
        </w:tc>
        <w:tc>
          <w:tcPr>
            <w:tcW w:w="2406" w:type="dxa"/>
            <w:noWrap w:val="0"/>
            <w:vAlign w:val="center"/>
          </w:tcPr>
          <w:p>
            <w:pPr>
              <w:keepNext w:val="0"/>
              <w:keepLines w:val="0"/>
              <w:suppressLineNumbers w:val="0"/>
              <w:spacing w:before="0" w:beforeAutospacing="0" w:after="0" w:afterAutospacing="0" w:line="360" w:lineRule="exact"/>
              <w:ind w:left="0" w:right="0" w:firstLine="480" w:firstLineChars="200"/>
              <w:jc w:val="center"/>
              <w:rPr>
                <w:rFonts w:hint="default" w:ascii="Times New Roman" w:hAnsi="Times New Roman" w:eastAsia="黑体" w:cs="Times New Roman"/>
                <w:sz w:val="24"/>
                <w:szCs w:val="21"/>
                <w:u w:val="none"/>
              </w:rPr>
            </w:pPr>
            <w:r>
              <w:rPr>
                <w:rFonts w:hint="default" w:ascii="Times New Roman" w:hAnsi="Times New Roman" w:cs="Times New Roman" w:eastAsiaTheme="minorEastAsia"/>
                <w:szCs w:val="21"/>
                <w:u w:val="none"/>
              </w:rPr>
              <w:t>不构成</w:t>
            </w:r>
          </w:p>
        </w:tc>
      </w:tr>
    </w:tbl>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项目危险品物储存量小于临界量，按上式计算，不满足，即本项目不构成重大危险源。</w:t>
      </w:r>
    </w:p>
    <w:p>
      <w:pPr>
        <w:spacing w:line="520" w:lineRule="exact"/>
        <w:ind w:firstLine="482" w:firstLineChars="200"/>
        <w:jc w:val="both"/>
        <w:outlineLvl w:val="9"/>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（3）风险潜势初判</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①危险物质及工艺系统危险性（P）的判定</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val="en-US" w:eastAsia="zh-CN"/>
        </w:rPr>
        <w:t>.危险物质数量与临界量的比值（Q）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val="en-US" w:eastAsia="zh-CN"/>
        </w:rPr>
        <w:t>当</w:t>
      </w:r>
      <w:r>
        <w:rPr>
          <w:rFonts w:hint="eastAsia" w:ascii="Times New Roman" w:hAnsi="Times New Roman" w:cs="Times New Roman" w:eastAsiaTheme="minorEastAsia"/>
          <w:sz w:val="24"/>
          <w:szCs w:val="24"/>
          <w:u w:val="none"/>
          <w:lang w:eastAsia="zh-CN"/>
        </w:rPr>
        <w:t>只涉及一种</w:t>
      </w:r>
      <w:r>
        <w:rPr>
          <w:rFonts w:hint="default" w:ascii="Times New Roman" w:hAnsi="Times New Roman" w:cs="Times New Roman" w:eastAsiaTheme="minorEastAsia"/>
          <w:sz w:val="24"/>
          <w:szCs w:val="24"/>
          <w:u w:val="none"/>
          <w:lang w:eastAsia="zh-CN"/>
        </w:rPr>
        <w:t>危险物质</w:t>
      </w:r>
      <w:r>
        <w:rPr>
          <w:rFonts w:hint="eastAsia" w:ascii="Times New Roman" w:hAnsi="Times New Roman" w:cs="Times New Roman" w:eastAsiaTheme="minorEastAsia"/>
          <w:sz w:val="24"/>
          <w:szCs w:val="24"/>
          <w:u w:val="none"/>
          <w:lang w:eastAsia="zh-CN"/>
        </w:rPr>
        <w:t>时，计算该物质的总量与其临界量的比值，即为</w:t>
      </w:r>
      <w:r>
        <w:rPr>
          <w:rFonts w:hint="eastAsia" w:ascii="Times New Roman" w:hAnsi="Times New Roman" w:cs="Times New Roman" w:eastAsiaTheme="minorEastAsia"/>
          <w:sz w:val="24"/>
          <w:szCs w:val="24"/>
          <w:u w:val="none"/>
          <w:lang w:val="en-US" w:eastAsia="zh-CN"/>
        </w:rPr>
        <w:t>Q；</w: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当存在</w:t>
      </w:r>
      <w:r>
        <w:rPr>
          <w:rFonts w:hint="default" w:ascii="Times New Roman" w:hAnsi="Times New Roman" w:cs="Times New Roman" w:eastAsiaTheme="minorEastAsia"/>
          <w:sz w:val="24"/>
          <w:szCs w:val="24"/>
          <w:u w:val="none"/>
          <w:lang w:eastAsia="zh-CN"/>
        </w:rPr>
        <w:t>多种危险物质</w:t>
      </w:r>
      <w:r>
        <w:rPr>
          <w:rFonts w:hint="eastAsia" w:ascii="Times New Roman" w:hAnsi="Times New Roman" w:cs="Times New Roman" w:eastAsiaTheme="minorEastAsia"/>
          <w:sz w:val="24"/>
          <w:szCs w:val="24"/>
          <w:u w:val="none"/>
          <w:lang w:eastAsia="zh-CN"/>
        </w:rPr>
        <w:t>时，</w:t>
      </w:r>
      <w:r>
        <w:rPr>
          <w:rFonts w:hint="default" w:ascii="Times New Roman" w:hAnsi="Times New Roman" w:cs="Times New Roman" w:eastAsiaTheme="minorEastAsia"/>
          <w:sz w:val="24"/>
          <w:szCs w:val="24"/>
          <w:u w:val="none"/>
          <w:lang w:eastAsia="zh-CN"/>
        </w:rPr>
        <w:t>则按下式计算</w:t>
      </w:r>
      <w:r>
        <w:rPr>
          <w:rFonts w:hint="eastAsia" w:ascii="Times New Roman" w:hAnsi="Times New Roman" w:cs="Times New Roman" w:eastAsiaTheme="minorEastAsia"/>
          <w:sz w:val="24"/>
          <w:szCs w:val="24"/>
          <w:u w:val="none"/>
          <w:lang w:eastAsia="zh-CN"/>
        </w:rPr>
        <w:t>物质总量与其临界量的比值（</w:t>
      </w:r>
      <w:r>
        <w:rPr>
          <w:rFonts w:hint="eastAsia" w:ascii="Times New Roman" w:hAnsi="Times New Roman" w:cs="Times New Roman" w:eastAsiaTheme="minorEastAsia"/>
          <w:sz w:val="24"/>
          <w:szCs w:val="24"/>
          <w:u w:val="none"/>
          <w:lang w:val="en-US" w:eastAsia="zh-CN"/>
        </w:rPr>
        <w:t>Q）；</w:t>
      </w:r>
    </w:p>
    <w:p>
      <w:pPr>
        <w:spacing w:line="240" w:lineRule="auto"/>
        <w:ind w:firstLine="0" w:firstLineChars="0"/>
        <w:jc w:val="center"/>
        <w:rPr>
          <w:rFonts w:hint="eastAsia" w:ascii="Times New Roman" w:hAnsi="Times New Roman" w:eastAsia="宋体" w:cstheme="minorBidi"/>
          <w:szCs w:val="24"/>
          <w:u w:val="none"/>
          <w:lang w:eastAsia="zh-CN"/>
        </w:rPr>
      </w:pPr>
      <w:r>
        <w:rPr>
          <w:rFonts w:hint="eastAsia" w:ascii="Times New Roman" w:hAnsi="Times New Roman" w:eastAsia="宋体" w:cstheme="minorBidi"/>
          <w:position w:val="-28"/>
          <w:szCs w:val="24"/>
          <w:u w:val="none"/>
          <w:lang w:eastAsia="zh-CN"/>
        </w:rPr>
        <w:object>
          <v:shape id="_x0000_i1026" o:spt="75" type="#_x0000_t75" style="height:33pt;width:101pt;" o:ole="t" filled="f" o:preferrelative="t" stroked="f" coordsize="21600,21600">
            <v:path/>
            <v:fill on="f" focussize="0,0"/>
            <v:stroke on="f"/>
            <v:imagedata r:id="rId26" o:title=""/>
            <o:lock v:ext="edit" aspectratio="t"/>
            <w10:wrap type="none"/>
            <w10:anchorlock/>
          </v:shape>
          <o:OLEObject Type="Embed" ProgID="Equation.KSEE3" ShapeID="_x0000_i1026" DrawAspect="Content" ObjectID="_1468075727" r:id="rId25">
            <o:LockedField>false</o:LockedField>
          </o:OLEObject>
        </w:object>
      </w:r>
    </w:p>
    <w:p>
      <w:pPr>
        <w:spacing w:line="520" w:lineRule="exact"/>
        <w:ind w:firstLine="480" w:firstLineChars="200"/>
        <w:jc w:val="left"/>
        <w:rPr>
          <w:rFonts w:hint="eastAsia" w:ascii="Times New Roman" w:hAnsi="Times New Roman" w:cs="Times New Roman" w:eastAsiaTheme="minorEastAsia"/>
          <w:sz w:val="24"/>
          <w:szCs w:val="24"/>
          <w:u w:val="none"/>
          <w:lang w:val="en-US" w:eastAsia="zh-CN"/>
        </w:rPr>
      </w:pPr>
      <w:r>
        <w:rPr>
          <w:rFonts w:hint="default" w:ascii="Times New Roman" w:hAnsi="Times New Roman" w:cs="Times New Roman" w:eastAsiaTheme="minorEastAsia"/>
          <w:sz w:val="24"/>
          <w:szCs w:val="24"/>
          <w:u w:val="none"/>
          <w:lang w:val="en-US" w:eastAsia="zh-CN"/>
        </w:rPr>
        <w:t>式中</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——每种危险物质的最大存在总量，t；</w:t>
      </w:r>
    </w:p>
    <w:p>
      <w:pPr>
        <w:spacing w:line="520" w:lineRule="exact"/>
        <w:ind w:firstLine="1200" w:firstLineChars="500"/>
        <w:jc w:val="left"/>
        <w:outlineLvl w:val="1"/>
        <w:rPr>
          <w:rFonts w:hint="eastAsia"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1</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2</w:t>
      </w:r>
      <w:r>
        <w:rPr>
          <w:rFonts w:hint="eastAsia" w:ascii="Times New Roman" w:hAnsi="Times New Roman" w:cs="Times New Roman" w:eastAsiaTheme="minorEastAsia"/>
          <w:sz w:val="24"/>
          <w:szCs w:val="24"/>
          <w:u w:val="none"/>
          <w:lang w:val="en-US" w:eastAsia="zh-CN"/>
        </w:rPr>
        <w:t>，...，</w:t>
      </w:r>
      <w:r>
        <w:rPr>
          <w:rFonts w:hint="eastAsia" w:ascii="Times New Roman" w:hAnsi="Times New Roman" w:cs="Times New Roman" w:eastAsiaTheme="minorEastAsia"/>
          <w:i/>
          <w:iCs/>
          <w:sz w:val="24"/>
          <w:szCs w:val="24"/>
          <w:u w:val="none"/>
          <w:lang w:val="en-US" w:eastAsia="zh-CN"/>
        </w:rPr>
        <w:t>Q</w:t>
      </w:r>
      <w:r>
        <w:rPr>
          <w:rFonts w:hint="eastAsia" w:ascii="Times New Roman" w:hAnsi="Times New Roman" w:cs="Times New Roman" w:eastAsiaTheme="minorEastAsia"/>
          <w:sz w:val="24"/>
          <w:szCs w:val="24"/>
          <w:u w:val="none"/>
          <w:vertAlign w:val="subscript"/>
          <w:lang w:val="en-US" w:eastAsia="zh-CN"/>
        </w:rPr>
        <w:t>n</w:t>
      </w:r>
      <w:r>
        <w:rPr>
          <w:rFonts w:hint="eastAsia" w:ascii="Times New Roman" w:hAnsi="Times New Roman" w:cs="Times New Roman" w:eastAsiaTheme="minorEastAsia"/>
          <w:sz w:val="24"/>
          <w:szCs w:val="24"/>
          <w:u w:val="none"/>
          <w:lang w:val="en-US" w:eastAsia="zh-CN"/>
        </w:rPr>
        <w:t>——每种危险物质的临界量，t。</w:t>
      </w:r>
    </w:p>
    <w:p>
      <w:pPr>
        <w:spacing w:line="520" w:lineRule="exact"/>
        <w:ind w:firstLine="1200" w:firstLineChars="500"/>
        <w:jc w:val="left"/>
        <w:rPr>
          <w:rFonts w:hint="eastAsia" w:ascii="Times New Roman" w:hAnsi="Times New Roman" w:cs="Times New Roman" w:eastAsiaTheme="minorEastAsia"/>
          <w:sz w:val="24"/>
          <w:szCs w:val="24"/>
          <w:u w:val="none"/>
          <w:lang w:eastAsia="zh-CN"/>
        </w:rPr>
      </w:pPr>
      <w:r>
        <w:rPr>
          <w:rFonts w:hint="eastAsia" w:ascii="Times New Roman" w:hAnsi="Times New Roman" w:cs="Times New Roman" w:eastAsiaTheme="minorEastAsia"/>
          <w:sz w:val="24"/>
          <w:szCs w:val="24"/>
          <w:u w:val="none"/>
          <w:lang w:val="en-US" w:eastAsia="zh-CN"/>
        </w:rPr>
        <w:t>当Q＜1时，该项目环境风险潜势为</w:t>
      </w:r>
      <w:r>
        <w:rPr>
          <w:rFonts w:hint="default" w:ascii="Times New Roman" w:hAnsi="Times New Roman" w:cs="Times New Roman" w:eastAsiaTheme="minorEastAsia"/>
          <w:sz w:val="24"/>
          <w:szCs w:val="24"/>
          <w:u w:val="none"/>
          <w:lang w:eastAsia="zh-CN"/>
        </w:rPr>
        <w:t>Ⅰ</w:t>
      </w:r>
      <w:r>
        <w:rPr>
          <w:rFonts w:hint="eastAsia" w:ascii="Times New Roman" w:hAnsi="Times New Roman" w:cs="Times New Roman" w:eastAsiaTheme="minorEastAsia"/>
          <w:sz w:val="24"/>
          <w:szCs w:val="24"/>
          <w:u w:val="none"/>
          <w:lang w:eastAsia="zh-CN"/>
        </w:rPr>
        <w:t>。</w:t>
      </w:r>
    </w:p>
    <w:p>
      <w:pPr>
        <w:spacing w:line="520" w:lineRule="exact"/>
        <w:ind w:firstLine="1200" w:firstLineChars="500"/>
        <w:jc w:val="left"/>
        <w:rPr>
          <w:rFonts w:hint="default" w:ascii="Times New Roman" w:hAnsi="Times New Roman" w:cs="Times New Roman" w:eastAsiaTheme="minorEastAsia"/>
          <w:sz w:val="24"/>
          <w:szCs w:val="24"/>
          <w:u w:val="none"/>
          <w:lang w:val="en-US" w:eastAsia="zh-CN"/>
        </w:rPr>
      </w:pPr>
      <w:r>
        <w:rPr>
          <w:rFonts w:hint="eastAsia" w:ascii="Times New Roman" w:hAnsi="Times New Roman" w:cs="Times New Roman" w:eastAsiaTheme="minorEastAsia"/>
          <w:sz w:val="24"/>
          <w:szCs w:val="24"/>
          <w:u w:val="none"/>
          <w:lang w:eastAsia="zh-CN"/>
        </w:rPr>
        <w:t>当</w:t>
      </w:r>
      <w:r>
        <w:rPr>
          <w:rFonts w:hint="eastAsia" w:ascii="Times New Roman" w:hAnsi="Times New Roman" w:cs="Times New Roman" w:eastAsiaTheme="minorEastAsia"/>
          <w:sz w:val="24"/>
          <w:szCs w:val="24"/>
          <w:u w:val="none"/>
          <w:lang w:val="en-US" w:eastAsia="zh-CN"/>
        </w:rPr>
        <w:t>Q≥1时，将Q值划分：1≤Q＜10、10≤Q＜100、Q≥100；</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经计算，</w:t>
      </w:r>
      <w:r>
        <w:rPr>
          <w:rFonts w:hint="eastAsia" w:ascii="Times New Roman" w:hAnsi="Times New Roman" w:cs="Times New Roman" w:eastAsiaTheme="minorEastAsia"/>
          <w:sz w:val="24"/>
          <w:szCs w:val="21"/>
          <w:u w:val="none"/>
          <w:lang w:val="en-US" w:eastAsia="zh-CN"/>
        </w:rPr>
        <w:t>该</w:t>
      </w:r>
      <w:r>
        <w:rPr>
          <w:rFonts w:hint="default" w:ascii="Times New Roman" w:hAnsi="Times New Roman" w:cs="Times New Roman" w:eastAsiaTheme="minorEastAsia"/>
          <w:sz w:val="24"/>
          <w:szCs w:val="21"/>
          <w:u w:val="none"/>
          <w:lang w:val="en-US" w:eastAsia="zh-CN"/>
        </w:rPr>
        <w:t>项目危险物质数量与临界量比值Q=</w:t>
      </w:r>
      <w:r>
        <w:rPr>
          <w:rFonts w:hint="eastAsia" w:cs="Times New Roman" w:eastAsiaTheme="minorEastAsia"/>
          <w:sz w:val="24"/>
          <w:szCs w:val="21"/>
          <w:u w:val="none"/>
          <w:lang w:val="en-US" w:eastAsia="zh-CN"/>
        </w:rPr>
        <w:t>0.0677</w:t>
      </w:r>
      <w:r>
        <w:rPr>
          <w:rFonts w:hint="default" w:ascii="Times New Roman" w:hAnsi="Times New Roman" w:cs="Times New Roman" w:eastAsiaTheme="minorEastAsia"/>
          <w:sz w:val="24"/>
          <w:szCs w:val="21"/>
          <w:u w:val="none"/>
          <w:lang w:val="en-US" w:eastAsia="zh-CN"/>
        </w:rPr>
        <w:t>&lt;1，</w:t>
      </w:r>
      <w:r>
        <w:rPr>
          <w:rFonts w:hint="eastAsia" w:ascii="Times New Roman" w:hAnsi="Times New Roman" w:cs="Times New Roman" w:eastAsiaTheme="minorEastAsia"/>
          <w:sz w:val="24"/>
          <w:szCs w:val="21"/>
          <w:u w:val="none"/>
          <w:lang w:val="en-US" w:eastAsia="zh-CN"/>
        </w:rPr>
        <w:t>因此本</w:t>
      </w:r>
      <w:r>
        <w:rPr>
          <w:rFonts w:hint="default" w:ascii="Times New Roman" w:hAnsi="Times New Roman" w:cs="Times New Roman" w:eastAsiaTheme="minorEastAsia"/>
          <w:sz w:val="24"/>
          <w:szCs w:val="21"/>
          <w:u w:val="none"/>
          <w:lang w:val="en-US" w:eastAsia="zh-CN"/>
        </w:rPr>
        <w:t>项目环境风险潜势为Ⅰ。</w:t>
      </w:r>
    </w:p>
    <w:p>
      <w:pPr>
        <w:spacing w:line="520" w:lineRule="exact"/>
        <w:ind w:firstLine="482" w:firstLineChars="200"/>
        <w:jc w:val="both"/>
        <w:outlineLvl w:val="9"/>
        <w:rPr>
          <w:rFonts w:hint="eastAsia"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4"/>
          <w:szCs w:val="21"/>
          <w:u w:val="none"/>
          <w:lang w:val="en-US" w:eastAsia="zh-CN"/>
        </w:rPr>
        <w:t>（4）评价等级</w:t>
      </w:r>
    </w:p>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环境风险评价工作等级划分为一级、二级、三级。根据建设项目涉及的物质及工艺系统危险性和所在地的环境敏感性确定环境风险潜势，按照表1确定评价工作等级。风险潜势为Ⅳ及以上，进行一级评价；风险潜势为Ⅲ，进行二级评价；风险潜势为Ⅱ，进行三级评价；风险潜势为Ⅰ，可开展简单分析。</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lang w:val="en-US" w:eastAsia="zh-CN"/>
        </w:rPr>
        <w:t xml:space="preserve"> </w:t>
      </w:r>
      <w:r>
        <w:rPr>
          <w:rFonts w:hint="eastAsia" w:ascii="Times New Roman" w:hAnsi="Times New Roman" w:eastAsia="黑体" w:cs="Times New Roman"/>
          <w:sz w:val="24"/>
          <w:szCs w:val="21"/>
          <w:u w:val="none"/>
          <w:lang w:val="en-US" w:eastAsia="zh-CN"/>
        </w:rPr>
        <w:t xml:space="preserve">表1-2    </w:t>
      </w:r>
      <w:r>
        <w:rPr>
          <w:rFonts w:hint="default" w:ascii="Times New Roman" w:hAnsi="Times New Roman" w:eastAsia="黑体" w:cs="Times New Roman"/>
          <w:sz w:val="24"/>
          <w:szCs w:val="21"/>
          <w:u w:val="none"/>
        </w:rPr>
        <w:t>评价工作</w:t>
      </w:r>
      <w:r>
        <w:rPr>
          <w:rFonts w:hint="eastAsia" w:ascii="Times New Roman" w:hAnsi="Times New Roman" w:eastAsia="黑体" w:cs="Times New Roman"/>
          <w:sz w:val="24"/>
          <w:szCs w:val="21"/>
          <w:u w:val="none"/>
          <w:lang w:eastAsia="zh-CN"/>
        </w:rPr>
        <w:t>等级</w:t>
      </w:r>
      <w:r>
        <w:rPr>
          <w:rFonts w:hint="default" w:ascii="Times New Roman" w:hAnsi="Times New Roman" w:eastAsia="黑体" w:cs="Times New Roman"/>
          <w:sz w:val="24"/>
          <w:szCs w:val="21"/>
          <w:u w:val="none"/>
        </w:rPr>
        <w:t>划分</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85" w:type="dxa"/>
          <w:left w:w="85" w:type="dxa"/>
          <w:bottom w:w="85" w:type="dxa"/>
          <w:right w:w="85" w:type="dxa"/>
        </w:tblCellMar>
      </w:tblPr>
      <w:tblGrid>
        <w:gridCol w:w="1799"/>
        <w:gridCol w:w="1703"/>
        <w:gridCol w:w="2003"/>
        <w:gridCol w:w="1641"/>
        <w:gridCol w:w="17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16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环境风险潜势</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lang w:eastAsia="zh-CN"/>
              </w:rPr>
              <w:t>、</w:t>
            </w:r>
            <w:r>
              <w:rPr>
                <w:rFonts w:hint="default" w:ascii="Times New Roman" w:hAnsi="Times New Roman" w:eastAsia="宋体" w:cs="Times New Roman"/>
                <w:color w:val="auto"/>
                <w:sz w:val="21"/>
                <w:szCs w:val="21"/>
                <w:u w:val="none"/>
                <w:lang w:eastAsia="zh-CN"/>
              </w:rPr>
              <w:t>Ⅳ</w:t>
            </w:r>
            <w:r>
              <w:rPr>
                <w:rFonts w:hint="default" w:ascii="Times New Roman" w:hAnsi="Times New Roman" w:cs="Times New Roman" w:eastAsiaTheme="minorEastAsia"/>
                <w:color w:val="auto"/>
                <w:sz w:val="21"/>
                <w:szCs w:val="21"/>
                <w:u w:val="none"/>
                <w:vertAlign w:val="superscript"/>
                <w:lang w:val="en-US" w:eastAsia="zh-CN"/>
              </w:rPr>
              <w:t>+</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Ⅲ</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color w:val="auto"/>
                <w:sz w:val="21"/>
                <w:szCs w:val="21"/>
                <w:u w:val="none"/>
              </w:rPr>
              <w:t>Ⅱ</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eastAsia="宋体" w:cs="Times New Roman"/>
                <w:color w:val="auto"/>
                <w:sz w:val="21"/>
                <w:szCs w:val="21"/>
                <w:u w:val="none"/>
                <w:lang w:eastAsia="zh-CN"/>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310" w:hRule="atLeast"/>
          <w:jc w:val="center"/>
        </w:trPr>
        <w:tc>
          <w:tcPr>
            <w:tcW w:w="179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snapToGrid/>
                <w:color w:val="auto"/>
                <w:sz w:val="21"/>
                <w:szCs w:val="21"/>
                <w:u w:val="none"/>
                <w:lang w:eastAsia="zh-CN"/>
              </w:rPr>
              <w:t>评价等级</w:t>
            </w:r>
          </w:p>
        </w:tc>
        <w:tc>
          <w:tcPr>
            <w:tcW w:w="17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一</w:t>
            </w:r>
          </w:p>
        </w:tc>
        <w:tc>
          <w:tcPr>
            <w:tcW w:w="2003"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cs="Times New Roman" w:eastAsiaTheme="minorEastAsia"/>
                <w:color w:val="auto"/>
                <w:sz w:val="21"/>
                <w:szCs w:val="21"/>
                <w:u w:val="none"/>
              </w:rPr>
            </w:pPr>
            <w:r>
              <w:rPr>
                <w:rFonts w:hint="default" w:ascii="Times New Roman" w:hAnsi="Times New Roman" w:cs="Times New Roman" w:eastAsiaTheme="minorEastAsia"/>
                <w:snapToGrid/>
                <w:color w:val="auto"/>
                <w:sz w:val="21"/>
                <w:szCs w:val="21"/>
                <w:u w:val="none"/>
              </w:rPr>
              <w:t>二</w:t>
            </w:r>
          </w:p>
        </w:tc>
        <w:tc>
          <w:tcPr>
            <w:tcW w:w="1641"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eastAsia="zh-CN"/>
              </w:rPr>
            </w:pPr>
            <w:r>
              <w:rPr>
                <w:rFonts w:hint="default" w:ascii="Times New Roman" w:hAnsi="Times New Roman" w:cs="Times New Roman" w:eastAsiaTheme="minorEastAsia"/>
                <w:bCs w:val="0"/>
                <w:snapToGrid/>
                <w:color w:val="auto"/>
                <w:kern w:val="2"/>
                <w:sz w:val="21"/>
                <w:szCs w:val="21"/>
                <w:u w:val="none"/>
                <w:lang w:eastAsia="zh-CN"/>
              </w:rPr>
              <w:t>三</w:t>
            </w:r>
          </w:p>
        </w:tc>
        <w:tc>
          <w:tcPr>
            <w:tcW w:w="1756"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eastAsia="zh-CN"/>
              </w:rPr>
              <w:t>简单分析</w:t>
            </w:r>
            <w:r>
              <w:rPr>
                <w:rFonts w:hint="default" w:ascii="Times New Roman" w:hAnsi="Times New Roman" w:cs="Times New Roman" w:eastAsiaTheme="minorEastAsia"/>
                <w:color w:val="auto"/>
                <w:sz w:val="21"/>
                <w:szCs w:val="21"/>
                <w:u w:val="none"/>
                <w:lang w:val="en-US" w:eastAsia="zh-CN"/>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85" w:type="dxa"/>
            <w:bottom w:w="85" w:type="dxa"/>
            <w:right w:w="85" w:type="dxa"/>
          </w:tblCellMar>
        </w:tblPrEx>
        <w:trPr>
          <w:trHeight w:val="283" w:hRule="atLeast"/>
          <w:jc w:val="center"/>
        </w:trPr>
        <w:tc>
          <w:tcPr>
            <w:tcW w:w="8902" w:type="dxa"/>
            <w:gridSpan w:val="5"/>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exact"/>
              <w:ind w:left="0" w:right="0"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eastAsiaTheme="minorEastAsia"/>
                <w:color w:val="auto"/>
                <w:sz w:val="21"/>
                <w:szCs w:val="21"/>
                <w:u w:val="none"/>
                <w:lang w:val="en-US" w:eastAsia="zh-CN"/>
              </w:rPr>
              <w:t>a是相对于详细评价工作内容而言，在描述危险物质、环境影响途径、环境危害后果、风险防范措施等方面给出定性的说明。见</w:t>
            </w:r>
            <w:r>
              <w:rPr>
                <w:rFonts w:hint="default" w:ascii="Times New Roman" w:hAnsi="Times New Roman" w:cs="Times New Roman" w:eastAsiaTheme="minorEastAsia"/>
                <w:snapToGrid/>
                <w:color w:val="auto"/>
                <w:kern w:val="2"/>
                <w:sz w:val="21"/>
                <w:szCs w:val="21"/>
                <w:u w:val="none"/>
                <w:lang w:eastAsia="zh-CN"/>
              </w:rPr>
              <w:t>《</w:t>
            </w:r>
            <w:r>
              <w:rPr>
                <w:rFonts w:hint="default" w:ascii="Times New Roman" w:hAnsi="Times New Roman" w:cs="Times New Roman" w:eastAsiaTheme="minorEastAsia"/>
                <w:snapToGrid/>
                <w:color w:val="000000"/>
                <w:kern w:val="2"/>
                <w:sz w:val="21"/>
                <w:szCs w:val="21"/>
                <w:u w:val="none"/>
              </w:rPr>
              <w:t>建设项目环境风险评价技术导则》（</w:t>
            </w:r>
            <w:r>
              <w:rPr>
                <w:rFonts w:hint="default" w:ascii="Times New Roman" w:hAnsi="Times New Roman" w:cs="Times New Roman" w:eastAsiaTheme="minorEastAsia"/>
                <w:snapToGrid/>
                <w:color w:val="000000"/>
                <w:kern w:val="2"/>
                <w:sz w:val="21"/>
                <w:szCs w:val="21"/>
                <w:u w:val="none"/>
                <w:lang w:eastAsia="zh-CN"/>
              </w:rPr>
              <w:t>HJ</w:t>
            </w:r>
            <w:r>
              <w:rPr>
                <w:rFonts w:hint="default" w:ascii="Times New Roman" w:hAnsi="Times New Roman" w:cs="Times New Roman" w:eastAsiaTheme="minorEastAsia"/>
                <w:snapToGrid/>
                <w:color w:val="000000"/>
                <w:kern w:val="2"/>
                <w:sz w:val="21"/>
                <w:szCs w:val="21"/>
                <w:u w:val="none"/>
                <w:lang w:val="en-US" w:eastAsia="zh-CN"/>
              </w:rPr>
              <w:t xml:space="preserve"> </w:t>
            </w:r>
            <w:r>
              <w:rPr>
                <w:rFonts w:hint="default" w:ascii="Times New Roman" w:hAnsi="Times New Roman" w:cs="Times New Roman" w:eastAsiaTheme="minorEastAsia"/>
                <w:snapToGrid/>
                <w:color w:val="000000"/>
                <w:kern w:val="2"/>
                <w:sz w:val="21"/>
                <w:szCs w:val="21"/>
                <w:u w:val="none"/>
                <w:lang w:eastAsia="zh-CN"/>
              </w:rPr>
              <w:t>169-2018）附录</w:t>
            </w:r>
            <w:r>
              <w:rPr>
                <w:rFonts w:hint="default" w:ascii="Times New Roman" w:hAnsi="Times New Roman" w:cs="Times New Roman" w:eastAsiaTheme="minorEastAsia"/>
                <w:snapToGrid/>
                <w:color w:val="000000"/>
                <w:kern w:val="2"/>
                <w:sz w:val="21"/>
                <w:szCs w:val="21"/>
                <w:u w:val="none"/>
                <w:lang w:val="en-US" w:eastAsia="zh-CN"/>
              </w:rPr>
              <w:t>A。</w:t>
            </w:r>
          </w:p>
        </w:tc>
      </w:tr>
    </w:tbl>
    <w:p>
      <w:pPr>
        <w:spacing w:line="520" w:lineRule="exact"/>
        <w:ind w:firstLine="480" w:firstLineChars="200"/>
        <w:jc w:val="left"/>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169-2018）中</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表1评价工作等级划分</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w:t>
      </w:r>
      <w:r>
        <w:rPr>
          <w:rFonts w:hint="eastAsia" w:ascii="Times New Roman" w:hAnsi="Times New Roman" w:cs="Times New Roman" w:eastAsiaTheme="minorEastAsia"/>
          <w:sz w:val="24"/>
          <w:szCs w:val="21"/>
          <w:u w:val="none"/>
          <w:lang w:val="en-US" w:eastAsia="zh-CN"/>
        </w:rPr>
        <w:t>由风险潜势初判得知本</w:t>
      </w:r>
      <w:r>
        <w:rPr>
          <w:rFonts w:hint="default" w:ascii="Times New Roman" w:hAnsi="Times New Roman" w:cs="Times New Roman" w:eastAsiaTheme="minorEastAsia"/>
          <w:sz w:val="24"/>
          <w:szCs w:val="21"/>
          <w:u w:val="none"/>
          <w:lang w:val="en-US" w:eastAsia="zh-CN"/>
        </w:rPr>
        <w:t>项目环境风险潜势为Ⅰ，可开展简单分析。</w:t>
      </w:r>
    </w:p>
    <w:p>
      <w:pPr>
        <w:spacing w:line="520" w:lineRule="exact"/>
        <w:ind w:firstLine="700" w:firstLineChars="249"/>
        <w:jc w:val="left"/>
        <w:outlineLvl w:val="0"/>
        <w:rPr>
          <w:rFonts w:hint="eastAsia"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2、环境敏感目标概况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val="en-US" w:eastAsia="zh-CN"/>
        </w:rPr>
        <w:t>本</w:t>
      </w:r>
      <w:r>
        <w:rPr>
          <w:rFonts w:hint="default" w:ascii="Times New Roman" w:hAnsi="Times New Roman" w:cs="Times New Roman" w:eastAsiaTheme="minorEastAsia"/>
          <w:sz w:val="24"/>
          <w:szCs w:val="21"/>
          <w:u w:val="none"/>
          <w:lang w:val="en-US" w:eastAsia="zh-CN"/>
        </w:rPr>
        <w:t>项目位于</w:t>
      </w:r>
      <w:r>
        <w:rPr>
          <w:rFonts w:hint="eastAsia"/>
          <w:lang w:eastAsia="zh-CN"/>
        </w:rPr>
        <w:t>鲁山县郑石高速石人山服务区西侧</w:t>
      </w:r>
      <w:r>
        <w:rPr>
          <w:rFonts w:hint="default" w:ascii="Times New Roman" w:hAnsi="Times New Roman" w:cs="Times New Roman" w:eastAsiaTheme="minorEastAsia"/>
          <w:sz w:val="24"/>
          <w:szCs w:val="21"/>
          <w:u w:val="none"/>
          <w:lang w:val="en-US" w:eastAsia="zh-CN"/>
        </w:rPr>
        <w:t>，项目周边200m范围内无自然保护区、风景名胜区和饮用水水源保护区等需要特殊保护的环境敏感对象，总体上不因项目的建设而改变区域环境质量。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both"/>
        <w:textAlignment w:val="auto"/>
        <w:rPr>
          <w:rFonts w:hint="default" w:ascii="Times New Roman" w:hAnsi="Times New Roman" w:cs="Times New Roman" w:eastAsiaTheme="minorEastAsia"/>
          <w:sz w:val="24"/>
          <w:szCs w:val="21"/>
          <w:u w:val="none"/>
          <w:lang w:val="en-US" w:eastAsia="zh-CN"/>
        </w:rPr>
      </w:pPr>
      <w:r>
        <w:rPr>
          <w:rFonts w:hint="default" w:ascii="Times New Roman" w:hAnsi="Times New Roman" w:cs="Times New Roman" w:eastAsiaTheme="minorEastAsia"/>
          <w:sz w:val="24"/>
          <w:szCs w:val="21"/>
          <w:u w:val="none"/>
          <w:lang w:val="en-US" w:eastAsia="zh-CN"/>
        </w:rPr>
        <w:t>根据《建设项目环境风险评价技术导则》（HJ 169-20</w:t>
      </w:r>
      <w:r>
        <w:rPr>
          <w:rFonts w:hint="eastAsia" w:ascii="Times New Roman" w:hAnsi="Times New Roman" w:cs="Times New Roman" w:eastAsiaTheme="minorEastAsia"/>
          <w:sz w:val="24"/>
          <w:szCs w:val="21"/>
          <w:u w:val="none"/>
          <w:lang w:val="en-US" w:eastAsia="zh-CN"/>
        </w:rPr>
        <w:t>18</w:t>
      </w:r>
      <w:r>
        <w:rPr>
          <w:rFonts w:hint="default" w:ascii="Times New Roman" w:hAnsi="Times New Roman" w:cs="Times New Roman" w:eastAsiaTheme="minorEastAsia"/>
          <w:sz w:val="24"/>
          <w:szCs w:val="21"/>
          <w:u w:val="none"/>
          <w:lang w:val="en-US" w:eastAsia="zh-CN"/>
        </w:rPr>
        <w:t>），项目环境风险评价工作等级低于三级，可开展简单分析</w:t>
      </w:r>
      <w:r>
        <w:rPr>
          <w:rFonts w:hint="eastAsia" w:ascii="Times New Roman" w:hAnsi="Times New Roman" w:cs="Times New Roman" w:eastAsiaTheme="minorEastAsia"/>
          <w:sz w:val="24"/>
          <w:szCs w:val="21"/>
          <w:u w:val="none"/>
          <w:lang w:val="en-US" w:eastAsia="zh-CN"/>
        </w:rPr>
        <w:t>。</w:t>
      </w:r>
      <w:r>
        <w:rPr>
          <w:rFonts w:hint="default" w:ascii="Times New Roman" w:hAnsi="Times New Roman" w:cs="Times New Roman" w:eastAsiaTheme="minorEastAsia"/>
          <w:sz w:val="24"/>
          <w:szCs w:val="21"/>
          <w:u w:val="none"/>
          <w:lang w:val="en-US" w:eastAsia="zh-CN"/>
        </w:rPr>
        <w:t>评价范围为：以项目中心点为源点、半径2.5</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lang w:val="en-US" w:eastAsia="zh-CN"/>
        </w:rPr>
        <w:t>km的范围。根据项目危险物质可能的影响途径，下表列出项目边界外2.5km范围内的环境敏感目标。</w:t>
      </w:r>
    </w:p>
    <w:p>
      <w:pPr>
        <w:keepNext w:val="0"/>
        <w:keepLines w:val="0"/>
        <w:pageBreakBefore w:val="0"/>
        <w:widowControl w:val="0"/>
        <w:kinsoku/>
        <w:wordWrap/>
        <w:overflowPunct/>
        <w:topLinePunct w:val="0"/>
        <w:autoSpaceDE/>
        <w:autoSpaceDN/>
        <w:bidi w:val="0"/>
        <w:adjustRightInd/>
        <w:snapToGrid/>
        <w:spacing w:line="520" w:lineRule="exact"/>
        <w:ind w:firstLine="0" w:firstLineChars="0"/>
        <w:jc w:val="center"/>
        <w:textAlignment w:val="auto"/>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val="en-US" w:eastAsia="zh-CN"/>
        </w:rPr>
        <w:t xml:space="preserve">表2-1    </w:t>
      </w:r>
      <w:r>
        <w:rPr>
          <w:rFonts w:hint="eastAsia" w:ascii="Times New Roman" w:hAnsi="Times New Roman" w:eastAsia="黑体" w:cs="Times New Roman"/>
          <w:sz w:val="24"/>
          <w:szCs w:val="21"/>
          <w:u w:val="none"/>
          <w:lang w:eastAsia="zh-CN"/>
        </w:rPr>
        <w:t>环境敏感目标</w:t>
      </w:r>
    </w:p>
    <w:tbl>
      <w:tblPr>
        <w:tblStyle w:val="20"/>
        <w:tblW w:w="89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9"/>
        <w:gridCol w:w="2544"/>
        <w:gridCol w:w="1524"/>
        <w:gridCol w:w="1127"/>
        <w:gridCol w:w="2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项目</w:t>
            </w: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保护目标</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方位与距离</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类型</w:t>
            </w:r>
          </w:p>
        </w:tc>
        <w:tc>
          <w:tcPr>
            <w:tcW w:w="280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b/>
                <w:kern w:val="0"/>
                <w:sz w:val="21"/>
                <w:szCs w:val="21"/>
                <w:u w:val="none"/>
                <w:lang w:val="en-US" w:eastAsia="zh-CN" w:bidi="ar-SA"/>
              </w:rPr>
            </w:pPr>
            <w:r>
              <w:rPr>
                <w:rFonts w:hint="default" w:ascii="Times New Roman" w:hAnsi="Times New Roman" w:eastAsia="宋体" w:cs="Times New Roman"/>
                <w:b/>
                <w:kern w:val="0"/>
                <w:sz w:val="21"/>
                <w:szCs w:val="21"/>
                <w:u w:val="none"/>
                <w:lang w:val="en-US" w:eastAsia="zh-CN" w:bidi="ar-SA"/>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default" w:ascii="Times New Roman" w:hAnsi="Times New Roman" w:eastAsia="宋体" w:cs="Times New Roman"/>
                <w:kern w:val="0"/>
                <w:sz w:val="21"/>
                <w:szCs w:val="21"/>
                <w:u w:val="none"/>
                <w:lang w:val="en-US" w:eastAsia="zh-CN" w:bidi="ar-SA"/>
              </w:rPr>
              <w:t>环境</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default" w:ascii="Times New Roman" w:hAnsi="Times New Roman" w:eastAsia="宋体" w:cs="Times New Roman"/>
                <w:kern w:val="0"/>
                <w:sz w:val="21"/>
                <w:szCs w:val="21"/>
                <w:u w:val="none"/>
                <w:lang w:val="en-US" w:eastAsia="zh-CN" w:bidi="ar-SA"/>
              </w:rPr>
              <w:t>空气</w:t>
            </w: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赵村镇</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ES、372</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r>
              <w:rPr>
                <w:rFonts w:hint="default" w:ascii="Times New Roman" w:hAnsi="Times New Roman" w:eastAsiaTheme="minorEastAsia" w:cstheme="minorBidi"/>
                <w:sz w:val="21"/>
                <w:szCs w:val="21"/>
                <w:u w:val="none"/>
              </w:rPr>
              <w:t>《环境空气质量标准》（GB3095—</w:t>
            </w:r>
            <w:r>
              <w:rPr>
                <w:rFonts w:hint="eastAsia" w:ascii="Times New Roman" w:hAnsi="Times New Roman" w:eastAsiaTheme="minorEastAsia" w:cstheme="minorBidi"/>
                <w:sz w:val="21"/>
                <w:szCs w:val="21"/>
                <w:u w:val="none"/>
                <w:lang w:val="en-US" w:eastAsia="zh-CN"/>
              </w:rPr>
              <w:t>2012</w:t>
            </w:r>
            <w:r>
              <w:rPr>
                <w:rFonts w:hint="default" w:ascii="Times New Roman" w:hAnsi="Times New Roman" w:eastAsiaTheme="minorEastAsia" w:cstheme="minorBidi"/>
                <w:sz w:val="21"/>
                <w:szCs w:val="21"/>
                <w:u w:val="none"/>
              </w:rPr>
              <w:t>）Ⅱ级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徐家村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SW</w:t>
            </w:r>
            <w:r>
              <w:rPr>
                <w:rFonts w:hint="eastAsia" w:ascii="Times New Roman" w:hAnsi="Times New Roman" w:eastAsia="宋体" w:cs="Times New Roman"/>
                <w:kern w:val="0"/>
                <w:sz w:val="21"/>
                <w:szCs w:val="21"/>
                <w:u w:val="none"/>
                <w:lang w:val="en-US" w:eastAsia="zh-CN" w:bidi="ar-SA"/>
              </w:rPr>
              <w:t>、</w:t>
            </w:r>
            <w:r>
              <w:rPr>
                <w:rFonts w:hint="eastAsia" w:cs="Times New Roman"/>
                <w:kern w:val="0"/>
                <w:sz w:val="21"/>
                <w:szCs w:val="21"/>
                <w:u w:val="none"/>
                <w:lang w:val="en-US" w:eastAsia="zh-CN" w:bidi="ar-SA"/>
              </w:rPr>
              <w:t>850</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上汤村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r>
              <w:rPr>
                <w:rFonts w:hint="eastAsia" w:cs="Times New Roman"/>
                <w:kern w:val="0"/>
                <w:sz w:val="21"/>
                <w:szCs w:val="21"/>
                <w:u w:val="none"/>
                <w:lang w:val="en-US" w:eastAsia="zh-CN" w:bidi="ar-SA"/>
              </w:rPr>
              <w:t>W</w:t>
            </w:r>
            <w:r>
              <w:rPr>
                <w:rFonts w:hint="eastAsia" w:ascii="Times New Roman" w:hAnsi="Times New Roman" w:eastAsia="宋体" w:cs="Times New Roman"/>
                <w:kern w:val="0"/>
                <w:sz w:val="21"/>
                <w:szCs w:val="21"/>
                <w:u w:val="none"/>
                <w:lang w:val="en-US" w:eastAsia="zh-CN" w:bidi="ar-SA"/>
              </w:rPr>
              <w:t>、</w:t>
            </w:r>
            <w:r>
              <w:rPr>
                <w:rFonts w:hint="eastAsia" w:cs="Times New Roman"/>
                <w:kern w:val="0"/>
                <w:sz w:val="21"/>
                <w:szCs w:val="21"/>
                <w:u w:val="none"/>
                <w:lang w:val="en-US" w:eastAsia="zh-CN" w:bidi="ar-SA"/>
              </w:rPr>
              <w:t>1778</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桑盘村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r>
              <w:rPr>
                <w:rFonts w:hint="eastAsia" w:cs="Times New Roman"/>
                <w:kern w:val="0"/>
                <w:sz w:val="21"/>
                <w:szCs w:val="21"/>
                <w:u w:val="none"/>
                <w:lang w:val="en-US" w:eastAsia="zh-CN" w:bidi="ar-SA"/>
              </w:rPr>
              <w:t>2095</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49"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宁家村</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cs="Times New Roman"/>
                <w:kern w:val="0"/>
                <w:sz w:val="21"/>
                <w:szCs w:val="21"/>
                <w:u w:val="none"/>
                <w:lang w:val="en-US" w:eastAsia="zh-CN" w:bidi="ar-SA"/>
              </w:rPr>
              <w:t>SE</w:t>
            </w:r>
            <w:r>
              <w:rPr>
                <w:rFonts w:hint="eastAsia" w:ascii="Times New Roman" w:hAnsi="Times New Roman" w:eastAsia="宋体" w:cs="Times New Roman"/>
                <w:kern w:val="0"/>
                <w:sz w:val="21"/>
                <w:szCs w:val="21"/>
                <w:u w:val="none"/>
                <w:lang w:val="en-US" w:eastAsia="zh-CN" w:bidi="ar-SA"/>
              </w:rPr>
              <w:t>、</w:t>
            </w:r>
            <w:r>
              <w:rPr>
                <w:rFonts w:hint="eastAsia" w:cs="Times New Roman"/>
                <w:kern w:val="0"/>
                <w:sz w:val="21"/>
                <w:szCs w:val="21"/>
                <w:u w:val="none"/>
                <w:lang w:val="en-US" w:eastAsia="zh-CN" w:bidi="ar-SA"/>
              </w:rPr>
              <w:t>1923</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Theme="minorEastAsia" w:cstheme="minorBidi"/>
                <w:sz w:val="21"/>
                <w:szCs w:val="21"/>
                <w:u w:val="none"/>
              </w:rPr>
            </w:pPr>
            <w:r>
              <w:rPr>
                <w:rFonts w:hint="eastAsia" w:ascii="Times New Roman" w:hAnsi="Times New Roman" w:eastAsiaTheme="minorEastAsia" w:cstheme="minorBidi"/>
                <w:sz w:val="21"/>
                <w:szCs w:val="21"/>
                <w:u w:val="none"/>
                <w:lang w:eastAsia="zh-CN"/>
              </w:rPr>
              <w:t>村庄</w:t>
            </w:r>
          </w:p>
        </w:tc>
        <w:tc>
          <w:tcPr>
            <w:tcW w:w="2804" w:type="dxa"/>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textAlignment w:val="auto"/>
              <w:rPr>
                <w:rFonts w:hint="default" w:ascii="Times New Roman" w:hAnsi="Times New Roman" w:eastAsiaTheme="minorEastAsia" w:cstheme="minorBidi"/>
                <w:sz w:val="21"/>
                <w:szCs w:val="21"/>
                <w:u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949"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地表水</w:t>
            </w:r>
          </w:p>
        </w:tc>
        <w:tc>
          <w:tcPr>
            <w:tcW w:w="254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沙河</w:t>
            </w:r>
          </w:p>
        </w:tc>
        <w:tc>
          <w:tcPr>
            <w:tcW w:w="152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N、</w:t>
            </w:r>
            <w:r>
              <w:rPr>
                <w:rFonts w:hint="eastAsia" w:cs="Times New Roman"/>
                <w:kern w:val="0"/>
                <w:sz w:val="21"/>
                <w:szCs w:val="21"/>
                <w:u w:val="none"/>
                <w:lang w:val="en-US" w:eastAsia="zh-CN" w:bidi="ar-SA"/>
              </w:rPr>
              <w:t>230</w:t>
            </w:r>
            <w:r>
              <w:rPr>
                <w:rFonts w:hint="eastAsia" w:ascii="Times New Roman" w:hAnsi="Times New Roman" w:eastAsia="宋体" w:cs="Times New Roman"/>
                <w:kern w:val="0"/>
                <w:sz w:val="21"/>
                <w:szCs w:val="21"/>
                <w:u w:val="none"/>
                <w:lang w:val="en-US" w:eastAsia="zh-CN" w:bidi="ar-SA"/>
              </w:rPr>
              <w:t>m</w:t>
            </w:r>
          </w:p>
        </w:tc>
        <w:tc>
          <w:tcPr>
            <w:tcW w:w="1127"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eastAsia" w:ascii="Times New Roman" w:hAnsi="Times New Roman" w:eastAsia="宋体" w:cs="Times New Roman"/>
                <w:kern w:val="0"/>
                <w:sz w:val="21"/>
                <w:szCs w:val="21"/>
                <w:u w:val="none"/>
                <w:lang w:val="en-US" w:eastAsia="zh-CN" w:bidi="ar-SA"/>
              </w:rPr>
            </w:pPr>
            <w:r>
              <w:rPr>
                <w:rFonts w:hint="eastAsia" w:ascii="Times New Roman" w:hAnsi="Times New Roman" w:eastAsia="宋体" w:cs="Times New Roman"/>
                <w:kern w:val="0"/>
                <w:sz w:val="21"/>
                <w:szCs w:val="21"/>
                <w:u w:val="none"/>
                <w:lang w:val="en-US" w:eastAsia="zh-CN" w:bidi="ar-SA"/>
              </w:rPr>
              <w:t>河流</w:t>
            </w:r>
          </w:p>
        </w:tc>
        <w:tc>
          <w:tcPr>
            <w:tcW w:w="2804" w:type="dxa"/>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宋体" w:cs="Times New Roman"/>
                <w:kern w:val="0"/>
                <w:sz w:val="21"/>
                <w:szCs w:val="21"/>
                <w:u w:val="none"/>
                <w:lang w:val="en-US" w:eastAsia="zh-CN" w:bidi="ar-SA"/>
              </w:rPr>
            </w:pPr>
            <w:r>
              <w:rPr>
                <w:rFonts w:hint="default" w:ascii="Times New Roman" w:hAnsi="Times New Roman" w:eastAsia="宋体" w:cs="Times New Roman"/>
                <w:kern w:val="0"/>
                <w:sz w:val="21"/>
                <w:szCs w:val="21"/>
                <w:u w:val="none"/>
                <w:lang w:val="en-US" w:eastAsia="zh-CN" w:bidi="ar-SA"/>
              </w:rPr>
              <w:t>《地表水环境质量标准》（GB3838-2002）</w:t>
            </w:r>
            <w:r>
              <w:rPr>
                <w:rFonts w:hint="default" w:ascii="Times New Roman" w:hAnsi="Times New Roman" w:eastAsia="宋体" w:cs="Times New Roman"/>
                <w:kern w:val="0"/>
                <w:sz w:val="21"/>
                <w:szCs w:val="21"/>
                <w:u w:val="none"/>
                <w:lang w:val="en-US" w:eastAsia="zh-CN" w:bidi="ar-SA"/>
              </w:rPr>
              <w:fldChar w:fldCharType="begin"/>
            </w:r>
            <w:r>
              <w:rPr>
                <w:rFonts w:hint="default" w:ascii="Times New Roman" w:hAnsi="Times New Roman" w:eastAsia="宋体" w:cs="Times New Roman"/>
                <w:kern w:val="0"/>
                <w:sz w:val="21"/>
                <w:szCs w:val="21"/>
                <w:u w:val="none"/>
                <w:lang w:val="en-US" w:eastAsia="zh-CN" w:bidi="ar-SA"/>
              </w:rPr>
              <w:instrText xml:space="preserve"> = 3 \* ROMAN </w:instrText>
            </w:r>
            <w:r>
              <w:rPr>
                <w:rFonts w:hint="default" w:ascii="Times New Roman" w:hAnsi="Times New Roman" w:eastAsia="宋体" w:cs="Times New Roman"/>
                <w:kern w:val="0"/>
                <w:sz w:val="21"/>
                <w:szCs w:val="21"/>
                <w:u w:val="none"/>
                <w:lang w:val="en-US" w:eastAsia="zh-CN" w:bidi="ar-SA"/>
              </w:rPr>
              <w:fldChar w:fldCharType="separate"/>
            </w:r>
            <w:r>
              <w:rPr>
                <w:rFonts w:hint="default" w:ascii="Times New Roman" w:hAnsi="Times New Roman" w:eastAsia="宋体" w:cs="Times New Roman"/>
                <w:kern w:val="0"/>
                <w:sz w:val="21"/>
                <w:szCs w:val="21"/>
                <w:u w:val="none"/>
                <w:lang w:val="en-US" w:eastAsia="zh-CN" w:bidi="ar-SA"/>
              </w:rPr>
              <w:t>III</w:t>
            </w:r>
            <w:r>
              <w:rPr>
                <w:rFonts w:hint="default" w:ascii="Times New Roman" w:hAnsi="Times New Roman" w:eastAsia="宋体" w:cs="Times New Roman"/>
                <w:kern w:val="0"/>
                <w:sz w:val="21"/>
                <w:szCs w:val="21"/>
                <w:u w:val="none"/>
                <w:lang w:val="en-US" w:eastAsia="zh-CN" w:bidi="ar-SA"/>
              </w:rPr>
              <w:fldChar w:fldCharType="end"/>
            </w:r>
            <w:r>
              <w:rPr>
                <w:rFonts w:hint="eastAsia" w:ascii="Times New Roman" w:hAnsi="Times New Roman" w:eastAsia="宋体" w:cs="Times New Roman"/>
                <w:kern w:val="0"/>
                <w:sz w:val="21"/>
                <w:szCs w:val="21"/>
                <w:u w:val="none"/>
                <w:lang w:val="en-US" w:eastAsia="zh-CN" w:bidi="ar-SA"/>
              </w:rPr>
              <w:t>类</w:t>
            </w:r>
          </w:p>
        </w:tc>
      </w:tr>
    </w:tbl>
    <w:p>
      <w:pPr>
        <w:spacing w:line="520" w:lineRule="exact"/>
        <w:ind w:firstLine="700" w:firstLineChars="249"/>
        <w:jc w:val="left"/>
        <w:outlineLvl w:val="0"/>
        <w:rPr>
          <w:rFonts w:hint="default" w:ascii="Times New Roman" w:hAnsi="Times New Roman" w:cs="Times New Roman" w:eastAsiaTheme="minorEastAsia"/>
          <w:b/>
          <w:bCs/>
          <w:sz w:val="24"/>
          <w:szCs w:val="21"/>
          <w:u w:val="none"/>
          <w:lang w:val="en-US" w:eastAsia="zh-CN"/>
        </w:rPr>
      </w:pPr>
      <w:r>
        <w:rPr>
          <w:rFonts w:hint="eastAsia" w:ascii="Times New Roman" w:hAnsi="Times New Roman" w:cs="Times New Roman" w:eastAsiaTheme="minorEastAsia"/>
          <w:b/>
          <w:bCs/>
          <w:sz w:val="28"/>
          <w:szCs w:val="22"/>
          <w:u w:val="none"/>
          <w:lang w:val="en-US" w:eastAsia="zh-CN"/>
        </w:rPr>
        <w:t>3、环境风险识别</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依据《汽车加油加气站设计与施工规范》（GB50156-2012）（2014年局部修订版），本项目存在环境风险的设施主要为油罐、加油机；存在的风险物质是汽油和柴油，风险类别为有毒有害物质泄漏、火灾、爆炸等。</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1</w:t>
      </w:r>
      <w:r>
        <w:rPr>
          <w:rFonts w:hint="eastAsia" w:ascii="Times New Roman" w:hAnsi="Times New Roman" w:cs="Times New Roman" w:eastAsiaTheme="minorEastAsia"/>
          <w:b/>
          <w:bCs/>
          <w:sz w:val="24"/>
          <w:szCs w:val="21"/>
          <w:u w:val="none"/>
          <w:lang w:eastAsia="zh-CN"/>
        </w:rPr>
        <w:t>）危险化学品的储存情况</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项目销售的汽油及柴油均属于易燃易爆物质， 其储存及运输方式情况和各储罐大小情况如下表所示：</w:t>
      </w:r>
    </w:p>
    <w:p>
      <w:pPr>
        <w:keepNext w:val="0"/>
        <w:keepLines w:val="0"/>
        <w:pageBreakBefore w:val="0"/>
        <w:widowControl w:val="0"/>
        <w:kinsoku/>
        <w:wordWrap/>
        <w:overflowPunct/>
        <w:topLinePunct w:val="0"/>
        <w:autoSpaceDE/>
        <w:autoSpaceDN/>
        <w:bidi w:val="0"/>
        <w:adjustRightInd w:val="0"/>
        <w:snapToGrid w:val="0"/>
        <w:spacing w:line="520" w:lineRule="exact"/>
        <w:ind w:firstLine="0" w:firstLineChars="0"/>
        <w:jc w:val="center"/>
        <w:textAlignment w:val="auto"/>
        <w:rPr>
          <w:rFonts w:hint="eastAsia" w:ascii="Times New Roman" w:hAnsi="Times New Roman" w:eastAsia="黑体" w:cstheme="minorBidi"/>
          <w:bCs/>
          <w:sz w:val="24"/>
          <w:szCs w:val="24"/>
          <w:u w:val="none"/>
          <w:lang w:val="en-US" w:eastAsia="zh-CN"/>
        </w:rPr>
      </w:pPr>
      <w:r>
        <w:rPr>
          <w:rFonts w:hint="eastAsia" w:ascii="Times New Roman" w:hAnsi="Times New Roman" w:eastAsia="黑体" w:cstheme="minorBidi"/>
          <w:bCs/>
          <w:sz w:val="24"/>
          <w:szCs w:val="24"/>
          <w:u w:val="none"/>
          <w:lang w:eastAsia="zh-CN"/>
        </w:rPr>
        <w:t>表</w:t>
      </w:r>
      <w:r>
        <w:rPr>
          <w:rFonts w:hint="eastAsia" w:ascii="Times New Roman" w:hAnsi="Times New Roman" w:eastAsia="黑体" w:cstheme="minorBidi"/>
          <w:bCs/>
          <w:sz w:val="24"/>
          <w:szCs w:val="24"/>
          <w:u w:val="none"/>
          <w:lang w:val="en-US" w:eastAsia="zh-CN"/>
        </w:rPr>
        <w:t>3-1   易燃易爆品储存及运输方式</w:t>
      </w:r>
    </w:p>
    <w:tbl>
      <w:tblPr>
        <w:tblStyle w:val="2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491"/>
        <w:gridCol w:w="1491"/>
        <w:gridCol w:w="1491"/>
        <w:gridCol w:w="1492"/>
        <w:gridCol w:w="14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0"/>
              <w:bidi w:val="0"/>
              <w:rPr>
                <w:rFonts w:hint="default"/>
                <w:lang w:val="en-US" w:eastAsia="zh-CN"/>
              </w:rPr>
            </w:pPr>
            <w:r>
              <w:rPr>
                <w:rFonts w:hint="default"/>
                <w:lang w:val="en-US" w:eastAsia="zh-CN"/>
              </w:rPr>
              <w:t>项目</w:t>
            </w:r>
          </w:p>
        </w:tc>
        <w:tc>
          <w:tcPr>
            <w:tcW w:w="1491" w:type="dxa"/>
            <w:tcBorders>
              <w:tl2br w:val="nil"/>
              <w:tr2bl w:val="nil"/>
            </w:tcBorders>
            <w:noWrap w:val="0"/>
            <w:vAlign w:val="center"/>
          </w:tcPr>
          <w:p>
            <w:pPr>
              <w:pStyle w:val="10"/>
              <w:bidi w:val="0"/>
              <w:rPr>
                <w:rFonts w:hint="default"/>
                <w:lang w:val="en-US" w:eastAsia="zh-CN"/>
              </w:rPr>
            </w:pPr>
            <w:r>
              <w:rPr>
                <w:rFonts w:hint="default"/>
                <w:lang w:val="en-US" w:eastAsia="zh-CN"/>
              </w:rPr>
              <w:t>数量</w:t>
            </w:r>
          </w:p>
        </w:tc>
        <w:tc>
          <w:tcPr>
            <w:tcW w:w="1491" w:type="dxa"/>
            <w:tcBorders>
              <w:tl2br w:val="nil"/>
              <w:tr2bl w:val="nil"/>
            </w:tcBorders>
            <w:noWrap w:val="0"/>
            <w:vAlign w:val="center"/>
          </w:tcPr>
          <w:p>
            <w:pPr>
              <w:pStyle w:val="10"/>
              <w:bidi w:val="0"/>
              <w:rPr>
                <w:rFonts w:hint="default"/>
                <w:lang w:val="en-US" w:eastAsia="zh-CN"/>
              </w:rPr>
            </w:pPr>
            <w:r>
              <w:rPr>
                <w:rFonts w:hint="default"/>
                <w:lang w:val="en-US" w:eastAsia="zh-CN"/>
              </w:rPr>
              <w:t>单罐容积</w:t>
            </w:r>
          </w:p>
        </w:tc>
        <w:tc>
          <w:tcPr>
            <w:tcW w:w="1491" w:type="dxa"/>
            <w:tcBorders>
              <w:tl2br w:val="nil"/>
              <w:tr2bl w:val="nil"/>
            </w:tcBorders>
            <w:noWrap w:val="0"/>
            <w:vAlign w:val="center"/>
          </w:tcPr>
          <w:p>
            <w:pPr>
              <w:pStyle w:val="10"/>
              <w:bidi w:val="0"/>
              <w:rPr>
                <w:rFonts w:hint="default"/>
                <w:lang w:val="en-US" w:eastAsia="zh-CN"/>
              </w:rPr>
            </w:pPr>
            <w:r>
              <w:rPr>
                <w:rFonts w:hint="default"/>
                <w:lang w:val="en-US" w:eastAsia="zh-CN"/>
              </w:rPr>
              <w:t>在库储存量</w:t>
            </w:r>
          </w:p>
        </w:tc>
        <w:tc>
          <w:tcPr>
            <w:tcW w:w="1492" w:type="dxa"/>
            <w:tcBorders>
              <w:tl2br w:val="nil"/>
              <w:tr2bl w:val="nil"/>
            </w:tcBorders>
            <w:noWrap w:val="0"/>
            <w:vAlign w:val="center"/>
          </w:tcPr>
          <w:p>
            <w:pPr>
              <w:pStyle w:val="10"/>
              <w:bidi w:val="0"/>
              <w:rPr>
                <w:rFonts w:hint="default"/>
                <w:lang w:val="en-US" w:eastAsia="zh-CN"/>
              </w:rPr>
            </w:pPr>
            <w:r>
              <w:rPr>
                <w:rFonts w:hint="default"/>
                <w:lang w:val="en-US" w:eastAsia="zh-CN"/>
              </w:rPr>
              <w:t>储存物质</w:t>
            </w:r>
          </w:p>
        </w:tc>
        <w:tc>
          <w:tcPr>
            <w:tcW w:w="1492" w:type="dxa"/>
            <w:tcBorders>
              <w:tl2br w:val="nil"/>
              <w:tr2bl w:val="nil"/>
            </w:tcBorders>
            <w:noWrap w:val="0"/>
            <w:vAlign w:val="center"/>
          </w:tcPr>
          <w:p>
            <w:pPr>
              <w:pStyle w:val="10"/>
              <w:bidi w:val="0"/>
              <w:rPr>
                <w:rFonts w:hint="default"/>
                <w:lang w:val="en-US" w:eastAsia="zh-CN"/>
              </w:rPr>
            </w:pPr>
            <w:r>
              <w:rPr>
                <w:rFonts w:hint="default"/>
                <w:lang w:val="en-US" w:eastAsia="zh-CN"/>
              </w:rPr>
              <w:t>运输方式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0"/>
              <w:bidi w:val="0"/>
              <w:rPr>
                <w:rFonts w:hint="default"/>
                <w:lang w:val="en-US" w:eastAsia="zh-CN"/>
              </w:rPr>
            </w:pPr>
            <w:r>
              <w:rPr>
                <w:rFonts w:hint="default"/>
                <w:lang w:val="en-US" w:eastAsia="zh-CN"/>
              </w:rPr>
              <w:t>卧式油罐</w:t>
            </w:r>
          </w:p>
        </w:tc>
        <w:tc>
          <w:tcPr>
            <w:tcW w:w="1491" w:type="dxa"/>
            <w:tcBorders>
              <w:tl2br w:val="nil"/>
              <w:tr2bl w:val="nil"/>
            </w:tcBorders>
            <w:noWrap w:val="0"/>
            <w:vAlign w:val="center"/>
          </w:tcPr>
          <w:p>
            <w:pPr>
              <w:pStyle w:val="10"/>
              <w:bidi w:val="0"/>
              <w:rPr>
                <w:rFonts w:hint="default"/>
                <w:lang w:val="en-US" w:eastAsia="zh-CN"/>
              </w:rPr>
            </w:pPr>
            <w:r>
              <w:rPr>
                <w:rFonts w:hint="eastAsia"/>
                <w:lang w:val="en-US" w:eastAsia="zh-CN"/>
              </w:rPr>
              <w:t>3</w:t>
            </w:r>
            <w:r>
              <w:rPr>
                <w:rFonts w:hint="default"/>
                <w:lang w:val="en-US" w:eastAsia="zh-CN"/>
              </w:rPr>
              <w:t xml:space="preserve"> 个</w:t>
            </w:r>
          </w:p>
        </w:tc>
        <w:tc>
          <w:tcPr>
            <w:tcW w:w="1491" w:type="dxa"/>
            <w:tcBorders>
              <w:tl2br w:val="nil"/>
              <w:tr2bl w:val="nil"/>
            </w:tcBorders>
            <w:noWrap w:val="0"/>
            <w:vAlign w:val="center"/>
          </w:tcPr>
          <w:p>
            <w:pPr>
              <w:pStyle w:val="10"/>
              <w:bidi w:val="0"/>
              <w:rPr>
                <w:rFonts w:hint="default"/>
                <w:lang w:val="en-US" w:eastAsia="zh-CN"/>
              </w:rPr>
            </w:pPr>
            <w:r>
              <w:rPr>
                <w:rFonts w:hint="eastAsia"/>
                <w:lang w:val="en-US" w:eastAsia="zh-CN"/>
              </w:rPr>
              <w:t>50</w:t>
            </w:r>
            <w:r>
              <w:rPr>
                <w:rFonts w:hint="default"/>
                <w:lang w:val="en-US" w:eastAsia="zh-CN"/>
              </w:rPr>
              <w:t>m³</w:t>
            </w:r>
          </w:p>
        </w:tc>
        <w:tc>
          <w:tcPr>
            <w:tcW w:w="1491" w:type="dxa"/>
            <w:tcBorders>
              <w:tl2br w:val="nil"/>
              <w:tr2bl w:val="nil"/>
            </w:tcBorders>
            <w:noWrap w:val="0"/>
            <w:vAlign w:val="center"/>
          </w:tcPr>
          <w:p>
            <w:pPr>
              <w:pStyle w:val="10"/>
              <w:bidi w:val="0"/>
              <w:rPr>
                <w:rFonts w:hint="default"/>
                <w:lang w:val="en-US" w:eastAsia="zh-CN"/>
              </w:rPr>
            </w:pPr>
            <w:r>
              <w:rPr>
                <w:rFonts w:hint="eastAsia"/>
                <w:lang w:val="en-US" w:eastAsia="zh-CN"/>
              </w:rPr>
              <w:t>101.25</w:t>
            </w:r>
            <w:r>
              <w:rPr>
                <w:rFonts w:hint="default"/>
                <w:lang w:val="en-US" w:eastAsia="zh-CN"/>
              </w:rPr>
              <w:t xml:space="preserve">t </w:t>
            </w:r>
          </w:p>
        </w:tc>
        <w:tc>
          <w:tcPr>
            <w:tcW w:w="1492" w:type="dxa"/>
            <w:tcBorders>
              <w:tl2br w:val="nil"/>
              <w:tr2bl w:val="nil"/>
            </w:tcBorders>
            <w:noWrap w:val="0"/>
            <w:vAlign w:val="center"/>
          </w:tcPr>
          <w:p>
            <w:pPr>
              <w:pStyle w:val="10"/>
              <w:bidi w:val="0"/>
              <w:rPr>
                <w:rFonts w:hint="default"/>
                <w:lang w:val="en-US" w:eastAsia="zh-CN"/>
              </w:rPr>
            </w:pPr>
            <w:r>
              <w:rPr>
                <w:rFonts w:hint="default"/>
                <w:lang w:val="en-US" w:eastAsia="zh-CN"/>
              </w:rPr>
              <w:t>汽油</w:t>
            </w:r>
          </w:p>
        </w:tc>
        <w:tc>
          <w:tcPr>
            <w:tcW w:w="1492" w:type="dxa"/>
            <w:vMerge w:val="restart"/>
            <w:tcBorders>
              <w:tl2br w:val="nil"/>
              <w:tr2bl w:val="nil"/>
            </w:tcBorders>
            <w:noWrap w:val="0"/>
            <w:vAlign w:val="center"/>
          </w:tcPr>
          <w:p>
            <w:pPr>
              <w:pStyle w:val="10"/>
              <w:bidi w:val="0"/>
              <w:rPr>
                <w:rFonts w:hint="default"/>
                <w:lang w:val="en-US" w:eastAsia="zh-CN"/>
              </w:rPr>
            </w:pPr>
            <w:r>
              <w:rPr>
                <w:rFonts w:hint="default"/>
                <w:lang w:val="en-US" w:eastAsia="zh-CN"/>
              </w:rPr>
              <w:t>槽车+站内管</w:t>
            </w:r>
          </w:p>
          <w:p>
            <w:pPr>
              <w:pStyle w:val="10"/>
              <w:bidi w:val="0"/>
              <w:rPr>
                <w:rFonts w:hint="default"/>
                <w:lang w:val="en-US" w:eastAsia="zh-CN"/>
              </w:rPr>
            </w:pPr>
            <w:r>
              <w:rPr>
                <w:rFonts w:hint="default"/>
                <w:lang w:val="en-US" w:eastAsia="zh-CN"/>
              </w:rPr>
              <w:t>道输送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91" w:type="dxa"/>
            <w:tcBorders>
              <w:tl2br w:val="nil"/>
              <w:tr2bl w:val="nil"/>
            </w:tcBorders>
            <w:noWrap w:val="0"/>
            <w:vAlign w:val="center"/>
          </w:tcPr>
          <w:p>
            <w:pPr>
              <w:pStyle w:val="10"/>
              <w:bidi w:val="0"/>
              <w:rPr>
                <w:rFonts w:hint="eastAsia"/>
                <w:lang w:val="en-US" w:eastAsia="zh-CN"/>
              </w:rPr>
            </w:pPr>
            <w:r>
              <w:rPr>
                <w:rFonts w:hint="default"/>
                <w:lang w:val="en-US" w:eastAsia="zh-CN"/>
              </w:rPr>
              <w:t>卧式油罐</w:t>
            </w:r>
          </w:p>
        </w:tc>
        <w:tc>
          <w:tcPr>
            <w:tcW w:w="1491" w:type="dxa"/>
            <w:tcBorders>
              <w:tl2br w:val="nil"/>
              <w:tr2bl w:val="nil"/>
            </w:tcBorders>
            <w:noWrap w:val="0"/>
            <w:vAlign w:val="center"/>
          </w:tcPr>
          <w:p>
            <w:pPr>
              <w:pStyle w:val="10"/>
              <w:bidi w:val="0"/>
              <w:rPr>
                <w:rFonts w:hint="default"/>
                <w:lang w:val="en-US" w:eastAsia="zh-CN"/>
              </w:rPr>
            </w:pPr>
            <w:r>
              <w:rPr>
                <w:rFonts w:hint="eastAsia"/>
                <w:lang w:val="en-US" w:eastAsia="zh-CN"/>
              </w:rPr>
              <w:t>2</w:t>
            </w:r>
            <w:r>
              <w:rPr>
                <w:rFonts w:hint="default"/>
                <w:lang w:val="en-US" w:eastAsia="zh-CN"/>
              </w:rPr>
              <w:t>个</w:t>
            </w:r>
          </w:p>
        </w:tc>
        <w:tc>
          <w:tcPr>
            <w:tcW w:w="1491" w:type="dxa"/>
            <w:tcBorders>
              <w:tl2br w:val="nil"/>
              <w:tr2bl w:val="nil"/>
            </w:tcBorders>
            <w:noWrap w:val="0"/>
            <w:vAlign w:val="center"/>
          </w:tcPr>
          <w:p>
            <w:pPr>
              <w:pStyle w:val="10"/>
              <w:bidi w:val="0"/>
              <w:rPr>
                <w:rFonts w:hint="default"/>
                <w:lang w:val="en-US" w:eastAsia="zh-CN"/>
              </w:rPr>
            </w:pPr>
            <w:r>
              <w:rPr>
                <w:rFonts w:hint="eastAsia"/>
                <w:lang w:val="en-US" w:eastAsia="zh-CN"/>
              </w:rPr>
              <w:t>50</w:t>
            </w:r>
            <w:r>
              <w:rPr>
                <w:rFonts w:hint="default"/>
                <w:lang w:val="en-US" w:eastAsia="zh-CN"/>
              </w:rPr>
              <w:t>m³</w:t>
            </w:r>
          </w:p>
        </w:tc>
        <w:tc>
          <w:tcPr>
            <w:tcW w:w="1491" w:type="dxa"/>
            <w:tcBorders>
              <w:tl2br w:val="nil"/>
              <w:tr2bl w:val="nil"/>
            </w:tcBorders>
            <w:noWrap w:val="0"/>
            <w:vAlign w:val="center"/>
          </w:tcPr>
          <w:p>
            <w:pPr>
              <w:pStyle w:val="10"/>
              <w:bidi w:val="0"/>
              <w:rPr>
                <w:rFonts w:hint="default"/>
                <w:lang w:val="en-US" w:eastAsia="zh-CN"/>
              </w:rPr>
            </w:pPr>
            <w:r>
              <w:rPr>
                <w:rFonts w:hint="eastAsia"/>
                <w:lang w:val="en-US" w:eastAsia="zh-CN"/>
              </w:rPr>
              <w:t xml:space="preserve">68.04 </w:t>
            </w:r>
            <w:r>
              <w:rPr>
                <w:rFonts w:hint="default"/>
                <w:lang w:val="en-US" w:eastAsia="zh-CN"/>
              </w:rPr>
              <w:t xml:space="preserve">t </w:t>
            </w:r>
          </w:p>
        </w:tc>
        <w:tc>
          <w:tcPr>
            <w:tcW w:w="1492" w:type="dxa"/>
            <w:tcBorders>
              <w:tl2br w:val="nil"/>
              <w:tr2bl w:val="nil"/>
            </w:tcBorders>
            <w:noWrap w:val="0"/>
            <w:vAlign w:val="center"/>
          </w:tcPr>
          <w:p>
            <w:pPr>
              <w:pStyle w:val="10"/>
              <w:bidi w:val="0"/>
              <w:rPr>
                <w:rFonts w:hint="default"/>
                <w:lang w:val="en-US" w:eastAsia="zh-CN"/>
              </w:rPr>
            </w:pPr>
            <w:r>
              <w:rPr>
                <w:rFonts w:hint="default"/>
                <w:lang w:val="en-US" w:eastAsia="zh-CN"/>
              </w:rPr>
              <w:t>柴油</w:t>
            </w:r>
          </w:p>
        </w:tc>
        <w:tc>
          <w:tcPr>
            <w:tcW w:w="1492" w:type="dxa"/>
            <w:vMerge w:val="continue"/>
            <w:tcBorders>
              <w:tl2br w:val="nil"/>
              <w:tr2bl w:val="nil"/>
            </w:tcBorders>
            <w:noWrap w:val="0"/>
            <w:vAlign w:val="center"/>
          </w:tcPr>
          <w:p>
            <w:pPr>
              <w:pStyle w:val="10"/>
              <w:bidi w:val="0"/>
              <w:rPr>
                <w:rFonts w:hint="default"/>
                <w:lang w:val="en-US" w:eastAsia="zh-CN"/>
              </w:rPr>
            </w:pPr>
          </w:p>
        </w:tc>
      </w:tr>
    </w:tbl>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kern w:val="0"/>
          <w:sz w:val="20"/>
          <w:szCs w:val="24"/>
          <w:u w:val="none"/>
          <w:lang w:val="en-US" w:eastAsia="zh-CN" w:bidi="ar-SA"/>
        </w:rPr>
      </w:pPr>
      <w:r>
        <w:rPr>
          <w:rFonts w:hint="default" w:ascii="Times New Roman" w:hAnsi="Times New Roman" w:eastAsia="宋体" w:cs="Times New Roman"/>
          <w:kern w:val="0"/>
          <w:sz w:val="20"/>
          <w:szCs w:val="24"/>
          <w:u w:val="none"/>
          <w:lang w:val="en-US" w:eastAsia="zh-CN" w:bidi="ar-SA"/>
        </w:rPr>
        <w:t>注： 本项目储存罐装满率为 90%， 其中汽油密度取 0.7</w:t>
      </w:r>
      <w:r>
        <w:rPr>
          <w:rFonts w:hint="eastAsia" w:ascii="Times New Roman" w:hAnsi="Times New Roman" w:eastAsia="宋体" w:cs="Times New Roman"/>
          <w:kern w:val="0"/>
          <w:sz w:val="20"/>
          <w:szCs w:val="24"/>
          <w:u w:val="none"/>
          <w:lang w:val="en-US" w:eastAsia="zh-CN" w:bidi="ar-SA"/>
        </w:rPr>
        <w:t xml:space="preserve">5 </w:t>
      </w:r>
      <w:r>
        <w:rPr>
          <w:rFonts w:hint="default" w:ascii="Times New Roman" w:hAnsi="Times New Roman" w:eastAsia="宋体" w:cs="Times New Roman"/>
          <w:kern w:val="0"/>
          <w:sz w:val="20"/>
          <w:szCs w:val="24"/>
          <w:u w:val="none"/>
          <w:lang w:val="en-US" w:eastAsia="zh-CN" w:bidi="ar-SA"/>
        </w:rPr>
        <w:t>t/m³， 柴油取 0.8</w:t>
      </w:r>
      <w:r>
        <w:rPr>
          <w:rFonts w:hint="eastAsia" w:ascii="Times New Roman" w:hAnsi="Times New Roman" w:eastAsia="宋体" w:cs="Times New Roman"/>
          <w:kern w:val="0"/>
          <w:sz w:val="20"/>
          <w:szCs w:val="24"/>
          <w:u w:val="none"/>
          <w:lang w:val="en-US" w:eastAsia="zh-CN" w:bidi="ar-SA"/>
        </w:rPr>
        <w:t xml:space="preserve">4 </w:t>
      </w:r>
      <w:r>
        <w:rPr>
          <w:rFonts w:hint="default" w:ascii="Times New Roman" w:hAnsi="Times New Roman" w:eastAsia="宋体" w:cs="Times New Roman"/>
          <w:kern w:val="0"/>
          <w:sz w:val="20"/>
          <w:szCs w:val="24"/>
          <w:u w:val="none"/>
          <w:lang w:val="en-US" w:eastAsia="zh-CN" w:bidi="ar-SA"/>
        </w:rPr>
        <w:t>t/m³。</w:t>
      </w:r>
    </w:p>
    <w:p>
      <w:pPr>
        <w:spacing w:line="520" w:lineRule="exact"/>
        <w:ind w:firstLine="482" w:firstLineChars="200"/>
        <w:jc w:val="left"/>
        <w:outlineLvl w:val="1"/>
        <w:rPr>
          <w:rFonts w:hint="eastAsia" w:ascii="Times New Roman" w:hAnsi="Times New Roman" w:cs="Times New Roman" w:eastAsiaTheme="minorEastAsia"/>
          <w:b/>
          <w:bCs/>
          <w:sz w:val="24"/>
          <w:szCs w:val="21"/>
          <w:u w:val="none"/>
          <w:lang w:eastAsia="zh-CN"/>
        </w:rPr>
      </w:pPr>
      <w:r>
        <w:rPr>
          <w:rFonts w:hint="eastAsia"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val="en-US" w:eastAsia="zh-CN"/>
        </w:rPr>
        <w:t>2</w:t>
      </w:r>
      <w:r>
        <w:rPr>
          <w:rFonts w:hint="eastAsia" w:ascii="Times New Roman" w:hAnsi="Times New Roman" w:cs="Times New Roman" w:eastAsiaTheme="minorEastAsia"/>
          <w:b/>
          <w:bCs/>
          <w:sz w:val="24"/>
          <w:szCs w:val="21"/>
          <w:u w:val="none"/>
          <w:lang w:eastAsia="zh-CN"/>
        </w:rPr>
        <w:t>）风险识别范围</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风险识别范围包括生产设施风险识别和生产过程所涉及的物质风险识别。生产设施风险识别范围：主要生产装置、贮运系统、公用工程系统、工程环保设施及辅助生产设施等。物质风险识别范围：主要原材料及辅助材料、燃料、中间产品、最终产品以及生产过程排放的“三废”污染物等。</w:t>
      </w:r>
    </w:p>
    <w:p>
      <w:pPr>
        <w:spacing w:line="520" w:lineRule="exact"/>
        <w:ind w:firstLine="480" w:firstLineChars="200"/>
        <w:jc w:val="both"/>
        <w:outlineLvl w:val="2"/>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val="en-US" w:eastAsia="zh-CN"/>
        </w:rPr>
        <w:t>1）</w:t>
      </w:r>
      <w:r>
        <w:rPr>
          <w:rFonts w:hint="eastAsia" w:ascii="Times New Roman" w:hAnsi="Times New Roman" w:cs="Times New Roman" w:eastAsiaTheme="minorEastAsia"/>
          <w:sz w:val="24"/>
          <w:szCs w:val="21"/>
          <w:u w:val="none"/>
          <w:lang w:eastAsia="zh-CN"/>
        </w:rPr>
        <w:t>项目生产设施风险主要存在于储油罐、加油岛、装卸油作业。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①储油罐</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储油罐是加油站最容易发生事故的场所，如油罐泄漏遇雷击或静电闪火引燃引起爆炸。</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②加油岛</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加油岛为各种机动车辆加油的场所。由于汽车尾气带火星、加油过满溢出、加油机漏油、加油机防爆电气故障等原因，容易引发火灾、爆炸事故。</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③卸油、加油作业</w:t>
      </w:r>
    </w:p>
    <w:p>
      <w:pPr>
        <w:spacing w:line="520" w:lineRule="exact"/>
        <w:ind w:firstLine="480" w:firstLineChars="200"/>
        <w:jc w:val="both"/>
        <w:rPr>
          <w:rFonts w:hint="eastAsia"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加油车辆不熄火，送油车静电没有消散，油罐车卸油连通软管导静电性能差；雷雨天往储油罐卸油或往汽车车箱加油速度过快，加油操作失误；密闭卸油接口处漏油；对明火源管理不严等，都有可能会导致火灾、爆炸或设备损坏或人身伤亡事故。</w:t>
      </w:r>
    </w:p>
    <w:p>
      <w:pPr>
        <w:spacing w:line="520" w:lineRule="exact"/>
        <w:ind w:firstLine="480" w:firstLineChars="200"/>
        <w:jc w:val="left"/>
        <w:outlineLvl w:val="2"/>
        <w:rPr>
          <w:rFonts w:hint="default" w:ascii="Times New Roman" w:hAnsi="Times New Roman" w:cs="Times New Roman" w:eastAsiaTheme="minorEastAsia"/>
          <w:b w:val="0"/>
          <w:bCs w:val="0"/>
          <w:sz w:val="24"/>
          <w:szCs w:val="21"/>
          <w:u w:val="none"/>
        </w:rPr>
      </w:pPr>
      <w:r>
        <w:rPr>
          <w:rFonts w:hint="eastAsia" w:ascii="Times New Roman" w:hAnsi="Times New Roman" w:cs="Times New Roman" w:eastAsiaTheme="minorEastAsia"/>
          <w:b w:val="0"/>
          <w:bCs w:val="0"/>
          <w:sz w:val="24"/>
          <w:szCs w:val="21"/>
          <w:u w:val="none"/>
          <w:lang w:val="en-US" w:eastAsia="zh-CN"/>
        </w:rPr>
        <w:t>2</w:t>
      </w:r>
      <w:r>
        <w:rPr>
          <w:rFonts w:hint="default" w:ascii="Times New Roman" w:hAnsi="Times New Roman" w:cs="Times New Roman" w:eastAsiaTheme="minorEastAsia"/>
          <w:b w:val="0"/>
          <w:bCs w:val="0"/>
          <w:sz w:val="24"/>
          <w:szCs w:val="21"/>
          <w:u w:val="none"/>
        </w:rPr>
        <w:t>）物质风险性识别</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根据拟建项目所涉及的原料、生产工艺特征，同时类比调查同类项目，本项目的事故风险类型确定为汽油和柴油泄露、火灾和爆炸等。</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根据分析，本项目涉及的原料主要为汽油、柴油。此类易燃易爆物体，与空气混合能形成爆炸性混合物，遇静电、明火、高温极易燃烧爆炸。若遇高温高热，容器内压力增大后有开裂和爆炸的危险。根据《</w:t>
      </w:r>
      <w:r>
        <w:rPr>
          <w:rFonts w:hint="eastAsia" w:ascii="Times New Roman" w:hAnsi="Times New Roman" w:cs="Times New Roman" w:eastAsiaTheme="minorEastAsia"/>
          <w:sz w:val="24"/>
          <w:szCs w:val="21"/>
          <w:u w:val="none"/>
        </w:rPr>
        <w:t>化学品分类和危险性公示 通则</w:t>
      </w:r>
      <w:r>
        <w:rPr>
          <w:rFonts w:hint="default" w:ascii="Times New Roman" w:hAnsi="Times New Roman" w:cs="Times New Roman" w:eastAsiaTheme="minorEastAsia"/>
          <w:sz w:val="24"/>
          <w:szCs w:val="21"/>
          <w:u w:val="none"/>
        </w:rPr>
        <w:t>》（GB13690—</w:t>
      </w:r>
      <w:r>
        <w:rPr>
          <w:rFonts w:hint="eastAsia" w:ascii="Times New Roman" w:hAnsi="Times New Roman" w:cs="Times New Roman" w:eastAsiaTheme="minorEastAsia"/>
          <w:sz w:val="24"/>
          <w:szCs w:val="21"/>
          <w:u w:val="none"/>
          <w:lang w:val="en-US" w:eastAsia="zh-CN"/>
        </w:rPr>
        <w:t>2009</w:t>
      </w:r>
      <w:r>
        <w:rPr>
          <w:rFonts w:hint="default" w:ascii="Times New Roman" w:hAnsi="Times New Roman" w:cs="Times New Roman" w:eastAsiaTheme="minorEastAsia"/>
          <w:sz w:val="24"/>
          <w:szCs w:val="21"/>
          <w:u w:val="none"/>
        </w:rPr>
        <w:t>）和其它与本项目有关化学品危险特性的资料，将其理化性质以及危险特性分别列于如下：</w:t>
      </w:r>
    </w:p>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3-2</w:t>
      </w:r>
      <w:r>
        <w:rPr>
          <w:rFonts w:hint="default" w:ascii="Times New Roman" w:hAnsi="Times New Roman" w:cs="Times New Roman" w:eastAsiaTheme="minorEastAsia"/>
          <w:sz w:val="24"/>
          <w:szCs w:val="21"/>
          <w:u w:val="none"/>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汽油的理化性质和危险特性</w:t>
      </w:r>
    </w:p>
    <w:tbl>
      <w:tblPr>
        <w:tblStyle w:val="20"/>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237"/>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0"/>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0"/>
              <w:bidi w:val="0"/>
              <w:rPr>
                <w:rFonts w:hint="default"/>
              </w:rPr>
            </w:pPr>
            <w:r>
              <w:rPr>
                <w:rFonts w:hint="default"/>
              </w:rPr>
              <w:t>危险性类别：</w:t>
            </w:r>
          </w:p>
        </w:tc>
        <w:tc>
          <w:tcPr>
            <w:tcW w:w="2953" w:type="dxa"/>
            <w:gridSpan w:val="3"/>
            <w:tcBorders>
              <w:tl2br w:val="nil"/>
              <w:tr2bl w:val="nil"/>
            </w:tcBorders>
            <w:noWrap w:val="0"/>
            <w:vAlign w:val="center"/>
          </w:tcPr>
          <w:p>
            <w:pPr>
              <w:pStyle w:val="10"/>
              <w:bidi w:val="0"/>
              <w:rPr>
                <w:rFonts w:hint="default"/>
              </w:rPr>
            </w:pPr>
            <w:r>
              <w:rPr>
                <w:rFonts w:hint="default"/>
              </w:rPr>
              <w:t>第3.1 类低闪点易燃液体。</w:t>
            </w:r>
          </w:p>
        </w:tc>
        <w:tc>
          <w:tcPr>
            <w:tcW w:w="2237" w:type="dxa"/>
            <w:tcBorders>
              <w:tl2br w:val="nil"/>
              <w:tr2bl w:val="nil"/>
            </w:tcBorders>
            <w:noWrap w:val="0"/>
            <w:vAlign w:val="center"/>
          </w:tcPr>
          <w:p>
            <w:pPr>
              <w:pStyle w:val="10"/>
              <w:bidi w:val="0"/>
              <w:rPr>
                <w:rFonts w:hint="default"/>
              </w:rPr>
            </w:pPr>
            <w:r>
              <w:rPr>
                <w:rFonts w:hint="default"/>
              </w:rPr>
              <w:t>燃爆危险：</w:t>
            </w:r>
          </w:p>
        </w:tc>
        <w:tc>
          <w:tcPr>
            <w:tcW w:w="2238" w:type="dxa"/>
            <w:tcBorders>
              <w:tl2br w:val="nil"/>
              <w:tr2bl w:val="nil"/>
            </w:tcBorders>
            <w:noWrap w:val="0"/>
            <w:vAlign w:val="center"/>
          </w:tcPr>
          <w:p>
            <w:pPr>
              <w:pStyle w:val="10"/>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0"/>
              <w:bidi w:val="0"/>
              <w:rPr>
                <w:rFonts w:hint="default"/>
              </w:rPr>
            </w:pPr>
            <w:r>
              <w:rPr>
                <w:rFonts w:hint="default"/>
              </w:rPr>
              <w:t>侵入途径：</w:t>
            </w:r>
          </w:p>
        </w:tc>
        <w:tc>
          <w:tcPr>
            <w:tcW w:w="2953" w:type="dxa"/>
            <w:gridSpan w:val="3"/>
            <w:tcBorders>
              <w:tl2br w:val="nil"/>
              <w:tr2bl w:val="nil"/>
            </w:tcBorders>
            <w:noWrap w:val="0"/>
            <w:vAlign w:val="center"/>
          </w:tcPr>
          <w:p>
            <w:pPr>
              <w:pStyle w:val="10"/>
              <w:bidi w:val="0"/>
              <w:rPr>
                <w:rFonts w:hint="default"/>
              </w:rPr>
            </w:pPr>
            <w:r>
              <w:rPr>
                <w:rFonts w:hint="default"/>
              </w:rPr>
              <w:t>吸入、食入、经皮吸收。</w:t>
            </w:r>
          </w:p>
        </w:tc>
        <w:tc>
          <w:tcPr>
            <w:tcW w:w="2237" w:type="dxa"/>
            <w:tcBorders>
              <w:tl2br w:val="nil"/>
              <w:tr2bl w:val="nil"/>
            </w:tcBorders>
            <w:noWrap w:val="0"/>
            <w:vAlign w:val="center"/>
          </w:tcPr>
          <w:p>
            <w:pPr>
              <w:pStyle w:val="10"/>
              <w:bidi w:val="0"/>
              <w:rPr>
                <w:rFonts w:hint="default"/>
              </w:rPr>
            </w:pPr>
            <w:r>
              <w:rPr>
                <w:rFonts w:hint="default"/>
              </w:rPr>
              <w:t>有害燃烧产物：</w:t>
            </w:r>
          </w:p>
        </w:tc>
        <w:tc>
          <w:tcPr>
            <w:tcW w:w="2238" w:type="dxa"/>
            <w:tcBorders>
              <w:tl2br w:val="nil"/>
              <w:tr2bl w:val="nil"/>
            </w:tcBorders>
            <w:noWrap w:val="0"/>
            <w:vAlign w:val="center"/>
          </w:tcPr>
          <w:p>
            <w:pPr>
              <w:pStyle w:val="10"/>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0"/>
              <w:bidi w:val="0"/>
              <w:rPr>
                <w:rFonts w:hint="default"/>
              </w:rPr>
            </w:pPr>
            <w:r>
              <w:rPr>
                <w:rFonts w:hint="default"/>
              </w:rPr>
              <w:t>健康危害：</w:t>
            </w:r>
          </w:p>
          <w:p>
            <w:pPr>
              <w:pStyle w:val="10"/>
              <w:bidi w:val="0"/>
              <w:rPr>
                <w:rFonts w:hint="default"/>
              </w:rPr>
            </w:pPr>
          </w:p>
        </w:tc>
        <w:tc>
          <w:tcPr>
            <w:tcW w:w="7428" w:type="dxa"/>
            <w:gridSpan w:val="5"/>
            <w:tcBorders>
              <w:tl2br w:val="nil"/>
              <w:tr2bl w:val="nil"/>
            </w:tcBorders>
            <w:noWrap w:val="0"/>
            <w:vAlign w:val="center"/>
          </w:tcPr>
          <w:p>
            <w:pPr>
              <w:pStyle w:val="10"/>
              <w:bidi w:val="0"/>
              <w:rPr>
                <w:rFonts w:hint="default"/>
              </w:rPr>
            </w:pPr>
            <w:r>
              <w:rPr>
                <w:rFonts w:hint="default"/>
              </w:rPr>
              <w:t>主要作用于中枢神经系统，急性中毒症状有头晕、头痛、恶心、呕吐、</w:t>
            </w:r>
          </w:p>
          <w:p>
            <w:pPr>
              <w:pStyle w:val="10"/>
              <w:bidi w:val="0"/>
              <w:rPr>
                <w:rFonts w:hint="default"/>
              </w:rPr>
            </w:pPr>
            <w:r>
              <w:rPr>
                <w:rFonts w:hint="default"/>
              </w:rPr>
              <w:t>步态不稳、共济失调。高浓度吸入出现中毒性脑病。极高浓度吸入引起意识突然丧失，反射性呼吸停止及化学性肺炎。可致角膜溃疡、穿孔、甚至失明。皮肤接触致急性接触性皮炎或过敏性皮炎。急性经口中毒引起急性胃肠炎，重者出现类似急性吸入中毒症状。慢性中毒：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0"/>
              <w:bidi w:val="0"/>
              <w:rPr>
                <w:rFonts w:hint="default"/>
              </w:rPr>
            </w:pPr>
            <w:r>
              <w:rPr>
                <w:rFonts w:hint="default"/>
              </w:rPr>
              <w:t xml:space="preserve">环境危害： </w:t>
            </w:r>
          </w:p>
        </w:tc>
        <w:tc>
          <w:tcPr>
            <w:tcW w:w="7428" w:type="dxa"/>
            <w:gridSpan w:val="5"/>
            <w:tcBorders>
              <w:tl2br w:val="nil"/>
              <w:tr2bl w:val="nil"/>
            </w:tcBorders>
            <w:noWrap w:val="0"/>
            <w:vAlign w:val="center"/>
          </w:tcPr>
          <w:p>
            <w:pPr>
              <w:pStyle w:val="10"/>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0"/>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外观及性状：</w:t>
            </w:r>
          </w:p>
        </w:tc>
        <w:tc>
          <w:tcPr>
            <w:tcW w:w="7302" w:type="dxa"/>
            <w:gridSpan w:val="4"/>
            <w:tcBorders>
              <w:tl2br w:val="nil"/>
              <w:tr2bl w:val="nil"/>
            </w:tcBorders>
            <w:noWrap w:val="0"/>
            <w:vAlign w:val="center"/>
          </w:tcPr>
          <w:p>
            <w:pPr>
              <w:pStyle w:val="10"/>
              <w:bidi w:val="0"/>
              <w:rPr>
                <w:rFonts w:hint="default"/>
              </w:rPr>
            </w:pPr>
            <w:r>
              <w:rPr>
                <w:rFonts w:hint="default"/>
              </w:rPr>
              <w:t xml:space="preserve"> 无色或淡黄色易挥发液体，具有特殊臭味。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 xml:space="preserve">熔点（℃）： </w:t>
            </w:r>
          </w:p>
        </w:tc>
        <w:tc>
          <w:tcPr>
            <w:tcW w:w="2827" w:type="dxa"/>
            <w:gridSpan w:val="2"/>
            <w:tcBorders>
              <w:tl2br w:val="nil"/>
              <w:tr2bl w:val="nil"/>
            </w:tcBorders>
            <w:noWrap w:val="0"/>
            <w:vAlign w:val="center"/>
          </w:tcPr>
          <w:p>
            <w:pPr>
              <w:pStyle w:val="10"/>
              <w:bidi w:val="0"/>
              <w:rPr>
                <w:rFonts w:hint="default"/>
              </w:rPr>
            </w:pPr>
            <w:r>
              <w:rPr>
                <w:rFonts w:hint="default"/>
              </w:rPr>
              <w:t xml:space="preserve"> &lt;-60</w:t>
            </w:r>
          </w:p>
        </w:tc>
        <w:tc>
          <w:tcPr>
            <w:tcW w:w="2237" w:type="dxa"/>
            <w:tcBorders>
              <w:tl2br w:val="nil"/>
              <w:tr2bl w:val="nil"/>
            </w:tcBorders>
            <w:noWrap w:val="0"/>
            <w:vAlign w:val="center"/>
          </w:tcPr>
          <w:p>
            <w:pPr>
              <w:pStyle w:val="10"/>
              <w:bidi w:val="0"/>
              <w:rPr>
                <w:rFonts w:hint="default"/>
              </w:rPr>
            </w:pPr>
            <w:r>
              <w:rPr>
                <w:rFonts w:hint="default"/>
              </w:rPr>
              <w:t>相对密度（水＝1）</w:t>
            </w:r>
          </w:p>
        </w:tc>
        <w:tc>
          <w:tcPr>
            <w:tcW w:w="2238" w:type="dxa"/>
            <w:tcBorders>
              <w:tl2br w:val="nil"/>
              <w:tr2bl w:val="nil"/>
            </w:tcBorders>
            <w:noWrap w:val="0"/>
            <w:vAlign w:val="center"/>
          </w:tcPr>
          <w:p>
            <w:pPr>
              <w:pStyle w:val="10"/>
              <w:bidi w:val="0"/>
              <w:rPr>
                <w:rFonts w:hint="default"/>
              </w:rPr>
            </w:pPr>
            <w:r>
              <w:rPr>
                <w:rFonts w:hint="default"/>
              </w:rPr>
              <w:t xml:space="preserve"> 0.70～0.79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闪点（℃）：</w:t>
            </w:r>
          </w:p>
        </w:tc>
        <w:tc>
          <w:tcPr>
            <w:tcW w:w="2827" w:type="dxa"/>
            <w:gridSpan w:val="2"/>
            <w:tcBorders>
              <w:tl2br w:val="nil"/>
              <w:tr2bl w:val="nil"/>
            </w:tcBorders>
            <w:noWrap w:val="0"/>
            <w:vAlign w:val="center"/>
          </w:tcPr>
          <w:p>
            <w:pPr>
              <w:pStyle w:val="10"/>
              <w:bidi w:val="0"/>
              <w:rPr>
                <w:rFonts w:hint="default"/>
              </w:rPr>
            </w:pPr>
            <w:r>
              <w:rPr>
                <w:rFonts w:hint="default"/>
              </w:rPr>
              <w:t xml:space="preserve">-50 </w:t>
            </w:r>
          </w:p>
        </w:tc>
        <w:tc>
          <w:tcPr>
            <w:tcW w:w="2237" w:type="dxa"/>
            <w:tcBorders>
              <w:tl2br w:val="nil"/>
              <w:tr2bl w:val="nil"/>
            </w:tcBorders>
            <w:noWrap w:val="0"/>
            <w:vAlign w:val="center"/>
          </w:tcPr>
          <w:p>
            <w:pPr>
              <w:pStyle w:val="10"/>
              <w:bidi w:val="0"/>
              <w:rPr>
                <w:rFonts w:hint="default"/>
              </w:rPr>
            </w:pPr>
            <w:r>
              <w:rPr>
                <w:rFonts w:hint="default"/>
              </w:rPr>
              <w:t>相对密度（空气=1）</w:t>
            </w:r>
          </w:p>
        </w:tc>
        <w:tc>
          <w:tcPr>
            <w:tcW w:w="2238" w:type="dxa"/>
            <w:tcBorders>
              <w:tl2br w:val="nil"/>
              <w:tr2bl w:val="nil"/>
            </w:tcBorders>
            <w:noWrap w:val="0"/>
            <w:vAlign w:val="center"/>
          </w:tcPr>
          <w:p>
            <w:pPr>
              <w:pStyle w:val="10"/>
              <w:bidi w:val="0"/>
              <w:rPr>
                <w:rFonts w:hint="default"/>
              </w:rPr>
            </w:pPr>
            <w:r>
              <w:rPr>
                <w:rFonts w:hint="default"/>
              </w:rPr>
              <w:t xml:space="preserve"> 3.5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引燃温度（℃）：</w:t>
            </w:r>
          </w:p>
        </w:tc>
        <w:tc>
          <w:tcPr>
            <w:tcW w:w="2827" w:type="dxa"/>
            <w:gridSpan w:val="2"/>
            <w:tcBorders>
              <w:tl2br w:val="nil"/>
              <w:tr2bl w:val="nil"/>
            </w:tcBorders>
            <w:noWrap w:val="0"/>
            <w:vAlign w:val="center"/>
          </w:tcPr>
          <w:p>
            <w:pPr>
              <w:pStyle w:val="10"/>
              <w:bidi w:val="0"/>
              <w:rPr>
                <w:rFonts w:hint="default"/>
              </w:rPr>
            </w:pPr>
            <w:r>
              <w:rPr>
                <w:rFonts w:hint="default"/>
              </w:rPr>
              <w:t xml:space="preserve">415～530 </w:t>
            </w:r>
          </w:p>
        </w:tc>
        <w:tc>
          <w:tcPr>
            <w:tcW w:w="2237" w:type="dxa"/>
            <w:tcBorders>
              <w:tl2br w:val="nil"/>
              <w:tr2bl w:val="nil"/>
            </w:tcBorders>
            <w:noWrap w:val="0"/>
            <w:vAlign w:val="center"/>
          </w:tcPr>
          <w:p>
            <w:pPr>
              <w:pStyle w:val="10"/>
              <w:bidi w:val="0"/>
              <w:rPr>
                <w:rFonts w:hint="default"/>
              </w:rPr>
            </w:pPr>
            <w:r>
              <w:rPr>
                <w:rFonts w:hint="default"/>
              </w:rPr>
              <w:t>爆炸上限％（V/V）：</w:t>
            </w:r>
          </w:p>
        </w:tc>
        <w:tc>
          <w:tcPr>
            <w:tcW w:w="2238" w:type="dxa"/>
            <w:tcBorders>
              <w:tl2br w:val="nil"/>
              <w:tr2bl w:val="nil"/>
            </w:tcBorders>
            <w:noWrap w:val="0"/>
            <w:vAlign w:val="center"/>
          </w:tcPr>
          <w:p>
            <w:pPr>
              <w:pStyle w:val="10"/>
              <w:bidi w:val="0"/>
              <w:rPr>
                <w:rFonts w:hint="default"/>
              </w:rPr>
            </w:pPr>
            <w:r>
              <w:rPr>
                <w:rFonts w:hint="default"/>
              </w:rPr>
              <w:t xml:space="preserve"> 6.0</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 xml:space="preserve"> 沸点（℃）：</w:t>
            </w:r>
          </w:p>
        </w:tc>
        <w:tc>
          <w:tcPr>
            <w:tcW w:w="2827" w:type="dxa"/>
            <w:gridSpan w:val="2"/>
            <w:tcBorders>
              <w:tl2br w:val="nil"/>
              <w:tr2bl w:val="nil"/>
            </w:tcBorders>
            <w:noWrap w:val="0"/>
            <w:vAlign w:val="center"/>
          </w:tcPr>
          <w:p>
            <w:pPr>
              <w:pStyle w:val="10"/>
              <w:bidi w:val="0"/>
              <w:rPr>
                <w:rFonts w:hint="default"/>
              </w:rPr>
            </w:pPr>
            <w:r>
              <w:rPr>
                <w:rFonts w:hint="default"/>
              </w:rPr>
              <w:t xml:space="preserve"> 40～200</w:t>
            </w:r>
          </w:p>
        </w:tc>
        <w:tc>
          <w:tcPr>
            <w:tcW w:w="2237" w:type="dxa"/>
            <w:tcBorders>
              <w:tl2br w:val="nil"/>
              <w:tr2bl w:val="nil"/>
            </w:tcBorders>
            <w:noWrap w:val="0"/>
            <w:vAlign w:val="center"/>
          </w:tcPr>
          <w:p>
            <w:pPr>
              <w:pStyle w:val="10"/>
              <w:bidi w:val="0"/>
              <w:rPr>
                <w:rFonts w:hint="default"/>
              </w:rPr>
            </w:pPr>
            <w:r>
              <w:rPr>
                <w:rFonts w:hint="default"/>
              </w:rPr>
              <w:t>爆炸下限％（V/V）：</w:t>
            </w:r>
          </w:p>
        </w:tc>
        <w:tc>
          <w:tcPr>
            <w:tcW w:w="2238" w:type="dxa"/>
            <w:tcBorders>
              <w:tl2br w:val="nil"/>
              <w:tr2bl w:val="nil"/>
            </w:tcBorders>
            <w:noWrap w:val="0"/>
            <w:vAlign w:val="center"/>
          </w:tcPr>
          <w:p>
            <w:pPr>
              <w:pStyle w:val="10"/>
              <w:bidi w:val="0"/>
              <w:rPr>
                <w:rFonts w:hint="default"/>
              </w:rPr>
            </w:pPr>
            <w:r>
              <w:rPr>
                <w:rFonts w:hint="default"/>
              </w:rPr>
              <w:t xml:space="preserve"> 1.3</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 xml:space="preserve">溶解性： </w:t>
            </w:r>
          </w:p>
        </w:tc>
        <w:tc>
          <w:tcPr>
            <w:tcW w:w="7302" w:type="dxa"/>
            <w:gridSpan w:val="4"/>
            <w:tcBorders>
              <w:tl2br w:val="nil"/>
              <w:tr2bl w:val="nil"/>
            </w:tcBorders>
            <w:noWrap w:val="0"/>
            <w:vAlign w:val="center"/>
          </w:tcPr>
          <w:p>
            <w:pPr>
              <w:pStyle w:val="10"/>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主要用途：</w:t>
            </w:r>
          </w:p>
        </w:tc>
        <w:tc>
          <w:tcPr>
            <w:tcW w:w="7302" w:type="dxa"/>
            <w:gridSpan w:val="4"/>
            <w:tcBorders>
              <w:tl2br w:val="nil"/>
              <w:tr2bl w:val="nil"/>
            </w:tcBorders>
            <w:noWrap w:val="0"/>
            <w:vAlign w:val="center"/>
          </w:tcPr>
          <w:p>
            <w:pPr>
              <w:pStyle w:val="10"/>
              <w:bidi w:val="0"/>
              <w:rPr>
                <w:rFonts w:hint="default"/>
              </w:rPr>
            </w:pPr>
            <w:r>
              <w:rPr>
                <w:rFonts w:hint="default"/>
              </w:rPr>
              <w:t>主要用作汽油机的燃料，用于橡胶、制鞋、印刷、制革、等行业，也可用作机械零件的去污剂。</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0"/>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稳定性：</w:t>
            </w:r>
          </w:p>
        </w:tc>
        <w:tc>
          <w:tcPr>
            <w:tcW w:w="2237" w:type="dxa"/>
            <w:tcBorders>
              <w:tl2br w:val="nil"/>
              <w:tr2bl w:val="nil"/>
            </w:tcBorders>
            <w:noWrap w:val="0"/>
            <w:vAlign w:val="center"/>
          </w:tcPr>
          <w:p>
            <w:pPr>
              <w:pStyle w:val="10"/>
              <w:bidi w:val="0"/>
              <w:rPr>
                <w:rFonts w:hint="default"/>
              </w:rPr>
            </w:pPr>
            <w:r>
              <w:rPr>
                <w:rFonts w:hint="default"/>
              </w:rPr>
              <w:t>稳定</w:t>
            </w:r>
          </w:p>
        </w:tc>
        <w:tc>
          <w:tcPr>
            <w:tcW w:w="2237" w:type="dxa"/>
            <w:tcBorders>
              <w:tl2br w:val="nil"/>
              <w:tr2bl w:val="nil"/>
            </w:tcBorders>
            <w:noWrap w:val="0"/>
            <w:vAlign w:val="center"/>
          </w:tcPr>
          <w:p>
            <w:pPr>
              <w:pStyle w:val="10"/>
              <w:bidi w:val="0"/>
              <w:rPr>
                <w:rFonts w:hint="default"/>
              </w:rPr>
            </w:pPr>
            <w:r>
              <w:rPr>
                <w:rFonts w:hint="default"/>
              </w:rPr>
              <w:t xml:space="preserve"> 避免接触的条件：</w:t>
            </w:r>
          </w:p>
        </w:tc>
        <w:tc>
          <w:tcPr>
            <w:tcW w:w="2238" w:type="dxa"/>
            <w:tcBorders>
              <w:tl2br w:val="nil"/>
              <w:tr2bl w:val="nil"/>
            </w:tcBorders>
            <w:noWrap w:val="0"/>
            <w:vAlign w:val="center"/>
          </w:tcPr>
          <w:p>
            <w:pPr>
              <w:pStyle w:val="10"/>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禁配物：</w:t>
            </w:r>
          </w:p>
        </w:tc>
        <w:tc>
          <w:tcPr>
            <w:tcW w:w="2237" w:type="dxa"/>
            <w:tcBorders>
              <w:tl2br w:val="nil"/>
              <w:tr2bl w:val="nil"/>
            </w:tcBorders>
            <w:noWrap w:val="0"/>
            <w:vAlign w:val="center"/>
          </w:tcPr>
          <w:p>
            <w:pPr>
              <w:pStyle w:val="10"/>
              <w:bidi w:val="0"/>
              <w:rPr>
                <w:rFonts w:hint="default"/>
              </w:rPr>
            </w:pPr>
            <w:r>
              <w:rPr>
                <w:rFonts w:hint="default"/>
              </w:rPr>
              <w:t>强氧化剂</w:t>
            </w:r>
          </w:p>
        </w:tc>
        <w:tc>
          <w:tcPr>
            <w:tcW w:w="2237" w:type="dxa"/>
            <w:tcBorders>
              <w:tl2br w:val="nil"/>
              <w:tr2bl w:val="nil"/>
            </w:tcBorders>
            <w:noWrap w:val="0"/>
            <w:vAlign w:val="center"/>
          </w:tcPr>
          <w:p>
            <w:pPr>
              <w:pStyle w:val="10"/>
              <w:bidi w:val="0"/>
              <w:rPr>
                <w:rFonts w:hint="default"/>
              </w:rPr>
            </w:pPr>
            <w:r>
              <w:rPr>
                <w:rFonts w:hint="default"/>
              </w:rPr>
              <w:t xml:space="preserve"> 聚合危害： </w:t>
            </w:r>
          </w:p>
        </w:tc>
        <w:tc>
          <w:tcPr>
            <w:tcW w:w="2238" w:type="dxa"/>
            <w:tcBorders>
              <w:tl2br w:val="nil"/>
              <w:tr2bl w:val="nil"/>
            </w:tcBorders>
            <w:noWrap w:val="0"/>
            <w:vAlign w:val="center"/>
          </w:tcPr>
          <w:p>
            <w:pPr>
              <w:pStyle w:val="10"/>
              <w:bidi w:val="0"/>
              <w:rPr>
                <w:rFonts w:hint="default"/>
              </w:rPr>
            </w:pPr>
            <w:r>
              <w:rPr>
                <w:rFonts w:hint="default"/>
              </w:rPr>
              <w:t xml:space="preserve">  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分解产物：</w:t>
            </w:r>
          </w:p>
        </w:tc>
        <w:tc>
          <w:tcPr>
            <w:tcW w:w="6712" w:type="dxa"/>
            <w:gridSpan w:val="3"/>
            <w:tcBorders>
              <w:tl2br w:val="nil"/>
              <w:tr2bl w:val="nil"/>
            </w:tcBorders>
            <w:noWrap w:val="0"/>
            <w:vAlign w:val="center"/>
          </w:tcPr>
          <w:p>
            <w:pPr>
              <w:pStyle w:val="10"/>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6"/>
            <w:tcBorders>
              <w:tl2br w:val="nil"/>
              <w:tr2bl w:val="nil"/>
            </w:tcBorders>
            <w:noWrap w:val="0"/>
            <w:vAlign w:val="center"/>
          </w:tcPr>
          <w:p>
            <w:pPr>
              <w:pStyle w:val="10"/>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急性毒性：</w:t>
            </w:r>
          </w:p>
        </w:tc>
        <w:tc>
          <w:tcPr>
            <w:tcW w:w="6712" w:type="dxa"/>
            <w:gridSpan w:val="3"/>
            <w:tcBorders>
              <w:tl2br w:val="nil"/>
              <w:tr2bl w:val="nil"/>
            </w:tcBorders>
            <w:noWrap w:val="0"/>
            <w:vAlign w:val="center"/>
          </w:tcPr>
          <w:p>
            <w:pPr>
              <w:pStyle w:val="10"/>
              <w:bidi w:val="0"/>
              <w:rPr>
                <w:rFonts w:hint="default"/>
              </w:rPr>
            </w:pPr>
            <w:r>
              <w:rPr>
                <w:rFonts w:hint="default"/>
              </w:rPr>
              <w:t>LD50：67000mg/kg（小鼠经口），（120 号溶剂汽油）</w:t>
            </w:r>
          </w:p>
          <w:p>
            <w:pPr>
              <w:pStyle w:val="10"/>
              <w:bidi w:val="0"/>
              <w:rPr>
                <w:rFonts w:hint="default"/>
              </w:rPr>
            </w:pPr>
            <w:r>
              <w:rPr>
                <w:rFonts w:hint="default"/>
              </w:rPr>
              <w:t>LC50：103000mg/m3 小鼠，2 小时（120 号溶剂汽油）</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急性中毒：</w:t>
            </w:r>
          </w:p>
          <w:p>
            <w:pPr>
              <w:pStyle w:val="10"/>
              <w:bidi w:val="0"/>
              <w:rPr>
                <w:rFonts w:hint="default"/>
              </w:rPr>
            </w:pPr>
          </w:p>
        </w:tc>
        <w:tc>
          <w:tcPr>
            <w:tcW w:w="6712" w:type="dxa"/>
            <w:gridSpan w:val="3"/>
            <w:tcBorders>
              <w:tl2br w:val="nil"/>
              <w:tr2bl w:val="nil"/>
            </w:tcBorders>
            <w:noWrap w:val="0"/>
            <w:vAlign w:val="center"/>
          </w:tcPr>
          <w:p>
            <w:pPr>
              <w:pStyle w:val="10"/>
              <w:bidi w:val="0"/>
              <w:rPr>
                <w:rFonts w:hint="default"/>
              </w:rPr>
            </w:pPr>
            <w:r>
              <w:rPr>
                <w:rFonts w:hint="default"/>
              </w:rPr>
              <w:t>高浓度吸入出现中毒性脑病。极高浓度吸入引起意识突然丧失、反射性呼吸停止和化学性肺炎。可致角膜溃疡、穿孔，甚至失明。皮肤接触致急性接触性皮炎或过敏性皮炎。急性经口中毒引起急性胃肠炎；重者出现类似急性吸入中毒症状。</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 xml:space="preserve">慢性中毒： </w:t>
            </w:r>
          </w:p>
        </w:tc>
        <w:tc>
          <w:tcPr>
            <w:tcW w:w="6712" w:type="dxa"/>
            <w:gridSpan w:val="3"/>
            <w:tcBorders>
              <w:tl2br w:val="nil"/>
              <w:tr2bl w:val="nil"/>
            </w:tcBorders>
            <w:noWrap w:val="0"/>
            <w:vAlign w:val="center"/>
          </w:tcPr>
          <w:p>
            <w:pPr>
              <w:pStyle w:val="10"/>
              <w:bidi w:val="0"/>
              <w:rPr>
                <w:rFonts w:hint="default"/>
              </w:rPr>
            </w:pPr>
            <w:r>
              <w:rPr>
                <w:rFonts w:hint="default"/>
              </w:rPr>
              <w:t>神经衰弱综合症，周围神经病，皮肤损害。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刺激性：</w:t>
            </w:r>
          </w:p>
        </w:tc>
        <w:tc>
          <w:tcPr>
            <w:tcW w:w="6712" w:type="dxa"/>
            <w:gridSpan w:val="3"/>
            <w:tcBorders>
              <w:tl2br w:val="nil"/>
              <w:tr2bl w:val="nil"/>
            </w:tcBorders>
            <w:noWrap w:val="0"/>
            <w:vAlign w:val="center"/>
          </w:tcPr>
          <w:p>
            <w:pPr>
              <w:pStyle w:val="10"/>
              <w:bidi w:val="0"/>
              <w:rPr>
                <w:rFonts w:hint="default"/>
              </w:rPr>
            </w:pPr>
            <w:r>
              <w:rPr>
                <w:rFonts w:hint="default"/>
              </w:rPr>
              <w:t>人经眼：140ppm（8 小时），轻度刺激。</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最高容许浓度</w:t>
            </w:r>
          </w:p>
        </w:tc>
        <w:tc>
          <w:tcPr>
            <w:tcW w:w="6712" w:type="dxa"/>
            <w:gridSpan w:val="3"/>
            <w:tcBorders>
              <w:tl2br w:val="nil"/>
              <w:tr2bl w:val="nil"/>
            </w:tcBorders>
            <w:noWrap w:val="0"/>
            <w:vAlign w:val="center"/>
          </w:tcPr>
          <w:p>
            <w:pPr>
              <w:pStyle w:val="10"/>
              <w:bidi w:val="0"/>
              <w:rPr>
                <w:rFonts w:hint="default"/>
              </w:rPr>
            </w:pPr>
            <w:r>
              <w:rPr>
                <w:rFonts w:hint="default"/>
              </w:rPr>
              <w:t>300mg/m3</w:t>
            </w:r>
          </w:p>
        </w:tc>
      </w:tr>
    </w:tbl>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3-3</w:t>
      </w:r>
      <w:r>
        <w:rPr>
          <w:rFonts w:hint="default" w:ascii="Times New Roman" w:hAnsi="Times New Roman" w:eastAsia="黑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 xml:space="preserve"> </w:t>
      </w:r>
      <w:r>
        <w:rPr>
          <w:rFonts w:hint="default" w:ascii="Times New Roman" w:hAnsi="Times New Roman" w:eastAsia="黑体" w:cs="Times New Roman"/>
          <w:sz w:val="24"/>
          <w:szCs w:val="21"/>
          <w:u w:val="none"/>
        </w:rPr>
        <w:t>柴油的理化性质和危险特性</w:t>
      </w:r>
    </w:p>
    <w:tbl>
      <w:tblPr>
        <w:tblStyle w:val="20"/>
        <w:tblW w:w="0" w:type="auto"/>
        <w:tblInd w:w="0" w:type="dxa"/>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0"/>
        <w:gridCol w:w="126"/>
        <w:gridCol w:w="590"/>
        <w:gridCol w:w="2237"/>
        <w:gridCol w:w="2163"/>
        <w:gridCol w:w="74"/>
        <w:gridCol w:w="2238"/>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0"/>
              <w:bidi w:val="0"/>
              <w:rPr>
                <w:rFonts w:hint="default"/>
              </w:rPr>
            </w:pPr>
            <w:r>
              <w:rPr>
                <w:rFonts w:hint="default"/>
              </w:rPr>
              <w:t>第一部分 危险性概述</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0"/>
              <w:bidi w:val="0"/>
              <w:rPr>
                <w:rFonts w:hint="default"/>
              </w:rPr>
            </w:pPr>
            <w:r>
              <w:rPr>
                <w:rFonts w:hint="default"/>
              </w:rPr>
              <w:t>危险性类别：</w:t>
            </w:r>
          </w:p>
        </w:tc>
        <w:tc>
          <w:tcPr>
            <w:tcW w:w="2953" w:type="dxa"/>
            <w:gridSpan w:val="3"/>
            <w:tcBorders>
              <w:tl2br w:val="nil"/>
              <w:tr2bl w:val="nil"/>
            </w:tcBorders>
            <w:noWrap w:val="0"/>
            <w:vAlign w:val="center"/>
          </w:tcPr>
          <w:p>
            <w:pPr>
              <w:pStyle w:val="10"/>
              <w:bidi w:val="0"/>
              <w:rPr>
                <w:rFonts w:hint="default"/>
              </w:rPr>
            </w:pPr>
            <w:r>
              <w:rPr>
                <w:rFonts w:hint="default"/>
              </w:rPr>
              <w:t>第3.3 类高闪点易燃液体</w:t>
            </w:r>
          </w:p>
        </w:tc>
        <w:tc>
          <w:tcPr>
            <w:tcW w:w="2163" w:type="dxa"/>
            <w:tcBorders>
              <w:tl2br w:val="nil"/>
              <w:tr2bl w:val="nil"/>
            </w:tcBorders>
            <w:noWrap w:val="0"/>
            <w:vAlign w:val="center"/>
          </w:tcPr>
          <w:p>
            <w:pPr>
              <w:pStyle w:val="10"/>
              <w:bidi w:val="0"/>
              <w:rPr>
                <w:rFonts w:hint="default"/>
              </w:rPr>
            </w:pPr>
            <w:r>
              <w:rPr>
                <w:rFonts w:hint="default"/>
              </w:rPr>
              <w:t>燃爆危险</w:t>
            </w:r>
          </w:p>
        </w:tc>
        <w:tc>
          <w:tcPr>
            <w:tcW w:w="2312" w:type="dxa"/>
            <w:gridSpan w:val="2"/>
            <w:tcBorders>
              <w:tl2br w:val="nil"/>
              <w:tr2bl w:val="nil"/>
            </w:tcBorders>
            <w:noWrap w:val="0"/>
            <w:vAlign w:val="center"/>
          </w:tcPr>
          <w:p>
            <w:pPr>
              <w:pStyle w:val="10"/>
              <w:bidi w:val="0"/>
              <w:rPr>
                <w:rFonts w:hint="default"/>
              </w:rPr>
            </w:pPr>
            <w:r>
              <w:rPr>
                <w:rFonts w:hint="default"/>
              </w:rPr>
              <w:t>易燃</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0"/>
              <w:bidi w:val="0"/>
              <w:rPr>
                <w:rFonts w:hint="default"/>
              </w:rPr>
            </w:pPr>
            <w:r>
              <w:rPr>
                <w:rFonts w:hint="default"/>
              </w:rPr>
              <w:t>侵入途径：</w:t>
            </w:r>
          </w:p>
        </w:tc>
        <w:tc>
          <w:tcPr>
            <w:tcW w:w="2953" w:type="dxa"/>
            <w:gridSpan w:val="3"/>
            <w:tcBorders>
              <w:tl2br w:val="nil"/>
              <w:tr2bl w:val="nil"/>
            </w:tcBorders>
            <w:noWrap w:val="0"/>
            <w:vAlign w:val="center"/>
          </w:tcPr>
          <w:p>
            <w:pPr>
              <w:pStyle w:val="10"/>
              <w:bidi w:val="0"/>
              <w:rPr>
                <w:rFonts w:hint="default"/>
              </w:rPr>
            </w:pPr>
            <w:r>
              <w:rPr>
                <w:rFonts w:hint="default"/>
              </w:rPr>
              <w:t>吸入、食入、经皮吸收</w:t>
            </w:r>
          </w:p>
        </w:tc>
        <w:tc>
          <w:tcPr>
            <w:tcW w:w="2163" w:type="dxa"/>
            <w:tcBorders>
              <w:tl2br w:val="nil"/>
              <w:tr2bl w:val="nil"/>
            </w:tcBorders>
            <w:noWrap w:val="0"/>
            <w:vAlign w:val="center"/>
          </w:tcPr>
          <w:p>
            <w:pPr>
              <w:pStyle w:val="10"/>
              <w:bidi w:val="0"/>
              <w:rPr>
                <w:rFonts w:hint="default"/>
              </w:rPr>
            </w:pPr>
            <w:r>
              <w:rPr>
                <w:rFonts w:hint="default"/>
              </w:rPr>
              <w:t>有害燃烧产物</w:t>
            </w:r>
          </w:p>
        </w:tc>
        <w:tc>
          <w:tcPr>
            <w:tcW w:w="2312" w:type="dxa"/>
            <w:gridSpan w:val="2"/>
            <w:tcBorders>
              <w:tl2br w:val="nil"/>
              <w:tr2bl w:val="nil"/>
            </w:tcBorders>
            <w:noWrap w:val="0"/>
            <w:vAlign w:val="center"/>
          </w:tcPr>
          <w:p>
            <w:pPr>
              <w:pStyle w:val="10"/>
              <w:bidi w:val="0"/>
              <w:rPr>
                <w:rFonts w:hint="default"/>
              </w:rPr>
            </w:pPr>
            <w:r>
              <w:rPr>
                <w:rFonts w:hint="default"/>
              </w:rPr>
              <w:t xml:space="preserve"> 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20" w:type="dxa"/>
            <w:tcBorders>
              <w:tl2br w:val="nil"/>
              <w:tr2bl w:val="nil"/>
            </w:tcBorders>
            <w:noWrap w:val="0"/>
            <w:vAlign w:val="center"/>
          </w:tcPr>
          <w:p>
            <w:pPr>
              <w:pStyle w:val="10"/>
              <w:bidi w:val="0"/>
              <w:rPr>
                <w:rFonts w:hint="default"/>
              </w:rPr>
            </w:pPr>
            <w:r>
              <w:rPr>
                <w:rFonts w:hint="default"/>
              </w:rPr>
              <w:t xml:space="preserve">环境危害： </w:t>
            </w:r>
          </w:p>
        </w:tc>
        <w:tc>
          <w:tcPr>
            <w:tcW w:w="7428" w:type="dxa"/>
            <w:gridSpan w:val="6"/>
            <w:tcBorders>
              <w:tl2br w:val="nil"/>
              <w:tr2bl w:val="nil"/>
            </w:tcBorders>
            <w:noWrap w:val="0"/>
            <w:vAlign w:val="center"/>
          </w:tcPr>
          <w:p>
            <w:pPr>
              <w:pStyle w:val="10"/>
              <w:bidi w:val="0"/>
              <w:rPr>
                <w:rFonts w:hint="default"/>
              </w:rPr>
            </w:pPr>
            <w:r>
              <w:rPr>
                <w:rFonts w:hint="default"/>
              </w:rPr>
              <w:t>该物质对环境有危害，应特别注意对地表水、土壤、大气和饮用水的污染。</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0"/>
              <w:bidi w:val="0"/>
              <w:rPr>
                <w:rFonts w:hint="default"/>
              </w:rPr>
            </w:pPr>
            <w:r>
              <w:rPr>
                <w:rFonts w:hint="default"/>
              </w:rPr>
              <w:t>第二部分 理化特性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外观及性状：</w:t>
            </w:r>
          </w:p>
        </w:tc>
        <w:tc>
          <w:tcPr>
            <w:tcW w:w="2827" w:type="dxa"/>
            <w:gridSpan w:val="2"/>
            <w:tcBorders>
              <w:tl2br w:val="nil"/>
              <w:tr2bl w:val="nil"/>
            </w:tcBorders>
            <w:noWrap w:val="0"/>
            <w:vAlign w:val="center"/>
          </w:tcPr>
          <w:p>
            <w:pPr>
              <w:pStyle w:val="10"/>
              <w:bidi w:val="0"/>
              <w:rPr>
                <w:rFonts w:hint="default"/>
              </w:rPr>
            </w:pPr>
            <w:r>
              <w:rPr>
                <w:rFonts w:hint="default"/>
              </w:rPr>
              <w:t xml:space="preserve"> 稍有粘性的棕色液体</w:t>
            </w:r>
          </w:p>
        </w:tc>
        <w:tc>
          <w:tcPr>
            <w:tcW w:w="2163" w:type="dxa"/>
            <w:tcBorders>
              <w:tl2br w:val="nil"/>
              <w:tr2bl w:val="nil"/>
            </w:tcBorders>
            <w:noWrap w:val="0"/>
            <w:vAlign w:val="center"/>
          </w:tcPr>
          <w:p>
            <w:pPr>
              <w:pStyle w:val="10"/>
              <w:bidi w:val="0"/>
              <w:rPr>
                <w:rFonts w:hint="default"/>
              </w:rPr>
            </w:pPr>
            <w:r>
              <w:rPr>
                <w:rFonts w:hint="default"/>
              </w:rPr>
              <w:t>主要用途：</w:t>
            </w:r>
          </w:p>
        </w:tc>
        <w:tc>
          <w:tcPr>
            <w:tcW w:w="2312" w:type="dxa"/>
            <w:gridSpan w:val="2"/>
            <w:tcBorders>
              <w:tl2br w:val="nil"/>
              <w:tr2bl w:val="nil"/>
            </w:tcBorders>
            <w:noWrap w:val="0"/>
            <w:vAlign w:val="center"/>
          </w:tcPr>
          <w:p>
            <w:pPr>
              <w:pStyle w:val="10"/>
              <w:bidi w:val="0"/>
              <w:rPr>
                <w:rFonts w:hint="default"/>
              </w:rPr>
            </w:pPr>
            <w:r>
              <w:rPr>
                <w:rFonts w:hint="default"/>
              </w:rPr>
              <w:t xml:space="preserve"> 用作柴油机的燃料等</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闪点（℃）：</w:t>
            </w:r>
          </w:p>
        </w:tc>
        <w:tc>
          <w:tcPr>
            <w:tcW w:w="2827" w:type="dxa"/>
            <w:gridSpan w:val="2"/>
            <w:tcBorders>
              <w:tl2br w:val="nil"/>
              <w:tr2bl w:val="nil"/>
            </w:tcBorders>
            <w:noWrap w:val="0"/>
            <w:vAlign w:val="center"/>
          </w:tcPr>
          <w:p>
            <w:pPr>
              <w:pStyle w:val="10"/>
              <w:bidi w:val="0"/>
              <w:rPr>
                <w:rFonts w:hint="default"/>
              </w:rPr>
            </w:pPr>
            <w:r>
              <w:rPr>
                <w:rFonts w:hint="default"/>
              </w:rPr>
              <w:t>45～55</w:t>
            </w:r>
          </w:p>
        </w:tc>
        <w:tc>
          <w:tcPr>
            <w:tcW w:w="2163" w:type="dxa"/>
            <w:tcBorders>
              <w:tl2br w:val="nil"/>
              <w:tr2bl w:val="nil"/>
            </w:tcBorders>
            <w:noWrap w:val="0"/>
            <w:vAlign w:val="center"/>
          </w:tcPr>
          <w:p>
            <w:pPr>
              <w:pStyle w:val="10"/>
              <w:bidi w:val="0"/>
              <w:rPr>
                <w:rFonts w:hint="default"/>
              </w:rPr>
            </w:pPr>
            <w:r>
              <w:rPr>
                <w:rFonts w:hint="default"/>
              </w:rPr>
              <w:t>相对密度（水＝1）</w:t>
            </w:r>
          </w:p>
        </w:tc>
        <w:tc>
          <w:tcPr>
            <w:tcW w:w="2312" w:type="dxa"/>
            <w:gridSpan w:val="2"/>
            <w:tcBorders>
              <w:tl2br w:val="nil"/>
              <w:tr2bl w:val="nil"/>
            </w:tcBorders>
            <w:noWrap w:val="0"/>
            <w:vAlign w:val="center"/>
          </w:tcPr>
          <w:p>
            <w:pPr>
              <w:pStyle w:val="10"/>
              <w:bidi w:val="0"/>
              <w:rPr>
                <w:rFonts w:hint="default"/>
              </w:rPr>
            </w:pPr>
            <w:r>
              <w:rPr>
                <w:rFonts w:hint="default"/>
              </w:rPr>
              <w:t xml:space="preserve"> 0.87～0.9</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沸点（℃）：</w:t>
            </w:r>
          </w:p>
        </w:tc>
        <w:tc>
          <w:tcPr>
            <w:tcW w:w="2827" w:type="dxa"/>
            <w:gridSpan w:val="2"/>
            <w:tcBorders>
              <w:tl2br w:val="nil"/>
              <w:tr2bl w:val="nil"/>
            </w:tcBorders>
            <w:noWrap w:val="0"/>
            <w:vAlign w:val="center"/>
          </w:tcPr>
          <w:p>
            <w:pPr>
              <w:pStyle w:val="10"/>
              <w:bidi w:val="0"/>
              <w:rPr>
                <w:rFonts w:hint="default"/>
              </w:rPr>
            </w:pPr>
            <w:r>
              <w:rPr>
                <w:rFonts w:hint="default"/>
              </w:rPr>
              <w:t xml:space="preserve"> 200～350</w:t>
            </w:r>
          </w:p>
        </w:tc>
        <w:tc>
          <w:tcPr>
            <w:tcW w:w="2163" w:type="dxa"/>
            <w:tcBorders>
              <w:tl2br w:val="nil"/>
              <w:tr2bl w:val="nil"/>
            </w:tcBorders>
            <w:noWrap w:val="0"/>
            <w:vAlign w:val="center"/>
          </w:tcPr>
          <w:p>
            <w:pPr>
              <w:pStyle w:val="10"/>
              <w:bidi w:val="0"/>
              <w:rPr>
                <w:rFonts w:hint="default"/>
              </w:rPr>
            </w:pPr>
            <w:r>
              <w:rPr>
                <w:rFonts w:hint="default"/>
              </w:rPr>
              <w:t>爆炸上限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10"/>
              <w:bidi w:val="0"/>
              <w:rPr>
                <w:rFonts w:hint="default"/>
              </w:rPr>
            </w:pPr>
            <w:r>
              <w:rPr>
                <w:rFonts w:hint="default"/>
              </w:rPr>
              <w:t xml:space="preserve"> 4.5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自燃点（℃）：</w:t>
            </w:r>
          </w:p>
        </w:tc>
        <w:tc>
          <w:tcPr>
            <w:tcW w:w="2827" w:type="dxa"/>
            <w:gridSpan w:val="2"/>
            <w:tcBorders>
              <w:tl2br w:val="nil"/>
              <w:tr2bl w:val="nil"/>
            </w:tcBorders>
            <w:noWrap w:val="0"/>
            <w:vAlign w:val="center"/>
          </w:tcPr>
          <w:p>
            <w:pPr>
              <w:pStyle w:val="10"/>
              <w:bidi w:val="0"/>
              <w:rPr>
                <w:rFonts w:hint="default"/>
              </w:rPr>
            </w:pPr>
            <w:r>
              <w:rPr>
                <w:rFonts w:hint="default"/>
              </w:rPr>
              <w:t>257</w:t>
            </w:r>
          </w:p>
        </w:tc>
        <w:tc>
          <w:tcPr>
            <w:tcW w:w="2163" w:type="dxa"/>
            <w:tcBorders>
              <w:tl2br w:val="nil"/>
              <w:tr2bl w:val="nil"/>
            </w:tcBorders>
            <w:noWrap w:val="0"/>
            <w:vAlign w:val="center"/>
          </w:tcPr>
          <w:p>
            <w:pPr>
              <w:pStyle w:val="10"/>
              <w:bidi w:val="0"/>
              <w:rPr>
                <w:rFonts w:hint="default"/>
              </w:rPr>
            </w:pPr>
            <w:r>
              <w:rPr>
                <w:rFonts w:hint="default"/>
              </w:rPr>
              <w:t>爆炸下限</w:t>
            </w:r>
            <w:r>
              <w:rPr>
                <w:rFonts w:hint="eastAsia"/>
                <w:lang w:val="en-US" w:eastAsia="zh-CN"/>
              </w:rPr>
              <w:t>%</w:t>
            </w:r>
            <w:r>
              <w:rPr>
                <w:rFonts w:hint="default"/>
              </w:rPr>
              <w:t>（V/V）：</w:t>
            </w:r>
          </w:p>
        </w:tc>
        <w:tc>
          <w:tcPr>
            <w:tcW w:w="2312" w:type="dxa"/>
            <w:gridSpan w:val="2"/>
            <w:tcBorders>
              <w:tl2br w:val="nil"/>
              <w:tr2bl w:val="nil"/>
            </w:tcBorders>
            <w:noWrap w:val="0"/>
            <w:vAlign w:val="center"/>
          </w:tcPr>
          <w:p>
            <w:pPr>
              <w:pStyle w:val="10"/>
              <w:bidi w:val="0"/>
              <w:rPr>
                <w:rFonts w:hint="default"/>
              </w:rPr>
            </w:pPr>
            <w:r>
              <w:rPr>
                <w:rFonts w:hint="default"/>
              </w:rPr>
              <w:t xml:space="preserve"> 1.5</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6" w:type="dxa"/>
            <w:gridSpan w:val="2"/>
            <w:tcBorders>
              <w:tl2br w:val="nil"/>
              <w:tr2bl w:val="nil"/>
            </w:tcBorders>
            <w:noWrap w:val="0"/>
            <w:vAlign w:val="center"/>
          </w:tcPr>
          <w:p>
            <w:pPr>
              <w:pStyle w:val="10"/>
              <w:bidi w:val="0"/>
              <w:rPr>
                <w:rFonts w:hint="default"/>
              </w:rPr>
            </w:pPr>
            <w:r>
              <w:rPr>
                <w:rFonts w:hint="default"/>
              </w:rPr>
              <w:t xml:space="preserve">溶解性： </w:t>
            </w:r>
          </w:p>
        </w:tc>
        <w:tc>
          <w:tcPr>
            <w:tcW w:w="7302" w:type="dxa"/>
            <w:gridSpan w:val="5"/>
            <w:tcBorders>
              <w:tl2br w:val="nil"/>
              <w:tr2bl w:val="nil"/>
            </w:tcBorders>
            <w:noWrap w:val="0"/>
            <w:vAlign w:val="center"/>
          </w:tcPr>
          <w:p>
            <w:pPr>
              <w:pStyle w:val="10"/>
              <w:bidi w:val="0"/>
              <w:rPr>
                <w:rFonts w:hint="default"/>
              </w:rPr>
            </w:pPr>
            <w:r>
              <w:rPr>
                <w:rFonts w:hint="default"/>
              </w:rPr>
              <w:t>不溶于水，易溶于苯、二硫化碳、醇，易溶于脂肪。</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0"/>
              <w:bidi w:val="0"/>
              <w:rPr>
                <w:rFonts w:hint="default"/>
              </w:rPr>
            </w:pPr>
            <w:r>
              <w:rPr>
                <w:rFonts w:hint="default"/>
              </w:rPr>
              <w:t>第三部分 稳定性及化学活性</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稳定性：</w:t>
            </w:r>
          </w:p>
        </w:tc>
        <w:tc>
          <w:tcPr>
            <w:tcW w:w="2237" w:type="dxa"/>
            <w:tcBorders>
              <w:tl2br w:val="nil"/>
              <w:tr2bl w:val="nil"/>
            </w:tcBorders>
            <w:noWrap w:val="0"/>
            <w:vAlign w:val="center"/>
          </w:tcPr>
          <w:p>
            <w:pPr>
              <w:pStyle w:val="10"/>
              <w:bidi w:val="0"/>
              <w:rPr>
                <w:rFonts w:hint="default"/>
              </w:rPr>
            </w:pPr>
            <w:r>
              <w:rPr>
                <w:rFonts w:hint="default"/>
              </w:rPr>
              <w:t>稳定</w:t>
            </w:r>
          </w:p>
        </w:tc>
        <w:tc>
          <w:tcPr>
            <w:tcW w:w="2237" w:type="dxa"/>
            <w:gridSpan w:val="2"/>
            <w:tcBorders>
              <w:tl2br w:val="nil"/>
              <w:tr2bl w:val="nil"/>
            </w:tcBorders>
            <w:noWrap w:val="0"/>
            <w:vAlign w:val="center"/>
          </w:tcPr>
          <w:p>
            <w:pPr>
              <w:pStyle w:val="10"/>
              <w:bidi w:val="0"/>
              <w:rPr>
                <w:rFonts w:hint="default"/>
              </w:rPr>
            </w:pPr>
            <w:r>
              <w:rPr>
                <w:rFonts w:hint="default"/>
              </w:rPr>
              <w:t xml:space="preserve"> 避免接触的条件：</w:t>
            </w:r>
          </w:p>
        </w:tc>
        <w:tc>
          <w:tcPr>
            <w:tcW w:w="2238" w:type="dxa"/>
            <w:tcBorders>
              <w:tl2br w:val="nil"/>
              <w:tr2bl w:val="nil"/>
            </w:tcBorders>
            <w:noWrap w:val="0"/>
            <w:vAlign w:val="center"/>
          </w:tcPr>
          <w:p>
            <w:pPr>
              <w:pStyle w:val="10"/>
              <w:bidi w:val="0"/>
              <w:rPr>
                <w:rFonts w:hint="default"/>
              </w:rPr>
            </w:pPr>
            <w:r>
              <w:rPr>
                <w:rFonts w:hint="default"/>
              </w:rPr>
              <w:t>明火、高热。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禁配物：</w:t>
            </w:r>
          </w:p>
        </w:tc>
        <w:tc>
          <w:tcPr>
            <w:tcW w:w="2237" w:type="dxa"/>
            <w:tcBorders>
              <w:tl2br w:val="nil"/>
              <w:tr2bl w:val="nil"/>
            </w:tcBorders>
            <w:noWrap w:val="0"/>
            <w:vAlign w:val="center"/>
          </w:tcPr>
          <w:p>
            <w:pPr>
              <w:pStyle w:val="10"/>
              <w:bidi w:val="0"/>
              <w:rPr>
                <w:rFonts w:hint="default"/>
              </w:rPr>
            </w:pPr>
            <w:r>
              <w:rPr>
                <w:rFonts w:hint="default"/>
              </w:rPr>
              <w:t>强氧化剂、卤素</w:t>
            </w:r>
          </w:p>
        </w:tc>
        <w:tc>
          <w:tcPr>
            <w:tcW w:w="2237" w:type="dxa"/>
            <w:gridSpan w:val="2"/>
            <w:tcBorders>
              <w:tl2br w:val="nil"/>
              <w:tr2bl w:val="nil"/>
            </w:tcBorders>
            <w:noWrap w:val="0"/>
            <w:vAlign w:val="center"/>
          </w:tcPr>
          <w:p>
            <w:pPr>
              <w:pStyle w:val="10"/>
              <w:bidi w:val="0"/>
              <w:rPr>
                <w:rFonts w:hint="default"/>
              </w:rPr>
            </w:pPr>
            <w:r>
              <w:rPr>
                <w:rFonts w:hint="default"/>
              </w:rPr>
              <w:t xml:space="preserve"> 聚合危害： </w:t>
            </w:r>
          </w:p>
        </w:tc>
        <w:tc>
          <w:tcPr>
            <w:tcW w:w="2238" w:type="dxa"/>
            <w:tcBorders>
              <w:tl2br w:val="nil"/>
              <w:tr2bl w:val="nil"/>
            </w:tcBorders>
            <w:noWrap w:val="0"/>
            <w:vAlign w:val="center"/>
          </w:tcPr>
          <w:p>
            <w:pPr>
              <w:pStyle w:val="10"/>
              <w:bidi w:val="0"/>
              <w:rPr>
                <w:rFonts w:hint="default"/>
              </w:rPr>
            </w:pPr>
            <w:r>
              <w:rPr>
                <w:rFonts w:hint="default"/>
              </w:rPr>
              <w:t>不聚合</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分解产物：</w:t>
            </w:r>
          </w:p>
        </w:tc>
        <w:tc>
          <w:tcPr>
            <w:tcW w:w="6712" w:type="dxa"/>
            <w:gridSpan w:val="4"/>
            <w:tcBorders>
              <w:tl2br w:val="nil"/>
              <w:tr2bl w:val="nil"/>
            </w:tcBorders>
            <w:noWrap w:val="0"/>
            <w:vAlign w:val="center"/>
          </w:tcPr>
          <w:p>
            <w:pPr>
              <w:pStyle w:val="10"/>
              <w:bidi w:val="0"/>
              <w:rPr>
                <w:rFonts w:hint="default"/>
              </w:rPr>
            </w:pPr>
            <w:r>
              <w:rPr>
                <w:rFonts w:hint="default"/>
              </w:rPr>
              <w:t>一氧化碳、二氧化碳。</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948" w:type="dxa"/>
            <w:gridSpan w:val="7"/>
            <w:tcBorders>
              <w:tl2br w:val="nil"/>
              <w:tr2bl w:val="nil"/>
            </w:tcBorders>
            <w:noWrap w:val="0"/>
            <w:vAlign w:val="center"/>
          </w:tcPr>
          <w:p>
            <w:pPr>
              <w:pStyle w:val="10"/>
              <w:bidi w:val="0"/>
              <w:rPr>
                <w:rFonts w:hint="default"/>
              </w:rPr>
            </w:pPr>
            <w:r>
              <w:rPr>
                <w:rFonts w:hint="default"/>
              </w:rPr>
              <w:t>第四部分 毒理学资料</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急性毒性：</w:t>
            </w:r>
          </w:p>
        </w:tc>
        <w:tc>
          <w:tcPr>
            <w:tcW w:w="6712" w:type="dxa"/>
            <w:gridSpan w:val="4"/>
            <w:tcBorders>
              <w:tl2br w:val="nil"/>
              <w:tr2bl w:val="nil"/>
            </w:tcBorders>
            <w:noWrap w:val="0"/>
            <w:vAlign w:val="center"/>
          </w:tcPr>
          <w:p>
            <w:pPr>
              <w:pStyle w:val="10"/>
              <w:bidi w:val="0"/>
              <w:rPr>
                <w:rFonts w:hint="default"/>
              </w:rPr>
            </w:pPr>
            <w:r>
              <w:rPr>
                <w:rFonts w:hint="default"/>
              </w:rPr>
              <w:t>大鼠经口LD50</w:t>
            </w:r>
            <w:r>
              <w:rPr>
                <w:rFonts w:hint="default"/>
                <w:lang w:eastAsia="zh-CN"/>
              </w:rPr>
              <w:t>：</w:t>
            </w:r>
            <w:r>
              <w:rPr>
                <w:rFonts w:hint="default"/>
              </w:rPr>
              <w:t>7500mg/kg。兔经皮LD :&gt;5mL/kg</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急性中毒：</w:t>
            </w:r>
          </w:p>
          <w:p>
            <w:pPr>
              <w:pStyle w:val="10"/>
              <w:bidi w:val="0"/>
              <w:rPr>
                <w:rFonts w:hint="default"/>
              </w:rPr>
            </w:pPr>
          </w:p>
        </w:tc>
        <w:tc>
          <w:tcPr>
            <w:tcW w:w="6712" w:type="dxa"/>
            <w:gridSpan w:val="4"/>
            <w:tcBorders>
              <w:tl2br w:val="nil"/>
              <w:tr2bl w:val="nil"/>
            </w:tcBorders>
            <w:noWrap w:val="0"/>
            <w:vAlign w:val="center"/>
          </w:tcPr>
          <w:p>
            <w:pPr>
              <w:pStyle w:val="10"/>
              <w:bidi w:val="0"/>
              <w:rPr>
                <w:rFonts w:hint="default"/>
              </w:rPr>
            </w:pPr>
            <w:r>
              <w:rPr>
                <w:rFonts w:hint="default"/>
              </w:rPr>
              <w:t>皮肤接触柴油可引起接触性皮炎、油性痤疮，吸入可引起吸入性肺炎，</w:t>
            </w:r>
          </w:p>
          <w:p>
            <w:pPr>
              <w:pStyle w:val="10"/>
              <w:bidi w:val="0"/>
              <w:rPr>
                <w:rFonts w:hint="default"/>
              </w:rPr>
            </w:pPr>
            <w:r>
              <w:rPr>
                <w:rFonts w:hint="default"/>
              </w:rPr>
              <w:t>能经胎盘进入胎儿血中。</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 xml:space="preserve">慢性中毒： </w:t>
            </w:r>
          </w:p>
        </w:tc>
        <w:tc>
          <w:tcPr>
            <w:tcW w:w="6712" w:type="dxa"/>
            <w:gridSpan w:val="4"/>
            <w:tcBorders>
              <w:tl2br w:val="nil"/>
              <w:tr2bl w:val="nil"/>
            </w:tcBorders>
            <w:noWrap w:val="0"/>
            <w:vAlign w:val="center"/>
          </w:tcPr>
          <w:p>
            <w:pPr>
              <w:pStyle w:val="10"/>
              <w:bidi w:val="0"/>
              <w:rPr>
                <w:rFonts w:hint="default"/>
              </w:rPr>
            </w:pPr>
            <w:r>
              <w:rPr>
                <w:rFonts w:hint="default"/>
              </w:rPr>
              <w:t>柴油废气可引起眼、鼻刺激症状，头痛。</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刺激性：</w:t>
            </w:r>
          </w:p>
        </w:tc>
        <w:tc>
          <w:tcPr>
            <w:tcW w:w="6712" w:type="dxa"/>
            <w:gridSpan w:val="4"/>
            <w:tcBorders>
              <w:tl2br w:val="nil"/>
              <w:tr2bl w:val="nil"/>
            </w:tcBorders>
            <w:noWrap w:val="0"/>
            <w:vAlign w:val="center"/>
          </w:tcPr>
          <w:p>
            <w:pPr>
              <w:pStyle w:val="10"/>
              <w:bidi w:val="0"/>
              <w:rPr>
                <w:rFonts w:hint="default"/>
              </w:rPr>
            </w:pPr>
            <w:r>
              <w:rPr>
                <w:rFonts w:hint="default"/>
              </w:rPr>
              <w:t>具有刺激作用</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236" w:type="dxa"/>
            <w:gridSpan w:val="3"/>
            <w:tcBorders>
              <w:tl2br w:val="nil"/>
              <w:tr2bl w:val="nil"/>
            </w:tcBorders>
            <w:noWrap w:val="0"/>
            <w:vAlign w:val="center"/>
          </w:tcPr>
          <w:p>
            <w:pPr>
              <w:pStyle w:val="10"/>
              <w:bidi w:val="0"/>
              <w:rPr>
                <w:rFonts w:hint="default"/>
              </w:rPr>
            </w:pPr>
            <w:r>
              <w:rPr>
                <w:rFonts w:hint="default"/>
              </w:rPr>
              <w:t>最高容许浓度</w:t>
            </w:r>
          </w:p>
        </w:tc>
        <w:tc>
          <w:tcPr>
            <w:tcW w:w="6712" w:type="dxa"/>
            <w:gridSpan w:val="4"/>
            <w:tcBorders>
              <w:tl2br w:val="nil"/>
              <w:tr2bl w:val="nil"/>
            </w:tcBorders>
            <w:noWrap w:val="0"/>
            <w:vAlign w:val="center"/>
          </w:tcPr>
          <w:p>
            <w:pPr>
              <w:pStyle w:val="10"/>
              <w:bidi w:val="0"/>
              <w:rPr>
                <w:rFonts w:hint="default"/>
              </w:rPr>
            </w:pPr>
            <w:r>
              <w:rPr>
                <w:rFonts w:hint="default"/>
              </w:rPr>
              <w:t>目前无标准</w:t>
            </w:r>
          </w:p>
        </w:tc>
      </w:tr>
    </w:tbl>
    <w:p>
      <w:pPr>
        <w:spacing w:line="520" w:lineRule="exact"/>
        <w:ind w:firstLine="0" w:firstLineChars="0"/>
        <w:jc w:val="center"/>
        <w:rPr>
          <w:rFonts w:hint="default" w:ascii="Times New Roman" w:hAnsi="Times New Roman" w:eastAsia="黑体" w:cs="Times New Roman"/>
          <w:sz w:val="24"/>
          <w:szCs w:val="21"/>
          <w:u w:val="none"/>
        </w:rPr>
      </w:pPr>
      <w:r>
        <w:rPr>
          <w:rFonts w:hint="default" w:ascii="Times New Roman" w:hAnsi="Times New Roman" w:eastAsia="黑体" w:cs="Times New Roman"/>
          <w:sz w:val="24"/>
          <w:szCs w:val="21"/>
          <w:u w:val="none"/>
        </w:rPr>
        <w:t>表</w:t>
      </w:r>
      <w:r>
        <w:rPr>
          <w:rFonts w:hint="eastAsia" w:ascii="Times New Roman" w:hAnsi="Times New Roman" w:eastAsia="黑体" w:cs="Times New Roman"/>
          <w:sz w:val="24"/>
          <w:szCs w:val="21"/>
          <w:u w:val="none"/>
          <w:lang w:val="en-US" w:eastAsia="zh-CN"/>
        </w:rPr>
        <w:t>3-4</w:t>
      </w:r>
      <w:r>
        <w:rPr>
          <w:rFonts w:hint="default" w:ascii="Times New Roman" w:hAnsi="Times New Roman" w:eastAsia="黑体" w:cs="Times New Roman"/>
          <w:sz w:val="24"/>
          <w:szCs w:val="21"/>
          <w:u w:val="none"/>
        </w:rPr>
        <w:t xml:space="preserve">  物质危险性识别结果</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3"/>
        <w:gridCol w:w="1384"/>
        <w:gridCol w:w="1439"/>
        <w:gridCol w:w="1020"/>
        <w:gridCol w:w="1957"/>
        <w:gridCol w:w="20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0"/>
              <w:bidi w:val="0"/>
              <w:rPr>
                <w:rFonts w:hint="default"/>
              </w:rPr>
            </w:pPr>
            <w:r>
              <w:rPr>
                <w:rFonts w:hint="default"/>
              </w:rPr>
              <w:t>物质识别</w:t>
            </w:r>
          </w:p>
        </w:tc>
        <w:tc>
          <w:tcPr>
            <w:tcW w:w="1384" w:type="dxa"/>
            <w:noWrap w:val="0"/>
            <w:vAlign w:val="center"/>
          </w:tcPr>
          <w:p>
            <w:pPr>
              <w:pStyle w:val="10"/>
              <w:bidi w:val="0"/>
              <w:rPr>
                <w:rFonts w:hint="default"/>
              </w:rPr>
            </w:pPr>
            <w:r>
              <w:rPr>
                <w:rFonts w:hint="default"/>
              </w:rPr>
              <w:t>LD50</w:t>
            </w:r>
          </w:p>
        </w:tc>
        <w:tc>
          <w:tcPr>
            <w:tcW w:w="1439" w:type="dxa"/>
            <w:noWrap w:val="0"/>
            <w:vAlign w:val="center"/>
          </w:tcPr>
          <w:p>
            <w:pPr>
              <w:pStyle w:val="10"/>
              <w:bidi w:val="0"/>
              <w:rPr>
                <w:rFonts w:hint="default"/>
              </w:rPr>
            </w:pPr>
            <w:r>
              <w:rPr>
                <w:rFonts w:hint="default"/>
              </w:rPr>
              <w:t>沸点</w:t>
            </w:r>
          </w:p>
        </w:tc>
        <w:tc>
          <w:tcPr>
            <w:tcW w:w="1020" w:type="dxa"/>
            <w:noWrap w:val="0"/>
            <w:vAlign w:val="center"/>
          </w:tcPr>
          <w:p>
            <w:pPr>
              <w:pStyle w:val="10"/>
              <w:bidi w:val="0"/>
              <w:rPr>
                <w:rFonts w:hint="default"/>
              </w:rPr>
            </w:pPr>
            <w:r>
              <w:rPr>
                <w:rFonts w:hint="default"/>
              </w:rPr>
              <w:t>闪点</w:t>
            </w:r>
          </w:p>
        </w:tc>
        <w:tc>
          <w:tcPr>
            <w:tcW w:w="1957" w:type="dxa"/>
            <w:noWrap w:val="0"/>
            <w:vAlign w:val="center"/>
          </w:tcPr>
          <w:p>
            <w:pPr>
              <w:pStyle w:val="10"/>
              <w:bidi w:val="0"/>
              <w:rPr>
                <w:rFonts w:hint="default"/>
              </w:rPr>
            </w:pPr>
            <w:r>
              <w:rPr>
                <w:rFonts w:hint="default"/>
              </w:rPr>
              <w:t>爆炸</w:t>
            </w:r>
          </w:p>
        </w:tc>
        <w:tc>
          <w:tcPr>
            <w:tcW w:w="2005" w:type="dxa"/>
            <w:noWrap w:val="0"/>
            <w:vAlign w:val="center"/>
          </w:tcPr>
          <w:p>
            <w:pPr>
              <w:pStyle w:val="10"/>
              <w:bidi w:val="0"/>
              <w:rPr>
                <w:rFonts w:hint="default"/>
              </w:rPr>
            </w:pPr>
            <w:r>
              <w:rPr>
                <w:rFonts w:hint="default"/>
              </w:rPr>
              <w:t>识别结果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0"/>
              <w:bidi w:val="0"/>
              <w:rPr>
                <w:rFonts w:hint="default"/>
              </w:rPr>
            </w:pPr>
            <w:r>
              <w:rPr>
                <w:rFonts w:hint="default"/>
              </w:rPr>
              <w:t>汽油</w:t>
            </w:r>
          </w:p>
        </w:tc>
        <w:tc>
          <w:tcPr>
            <w:tcW w:w="1384" w:type="dxa"/>
            <w:noWrap w:val="0"/>
            <w:vAlign w:val="center"/>
          </w:tcPr>
          <w:p>
            <w:pPr>
              <w:pStyle w:val="10"/>
              <w:bidi w:val="0"/>
              <w:rPr>
                <w:rFonts w:hint="default"/>
              </w:rPr>
            </w:pPr>
            <w:r>
              <w:rPr>
                <w:rFonts w:hint="default"/>
              </w:rPr>
              <w:t>7300</w:t>
            </w:r>
          </w:p>
        </w:tc>
        <w:tc>
          <w:tcPr>
            <w:tcW w:w="1439" w:type="dxa"/>
            <w:noWrap w:val="0"/>
            <w:vAlign w:val="center"/>
          </w:tcPr>
          <w:p>
            <w:pPr>
              <w:pStyle w:val="10"/>
              <w:bidi w:val="0"/>
              <w:rPr>
                <w:rFonts w:hint="default"/>
              </w:rPr>
            </w:pPr>
            <w:r>
              <w:rPr>
                <w:rFonts w:hint="default"/>
              </w:rPr>
              <w:t>40～200℃</w:t>
            </w:r>
          </w:p>
        </w:tc>
        <w:tc>
          <w:tcPr>
            <w:tcW w:w="1020" w:type="dxa"/>
            <w:noWrap w:val="0"/>
            <w:vAlign w:val="center"/>
          </w:tcPr>
          <w:p>
            <w:pPr>
              <w:pStyle w:val="10"/>
              <w:bidi w:val="0"/>
              <w:rPr>
                <w:rFonts w:hint="default"/>
              </w:rPr>
            </w:pPr>
            <w:r>
              <w:rPr>
                <w:rFonts w:hint="default"/>
              </w:rPr>
              <w:t>-50℃</w:t>
            </w:r>
          </w:p>
        </w:tc>
        <w:tc>
          <w:tcPr>
            <w:tcW w:w="1957" w:type="dxa"/>
            <w:noWrap w:val="0"/>
            <w:vAlign w:val="center"/>
          </w:tcPr>
          <w:p>
            <w:pPr>
              <w:pStyle w:val="10"/>
              <w:bidi w:val="0"/>
              <w:rPr>
                <w:rFonts w:hint="default"/>
              </w:rPr>
            </w:pPr>
            <w:r>
              <w:rPr>
                <w:rFonts w:hint="default"/>
              </w:rPr>
              <w:t>遇明火、高热可燃</w:t>
            </w:r>
          </w:p>
          <w:p>
            <w:pPr>
              <w:pStyle w:val="10"/>
              <w:bidi w:val="0"/>
              <w:rPr>
                <w:rFonts w:hint="default"/>
              </w:rPr>
            </w:pPr>
            <w:r>
              <w:rPr>
                <w:rFonts w:hint="default"/>
              </w:rPr>
              <w:t>烧爆炸</w:t>
            </w:r>
          </w:p>
        </w:tc>
        <w:tc>
          <w:tcPr>
            <w:tcW w:w="2005" w:type="dxa"/>
            <w:noWrap w:val="0"/>
            <w:vAlign w:val="center"/>
          </w:tcPr>
          <w:p>
            <w:pPr>
              <w:pStyle w:val="10"/>
              <w:bidi w:val="0"/>
              <w:rPr>
                <w:rFonts w:hint="default"/>
              </w:rPr>
            </w:pPr>
            <w:r>
              <w:rPr>
                <w:rFonts w:hint="default"/>
              </w:rPr>
              <w:t>低于一般毒性物质高度易燃液体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43" w:type="dxa"/>
            <w:noWrap w:val="0"/>
            <w:vAlign w:val="center"/>
          </w:tcPr>
          <w:p>
            <w:pPr>
              <w:pStyle w:val="10"/>
              <w:bidi w:val="0"/>
              <w:rPr>
                <w:rFonts w:hint="default"/>
              </w:rPr>
            </w:pPr>
            <w:r>
              <w:rPr>
                <w:rFonts w:hint="default"/>
              </w:rPr>
              <w:t>柴油</w:t>
            </w:r>
          </w:p>
        </w:tc>
        <w:tc>
          <w:tcPr>
            <w:tcW w:w="1384" w:type="dxa"/>
            <w:noWrap w:val="0"/>
            <w:vAlign w:val="center"/>
          </w:tcPr>
          <w:p>
            <w:pPr>
              <w:pStyle w:val="10"/>
              <w:bidi w:val="0"/>
              <w:rPr>
                <w:rFonts w:hint="default"/>
              </w:rPr>
            </w:pPr>
            <w:r>
              <w:rPr>
                <w:rFonts w:hint="default"/>
              </w:rPr>
              <w:t>7500（大鼠</w:t>
            </w:r>
          </w:p>
          <w:p>
            <w:pPr>
              <w:pStyle w:val="10"/>
              <w:bidi w:val="0"/>
              <w:rPr>
                <w:rFonts w:hint="default"/>
              </w:rPr>
            </w:pPr>
            <w:r>
              <w:rPr>
                <w:rFonts w:hint="default"/>
              </w:rPr>
              <w:t>经口）</w:t>
            </w:r>
          </w:p>
        </w:tc>
        <w:tc>
          <w:tcPr>
            <w:tcW w:w="1439" w:type="dxa"/>
            <w:noWrap w:val="0"/>
            <w:vAlign w:val="center"/>
          </w:tcPr>
          <w:p>
            <w:pPr>
              <w:pStyle w:val="10"/>
              <w:bidi w:val="0"/>
              <w:rPr>
                <w:rFonts w:hint="default"/>
              </w:rPr>
            </w:pPr>
            <w:r>
              <w:rPr>
                <w:rFonts w:hint="default"/>
              </w:rPr>
              <w:t>282～338℃</w:t>
            </w:r>
          </w:p>
        </w:tc>
        <w:tc>
          <w:tcPr>
            <w:tcW w:w="1020" w:type="dxa"/>
            <w:noWrap w:val="0"/>
            <w:vAlign w:val="center"/>
          </w:tcPr>
          <w:p>
            <w:pPr>
              <w:pStyle w:val="10"/>
              <w:bidi w:val="0"/>
              <w:rPr>
                <w:rFonts w:hint="default"/>
              </w:rPr>
            </w:pPr>
            <w:r>
              <w:rPr>
                <w:rFonts w:hint="default"/>
              </w:rPr>
              <w:t>45-55℃</w:t>
            </w:r>
          </w:p>
        </w:tc>
        <w:tc>
          <w:tcPr>
            <w:tcW w:w="1957" w:type="dxa"/>
            <w:noWrap w:val="0"/>
            <w:vAlign w:val="center"/>
          </w:tcPr>
          <w:p>
            <w:pPr>
              <w:pStyle w:val="10"/>
              <w:bidi w:val="0"/>
              <w:rPr>
                <w:rFonts w:hint="default"/>
              </w:rPr>
            </w:pPr>
            <w:r>
              <w:rPr>
                <w:rFonts w:hint="default"/>
              </w:rPr>
              <w:t>遇明火、高热可燃</w:t>
            </w:r>
          </w:p>
          <w:p>
            <w:pPr>
              <w:pStyle w:val="10"/>
              <w:bidi w:val="0"/>
              <w:rPr>
                <w:rFonts w:hint="default"/>
              </w:rPr>
            </w:pPr>
            <w:r>
              <w:rPr>
                <w:rFonts w:hint="default"/>
              </w:rPr>
              <w:t>烧爆炸</w:t>
            </w:r>
          </w:p>
        </w:tc>
        <w:tc>
          <w:tcPr>
            <w:tcW w:w="2005" w:type="dxa"/>
            <w:noWrap w:val="0"/>
            <w:vAlign w:val="center"/>
          </w:tcPr>
          <w:p>
            <w:pPr>
              <w:pStyle w:val="10"/>
              <w:bidi w:val="0"/>
              <w:rPr>
                <w:rFonts w:hint="default"/>
              </w:rPr>
            </w:pPr>
            <w:r>
              <w:rPr>
                <w:rFonts w:hint="default"/>
              </w:rPr>
              <w:t>低于一般毒性物质</w:t>
            </w:r>
          </w:p>
          <w:p>
            <w:pPr>
              <w:pStyle w:val="10"/>
              <w:bidi w:val="0"/>
              <w:rPr>
                <w:rFonts w:hint="default"/>
              </w:rPr>
            </w:pPr>
            <w:r>
              <w:rPr>
                <w:rFonts w:hint="default"/>
              </w:rPr>
              <w:t>属易燃液体</w:t>
            </w:r>
          </w:p>
        </w:tc>
      </w:tr>
    </w:tbl>
    <w:p>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jc w:val="both"/>
        <w:textAlignment w:val="auto"/>
        <w:outlineLvl w:val="1"/>
        <w:rPr>
          <w:rFonts w:hint="default" w:ascii="Times New Roman" w:hAnsi="Times New Roman" w:cs="Times New Roman" w:eastAsiaTheme="minorEastAsia"/>
          <w:b/>
          <w:bCs/>
          <w:sz w:val="24"/>
          <w:szCs w:val="21"/>
          <w:u w:val="none"/>
          <w:lang w:eastAsia="zh-CN"/>
        </w:rPr>
      </w:pPr>
      <w:r>
        <w:rPr>
          <w:rFonts w:hint="default" w:ascii="Times New Roman" w:hAnsi="Times New Roman" w:cs="Times New Roman" w:eastAsiaTheme="minorEastAsia"/>
          <w:b/>
          <w:bCs/>
          <w:sz w:val="24"/>
          <w:szCs w:val="21"/>
          <w:u w:val="none"/>
          <w:lang w:eastAsia="zh-CN"/>
        </w:rPr>
        <w:t>（</w:t>
      </w:r>
      <w:r>
        <w:rPr>
          <w:rFonts w:hint="default" w:ascii="Times New Roman" w:hAnsi="Times New Roman" w:cs="Times New Roman" w:eastAsiaTheme="minorEastAsia"/>
          <w:b/>
          <w:bCs/>
          <w:sz w:val="24"/>
          <w:szCs w:val="21"/>
          <w:u w:val="none"/>
          <w:lang w:val="en-US" w:eastAsia="zh-CN"/>
        </w:rPr>
        <w:t>3</w:t>
      </w:r>
      <w:r>
        <w:rPr>
          <w:rFonts w:hint="default" w:ascii="Times New Roman" w:hAnsi="Times New Roman" w:cs="Times New Roman" w:eastAsiaTheme="minorEastAsia"/>
          <w:b/>
          <w:bCs/>
          <w:sz w:val="24"/>
          <w:szCs w:val="21"/>
          <w:u w:val="none"/>
          <w:lang w:eastAsia="zh-CN"/>
        </w:rPr>
        <w:t>）</w:t>
      </w:r>
      <w:r>
        <w:rPr>
          <w:rFonts w:hint="eastAsia" w:ascii="Times New Roman" w:hAnsi="Times New Roman" w:cs="Times New Roman" w:eastAsiaTheme="minorEastAsia"/>
          <w:b/>
          <w:bCs/>
          <w:sz w:val="24"/>
          <w:szCs w:val="21"/>
          <w:u w:val="none"/>
          <w:lang w:eastAsia="zh-CN"/>
        </w:rPr>
        <w:t>风险类型</w:t>
      </w:r>
    </w:p>
    <w:p>
      <w:pPr>
        <w:spacing w:line="520" w:lineRule="exact"/>
        <w:ind w:firstLine="480" w:firstLineChars="200"/>
        <w:jc w:val="left"/>
        <w:rPr>
          <w:rFonts w:hint="eastAsia"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风险类型根据有毒有害物质放散起因， 分为火灾、 爆炸和泄漏三种类型， 项目风险识别结果见下表</w:t>
      </w:r>
      <w:r>
        <w:rPr>
          <w:rFonts w:hint="eastAsia" w:ascii="Times New Roman" w:hAnsi="Times New Roman" w:cs="Times New Roman" w:eastAsiaTheme="minorEastAsia"/>
          <w:sz w:val="24"/>
          <w:szCs w:val="21"/>
          <w:u w:val="none"/>
          <w:lang w:eastAsia="zh-CN"/>
        </w:rPr>
        <w:t>：</w:t>
      </w:r>
    </w:p>
    <w:p>
      <w:pPr>
        <w:spacing w:line="520" w:lineRule="exact"/>
        <w:ind w:firstLine="0" w:firstLineChars="0"/>
        <w:jc w:val="center"/>
        <w:rPr>
          <w:rFonts w:hint="eastAsia" w:ascii="Times New Roman" w:hAnsi="Times New Roman" w:eastAsia="黑体" w:cs="Times New Roman"/>
          <w:sz w:val="24"/>
          <w:szCs w:val="21"/>
          <w:u w:val="none"/>
          <w:lang w:eastAsia="zh-CN"/>
        </w:rPr>
      </w:pPr>
      <w:r>
        <w:rPr>
          <w:rFonts w:hint="eastAsia" w:ascii="Times New Roman" w:hAnsi="Times New Roman" w:eastAsia="黑体" w:cs="Times New Roman"/>
          <w:sz w:val="24"/>
          <w:szCs w:val="21"/>
          <w:u w:val="none"/>
          <w:lang w:eastAsia="zh-CN"/>
        </w:rPr>
        <w:t>表</w:t>
      </w:r>
      <w:r>
        <w:rPr>
          <w:rFonts w:hint="eastAsia" w:ascii="Times New Roman" w:hAnsi="Times New Roman" w:eastAsia="黑体" w:cs="Times New Roman"/>
          <w:sz w:val="24"/>
          <w:szCs w:val="21"/>
          <w:u w:val="none"/>
          <w:lang w:val="en-US" w:eastAsia="zh-CN"/>
        </w:rPr>
        <w:t xml:space="preserve">3-5   </w:t>
      </w:r>
      <w:r>
        <w:rPr>
          <w:rFonts w:hint="eastAsia" w:ascii="Times New Roman" w:hAnsi="Times New Roman" w:eastAsia="黑体" w:cs="Times New Roman"/>
          <w:sz w:val="24"/>
          <w:szCs w:val="21"/>
          <w:u w:val="none"/>
          <w:lang w:eastAsia="zh-CN"/>
        </w:rPr>
        <w:t>项目风险类型</w:t>
      </w:r>
    </w:p>
    <w:tbl>
      <w:tblPr>
        <w:tblStyle w:val="2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89"/>
        <w:gridCol w:w="1790"/>
        <w:gridCol w:w="1790"/>
        <w:gridCol w:w="17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风险范围</w:t>
            </w:r>
          </w:p>
        </w:tc>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风险装置</w:t>
            </w: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风险物质</w:t>
            </w: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物质类型</w:t>
            </w: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风险类型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储油罐</w:t>
            </w:r>
          </w:p>
        </w:tc>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油罐</w:t>
            </w: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汽油、柴油</w:t>
            </w:r>
          </w:p>
        </w:tc>
        <w:tc>
          <w:tcPr>
            <w:tcW w:w="1790" w:type="dxa"/>
            <w:vMerge w:val="restart"/>
            <w:tcBorders>
              <w:tl2br w:val="nil"/>
              <w:tr2bl w:val="nil"/>
            </w:tcBorders>
            <w:noWrap w:val="0"/>
            <w:vAlign w:val="center"/>
          </w:tcPr>
          <w:p>
            <w:pPr>
              <w:pStyle w:val="10"/>
              <w:bidi w:val="0"/>
              <w:rPr>
                <w:rFonts w:hint="default"/>
                <w:lang w:val="en-US" w:eastAsia="zh-CN"/>
              </w:rPr>
            </w:pPr>
            <w:r>
              <w:rPr>
                <w:rFonts w:hint="eastAsia"/>
                <w:lang w:val="en-US" w:eastAsia="zh-CN"/>
              </w:rPr>
              <w:t>易燃易爆，遇明火、高热可燃烧爆炸</w:t>
            </w: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泄露、爆炸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加油岛</w:t>
            </w:r>
          </w:p>
        </w:tc>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加油机</w:t>
            </w: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10"/>
              <w:bidi w:val="0"/>
              <w:rPr>
                <w:rFonts w:hint="default"/>
                <w:lang w:val="en-US" w:eastAsia="zh-CN"/>
              </w:rPr>
            </w:pP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泄露、火灾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卸油、加油作业</w:t>
            </w:r>
          </w:p>
        </w:tc>
        <w:tc>
          <w:tcPr>
            <w:tcW w:w="1789" w:type="dxa"/>
            <w:tcBorders>
              <w:tl2br w:val="nil"/>
              <w:tr2bl w:val="nil"/>
            </w:tcBorders>
            <w:noWrap w:val="0"/>
            <w:vAlign w:val="center"/>
          </w:tcPr>
          <w:p>
            <w:pPr>
              <w:pStyle w:val="10"/>
              <w:bidi w:val="0"/>
              <w:rPr>
                <w:rFonts w:hint="default"/>
                <w:lang w:val="en-US" w:eastAsia="zh-CN"/>
              </w:rPr>
            </w:pPr>
            <w:r>
              <w:rPr>
                <w:rFonts w:hint="eastAsia"/>
                <w:lang w:val="en-US" w:eastAsia="zh-CN"/>
              </w:rPr>
              <w:t>卸油、加油设施</w:t>
            </w: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汽油、柴油</w:t>
            </w:r>
          </w:p>
        </w:tc>
        <w:tc>
          <w:tcPr>
            <w:tcW w:w="1790" w:type="dxa"/>
            <w:vMerge w:val="continue"/>
            <w:tcBorders>
              <w:tl2br w:val="nil"/>
              <w:tr2bl w:val="nil"/>
            </w:tcBorders>
            <w:noWrap w:val="0"/>
            <w:vAlign w:val="center"/>
          </w:tcPr>
          <w:p>
            <w:pPr>
              <w:pStyle w:val="10"/>
              <w:bidi w:val="0"/>
              <w:rPr>
                <w:rFonts w:hint="default"/>
                <w:lang w:val="en-US" w:eastAsia="zh-CN"/>
              </w:rPr>
            </w:pPr>
          </w:p>
        </w:tc>
        <w:tc>
          <w:tcPr>
            <w:tcW w:w="1790" w:type="dxa"/>
            <w:tcBorders>
              <w:tl2br w:val="nil"/>
              <w:tr2bl w:val="nil"/>
            </w:tcBorders>
            <w:noWrap w:val="0"/>
            <w:vAlign w:val="center"/>
          </w:tcPr>
          <w:p>
            <w:pPr>
              <w:pStyle w:val="10"/>
              <w:bidi w:val="0"/>
              <w:rPr>
                <w:rFonts w:hint="default"/>
                <w:lang w:val="en-US" w:eastAsia="zh-CN"/>
              </w:rPr>
            </w:pPr>
            <w:r>
              <w:rPr>
                <w:rFonts w:hint="eastAsia"/>
                <w:lang w:val="en-US" w:eastAsia="zh-CN"/>
              </w:rPr>
              <w:t>泄露、火灾</w:t>
            </w:r>
          </w:p>
        </w:tc>
      </w:tr>
    </w:tbl>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eastAsia" w:ascii="Times New Roman" w:hAnsi="Times New Roman" w:cs="Times New Roman" w:eastAsiaTheme="minorEastAsia"/>
          <w:sz w:val="24"/>
          <w:szCs w:val="21"/>
          <w:u w:val="none"/>
          <w:lang w:eastAsia="zh-CN"/>
        </w:rPr>
        <w:t>针对火灾、 爆炸和泄漏三种风险类型， 如下依次加以辨识。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1）火灾爆炸事故原因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若要发生火灾及爆炸，必须具备下列条件：①油类泄漏或油气蒸发；②有足够的空气助燃；③油气必须与空气混和，并达到一定的浓度；④现场有明火；只有以上四个条件同时具备时，才可能发生火灾和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根据全国统计，储罐火灾及爆炸事故发生的概率远远低于3.1×10-5次/年，并随着近年来防灾技术水平的提高，呈下降趋势。</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加油站发生火灾爆炸事故主要隐患如下：</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①加油岛为各种机动车辆加油的场所。由于汽车尾气带火星、加油过满溢出、加油机漏油、加油机防爆电气故障等原因，容易引发火灾爆炸事故。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②违章用油枪往塑料桶(瓶)加油，汽油在塑料桶内流动摩擦产生静电聚集，当静电压和桶内的油蒸气达到一定值时，就会引发爆炸</w:t>
      </w:r>
      <w:r>
        <w:rPr>
          <w:rFonts w:hint="eastAsia" w:ascii="Times New Roman" w:hAnsi="Times New Roman" w:cs="Times New Roman" w:eastAsiaTheme="minorEastAsia"/>
          <w:sz w:val="24"/>
          <w:szCs w:val="21"/>
          <w:u w:val="none"/>
          <w:lang w:eastAsia="zh-CN"/>
        </w:rPr>
        <w:t>。</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③如有油气窜入站房，遇到明火，值班人员烧水、热饭和随意吸烟、乱扔烟头余烬等，会招致火灾或爆炸。</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④加油车不熄火，送油车静电没有消散，油罐车卸油连通软管导静电性能差；雷雨天往储油罐卸油或往汽车车箱加油速度过快，加油操作失误；密闭卸油接口处漏油；对明火源管理不严等，都会导致火灾、爆炸或设备损坏或人身伤亡事故。</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⑤加油站已经安装规定的防雷装置，避免雷雨天容易造成设备损坏，如果产生电火花，就容易引起火灾。</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⑥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造成人员伤亡及经济损失。</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⑦地面水进入地下油罐，使油品溢出；地下管沟未填实，使油气窜入，遇明火爆炸；地下油罐注油过量溢出；卸油时油气外逸遇明火引爆；油罐、卸油接管等处接地不良，通气管遇雷击或静电闪火引燃引爆。</w:t>
      </w:r>
    </w:p>
    <w:p>
      <w:pPr>
        <w:spacing w:line="520" w:lineRule="exact"/>
        <w:ind w:firstLine="480" w:firstLineChars="200"/>
        <w:jc w:val="both"/>
        <w:outlineLvl w:val="1"/>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2）油料泄露事故原因</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溢出的原因如下：①油罐计量仪表失灵，致使油罐加油过程中灌满溢出；②在为储罐加油过程中，由于存在气障气阻，致使油类溢出；③在加油过程中，由于接口不同，衔接不严密，致使油类溢出。</w:t>
      </w:r>
    </w:p>
    <w:p>
      <w:pPr>
        <w:spacing w:line="520" w:lineRule="exact"/>
        <w:ind w:firstLine="480" w:firstLineChars="200"/>
        <w:jc w:val="left"/>
        <w:rPr>
          <w:rFonts w:hint="default" w:ascii="Times New Roman" w:hAnsi="Times New Roman" w:cs="Times New Roman" w:eastAsiaTheme="minorEastAsia"/>
          <w:sz w:val="24"/>
          <w:szCs w:val="21"/>
          <w:u w:val="none"/>
          <w:lang w:eastAsia="zh-CN"/>
        </w:rPr>
      </w:pPr>
      <w:r>
        <w:rPr>
          <w:rFonts w:hint="default" w:ascii="Times New Roman" w:hAnsi="Times New Roman" w:cs="Times New Roman" w:eastAsiaTheme="minorEastAsia"/>
          <w:sz w:val="24"/>
          <w:szCs w:val="21"/>
          <w:u w:val="none"/>
          <w:lang w:eastAsia="zh-CN"/>
        </w:rPr>
        <w:t>储油罐可能发生泄漏的原因如下：①输油管道腐蚀致使油类泄漏；②由于施工或自然灾害而破坏输油管道；③在收发油过程中，由于操作失误，致使油类泄漏；④各个管道接口不严，致使跑、冒、滴、漏现象的发生。</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eastAsia="zh-CN"/>
        </w:rPr>
      </w:pPr>
      <w:r>
        <w:rPr>
          <w:rFonts w:hint="eastAsia" w:ascii="Times New Roman" w:hAnsi="Times New Roman" w:cs="Times New Roman" w:eastAsiaTheme="minorEastAsia"/>
          <w:b/>
          <w:bCs/>
          <w:sz w:val="28"/>
          <w:szCs w:val="22"/>
          <w:u w:val="none"/>
          <w:lang w:val="en-US" w:eastAsia="zh-CN"/>
        </w:rPr>
        <w:t>4、</w:t>
      </w:r>
      <w:r>
        <w:rPr>
          <w:rFonts w:hint="default" w:ascii="Times New Roman" w:hAnsi="Times New Roman" w:cs="Times New Roman" w:eastAsiaTheme="minorEastAsia"/>
          <w:b/>
          <w:bCs/>
          <w:sz w:val="28"/>
          <w:szCs w:val="22"/>
          <w:u w:val="none"/>
          <w:lang w:eastAsia="zh-CN"/>
        </w:rPr>
        <w:t>环境风险分析</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加油站属易燃易爆场所，如果在设计和安装存在缺陷，设备质量不过关，生产过程中发生误操作或机电设备出故障及外力因素破坏等，就有可能引发风险事故，其主要类型是汽、柴油泄露，并由此进一步引发火灾或爆炸等恶性事故</w:t>
      </w:r>
      <w:r>
        <w:rPr>
          <w:rFonts w:hint="default" w:ascii="Times New Roman" w:hAnsi="Times New Roman" w:cs="Times New Roman" w:eastAsiaTheme="minorEastAsia"/>
          <w:sz w:val="24"/>
          <w:szCs w:val="21"/>
          <w:u w:val="none"/>
        </w:rPr>
        <w:t>，</w:t>
      </w:r>
      <w:r>
        <w:rPr>
          <w:rFonts w:hint="default" w:ascii="Times New Roman" w:hAnsi="Times New Roman" w:eastAsia="TimesNewRomanPSMT" w:cs="Times New Roman"/>
          <w:sz w:val="24"/>
          <w:szCs w:val="21"/>
          <w:u w:val="none"/>
        </w:rPr>
        <w:t>造成人员伤亡及经济损失</w:t>
      </w:r>
      <w:r>
        <w:rPr>
          <w:rFonts w:hint="default" w:ascii="Times New Roman" w:hAnsi="Times New Roman" w:cs="Times New Roman" w:eastAsiaTheme="minorEastAsia"/>
          <w:sz w:val="24"/>
          <w:szCs w:val="21"/>
          <w:u w:val="none"/>
        </w:rPr>
        <w:t>。同时</w:t>
      </w:r>
      <w:r>
        <w:rPr>
          <w:rFonts w:hint="default" w:ascii="Times New Roman" w:hAnsi="Times New Roman" w:cs="Times New Roman" w:eastAsiaTheme="minorEastAsia"/>
          <w:sz w:val="24"/>
          <w:szCs w:val="24"/>
          <w:u w:val="none"/>
        </w:rPr>
        <w:t>加油站发生爆炸事故时，将会产生硫化物、CO及建筑物燃烧引起的粉尘等污染物将对周围大气环境造成污染及地下水和附近地表水的污染；油罐清洗和油品贮存过程中出现泄露对地下水</w:t>
      </w:r>
      <w:r>
        <w:rPr>
          <w:rFonts w:hint="eastAsia" w:ascii="Times New Roman" w:hAnsi="Times New Roman" w:cs="Times New Roman" w:eastAsiaTheme="minorEastAsia"/>
          <w:sz w:val="24"/>
          <w:szCs w:val="24"/>
          <w:u w:val="none"/>
          <w:lang w:eastAsia="zh-CN"/>
        </w:rPr>
        <w:t>、土壤</w:t>
      </w:r>
      <w:r>
        <w:rPr>
          <w:rFonts w:hint="default" w:ascii="Times New Roman" w:hAnsi="Times New Roman" w:cs="Times New Roman" w:eastAsiaTheme="minorEastAsia"/>
          <w:sz w:val="24"/>
          <w:szCs w:val="24"/>
          <w:u w:val="none"/>
        </w:rPr>
        <w:t>的影响。</w:t>
      </w:r>
      <w:r>
        <w:rPr>
          <w:rFonts w:hint="default" w:ascii="Times New Roman" w:hAnsi="Times New Roman" w:cs="Times New Roman" w:eastAsiaTheme="minorEastAsia"/>
          <w:sz w:val="24"/>
          <w:szCs w:val="21"/>
          <w:u w:val="none"/>
        </w:rPr>
        <w:t xml:space="preserve"> </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①火灾、爆炸事故对环境的影响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加油站属一级防火单位，储油罐的燃烧或爆炸引起的后果相当严重，不但会造成人员伤亡和财产损失，大量成品油的泄漏和燃烧，也将给大气环境、地表水及土壤环境造成严重污染，尤其是对地表水和土壤的污染影响将是一个相当长的时间，被污染的水体和土壤中的各种生物及植物将全部死亡，被污染的水体和土壤得到完全净化，恢复其原有的功能，需要十几年甚至上百年的时间。</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若项目油品泄漏并引发火灾及爆炸事故，由于汽（柴）油为易燃液体，发生火灾爆炸时燃烧较充分，主要燃烧产物为CO</w:t>
      </w:r>
      <w:r>
        <w:rPr>
          <w:rFonts w:hint="default" w:ascii="Times New Roman" w:hAnsi="Times New Roman" w:eastAsia="TimesNewRomanPSMT" w:cs="Times New Roman"/>
          <w:sz w:val="24"/>
          <w:szCs w:val="21"/>
          <w:u w:val="none"/>
          <w:vertAlign w:val="subscript"/>
          <w:lang w:eastAsia="zh-CN"/>
        </w:rPr>
        <w:t>2</w:t>
      </w:r>
      <w:r>
        <w:rPr>
          <w:rFonts w:hint="default" w:ascii="Times New Roman" w:hAnsi="Times New Roman" w:eastAsia="TimesNewRomanPSMT" w:cs="Times New Roman"/>
          <w:sz w:val="24"/>
          <w:szCs w:val="21"/>
          <w:u w:val="none"/>
          <w:lang w:eastAsia="zh-CN"/>
        </w:rPr>
        <w:t>，在燃烧不充分时产生一定量的CO。根据调查，燃烧过程产生的CO量不会超过10%。由于火灾及爆炸在开放的空间发生，即便产生CO，也会快速扩散，不会造成人员中毒事故。因此，项目若发生火灾及爆炸事故，在短时间内对项目基地人员与财产将产生影响，但对周边居民影响较小。</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②泄漏事故对环境的影响</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泄漏或渗漏的成品油一旦进入地表河流，将造成地表河流的污染，影响范围小到几公里大到几十公里。污染首先将造成地表河流的景观破坏，产生严重的刺鼻气味；其次，由于有机烃类物质难溶于水，大部分上浮在水层表面，形成一层油膜使空气与水隔离，造成水中溶解氧浓度降低，逐渐形成死水，致使水中生物死亡。</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另外，储油罐的泄漏或渗漏对地下水的污染较为严重，地下水一旦遭到成品油的污染，将使地下水产生严重异味，并具有较强的致畸致癌性，无法饮用。又由于这种渗漏必然穿过较厚的土壤层，使土壤层中吸附了大量的燃料油，土壤层吸附的燃料油不仅会造成植物生物的死亡，而且还会随着地表水的下渗对土壤层的冲刷作用补充到地下水</w:t>
      </w:r>
      <w:r>
        <w:rPr>
          <w:rFonts w:hint="eastAsia" w:ascii="Times New Roman" w:hAnsi="Times New Roman" w:eastAsia="TimesNewRomanPSMT" w:cs="Times New Roman"/>
          <w:sz w:val="24"/>
          <w:szCs w:val="21"/>
          <w:u w:val="none"/>
          <w:lang w:eastAsia="zh-CN"/>
        </w:rPr>
        <w:t>，对地下水和土壤造成严重污染</w:t>
      </w:r>
      <w:r>
        <w:rPr>
          <w:rFonts w:hint="default" w:ascii="Times New Roman" w:hAnsi="Times New Roman" w:eastAsia="TimesNewRomanPSMT" w:cs="Times New Roman"/>
          <w:sz w:val="24"/>
          <w:szCs w:val="21"/>
          <w:u w:val="none"/>
          <w:lang w:eastAsia="zh-CN"/>
        </w:rPr>
        <w:t>。</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5、</w:t>
      </w:r>
      <w:r>
        <w:rPr>
          <w:rFonts w:hint="default" w:ascii="Times New Roman" w:hAnsi="Times New Roman" w:cs="Times New Roman" w:eastAsiaTheme="minorEastAsia"/>
          <w:b/>
          <w:bCs/>
          <w:sz w:val="28"/>
          <w:szCs w:val="22"/>
          <w:u w:val="none"/>
          <w:lang w:val="en-US" w:eastAsia="zh-CN"/>
        </w:rPr>
        <w:t>环境风险防范措施及应急要求</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5.1</w:t>
      </w:r>
      <w:r>
        <w:rPr>
          <w:rFonts w:hint="default" w:ascii="Times New Roman" w:hAnsi="Times New Roman" w:eastAsia="TimesNewRomanPSMT" w:cs="Times New Roman"/>
          <w:b/>
          <w:bCs/>
          <w:sz w:val="24"/>
          <w:szCs w:val="21"/>
          <w:u w:val="none"/>
          <w:lang w:eastAsia="zh-CN"/>
        </w:rPr>
        <w:t xml:space="preserve"> 环境风险防范措施</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eastAsia="zh-CN"/>
        </w:rPr>
        <w:t>.1.1</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eastAsia="zh-CN"/>
        </w:rPr>
        <w:t>选址、总图布置和建筑安全防范措施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eastAsia"/>
          <w:lang w:eastAsia="zh-CN"/>
        </w:rPr>
        <w:t>鲁山县郑石高速石人山服务区西侧</w:t>
      </w:r>
      <w:r>
        <w:rPr>
          <w:rFonts w:hint="default" w:ascii="Times New Roman" w:hAnsi="Times New Roman" w:eastAsia="TimesNewRomanPSMT" w:cs="Times New Roman"/>
          <w:sz w:val="24"/>
          <w:szCs w:val="21"/>
          <w:u w:val="none"/>
          <w:lang w:eastAsia="zh-CN"/>
        </w:rPr>
        <w:t>，</w:t>
      </w:r>
      <w:r>
        <w:rPr>
          <w:rFonts w:hint="eastAsia" w:ascii="Times New Roman" w:hAnsi="Times New Roman" w:eastAsia="宋体" w:cs="Times New Roman"/>
          <w:szCs w:val="24"/>
          <w:u w:val="none"/>
        </w:rPr>
        <w:t>北侧、南侧、东侧均为</w:t>
      </w:r>
      <w:r>
        <w:rPr>
          <w:rFonts w:hint="eastAsia" w:ascii="Times New Roman" w:hAnsi="Times New Roman" w:cs="Times New Roman"/>
          <w:szCs w:val="24"/>
          <w:u w:val="none"/>
          <w:lang w:eastAsia="zh-CN"/>
        </w:rPr>
        <w:t>服务区空地</w:t>
      </w:r>
      <w:r>
        <w:rPr>
          <w:rFonts w:hint="eastAsia" w:ascii="Times New Roman" w:hAnsi="Times New Roman" w:eastAsia="宋体" w:cs="Times New Roman"/>
          <w:szCs w:val="24"/>
          <w:u w:val="none"/>
          <w:lang w:eastAsia="zh-CN"/>
        </w:rPr>
        <w:t>，西侧为</w:t>
      </w:r>
      <w:r>
        <w:rPr>
          <w:rFonts w:hint="eastAsia" w:ascii="Times New Roman" w:hAnsi="Times New Roman" w:cs="Times New Roman"/>
          <w:szCs w:val="24"/>
          <w:u w:val="none"/>
          <w:lang w:val="en-US" w:eastAsia="zh-CN"/>
        </w:rPr>
        <w:t>许平南高速</w:t>
      </w:r>
      <w:r>
        <w:rPr>
          <w:rFonts w:hint="eastAsia" w:ascii="Times New Roman" w:hAnsi="Times New Roman" w:eastAsiaTheme="minorEastAsia" w:cstheme="minorBidi"/>
          <w:sz w:val="24"/>
          <w:szCs w:val="24"/>
          <w:u w:val="none"/>
        </w:rPr>
        <w:t>，距离项目最近的村庄为项目</w:t>
      </w:r>
      <w:r>
        <w:rPr>
          <w:rFonts w:hint="eastAsia" w:ascii="Times New Roman" w:hAnsi="Times New Roman" w:eastAsiaTheme="minorEastAsia" w:cstheme="minorBidi"/>
          <w:sz w:val="24"/>
          <w:szCs w:val="24"/>
          <w:u w:val="none"/>
          <w:lang w:eastAsia="zh-CN"/>
        </w:rPr>
        <w:t>南</w:t>
      </w:r>
      <w:r>
        <w:rPr>
          <w:rFonts w:hint="eastAsia" w:ascii="Times New Roman" w:hAnsi="Times New Roman" w:eastAsiaTheme="minorEastAsia" w:cstheme="minorBidi"/>
          <w:sz w:val="24"/>
          <w:szCs w:val="24"/>
          <w:u w:val="none"/>
        </w:rPr>
        <w:t>侧</w:t>
      </w:r>
      <w:r>
        <w:rPr>
          <w:rFonts w:hint="eastAsia" w:ascii="Times New Roman" w:hAnsi="Times New Roman" w:eastAsiaTheme="minorEastAsia" w:cstheme="minorBidi"/>
          <w:sz w:val="24"/>
          <w:szCs w:val="24"/>
          <w:u w:val="none"/>
          <w:lang w:val="en-US" w:eastAsia="zh-CN"/>
        </w:rPr>
        <w:t>804米郝庄村、887米魏庄村</w:t>
      </w:r>
      <w:r>
        <w:rPr>
          <w:rFonts w:hint="default" w:ascii="Times New Roman" w:hAnsi="Times New Roman" w:eastAsia="TimesNewRomanPSMT" w:cs="Times New Roman"/>
          <w:sz w:val="24"/>
          <w:szCs w:val="21"/>
          <w:u w:val="none"/>
          <w:lang w:eastAsia="zh-CN"/>
        </w:rPr>
        <w:t>。主要建设加油站站房、罩棚、储罐区、加油岛以及围墙等附属设施。</w:t>
      </w:r>
    </w:p>
    <w:p>
      <w:pPr>
        <w:spacing w:line="520" w:lineRule="exact"/>
        <w:ind w:firstLine="480" w:firstLineChars="200"/>
        <w:jc w:val="left"/>
        <w:rPr>
          <w:rFonts w:hint="default" w:ascii="Times New Roman" w:hAnsi="Times New Roman" w:eastAsia="TimesNewRomanPSMT" w:cs="Times New Roman"/>
          <w:sz w:val="24"/>
          <w:szCs w:val="21"/>
          <w:u w:val="none"/>
          <w:lang w:eastAsia="zh-CN"/>
        </w:rPr>
      </w:pPr>
      <w:r>
        <w:rPr>
          <w:rFonts w:hint="default" w:ascii="Times New Roman" w:hAnsi="Times New Roman" w:eastAsia="TimesNewRomanPSMT" w:cs="Times New Roman"/>
          <w:sz w:val="24"/>
          <w:szCs w:val="21"/>
          <w:u w:val="none"/>
          <w:lang w:eastAsia="zh-CN"/>
        </w:rPr>
        <w:t>项目为</w:t>
      </w:r>
      <w:r>
        <w:rPr>
          <w:rFonts w:hint="eastAsia" w:ascii="Times New Roman" w:hAnsi="Times New Roman" w:eastAsia="TimesNewRomanPSMT" w:cs="Times New Roman"/>
          <w:sz w:val="24"/>
          <w:szCs w:val="21"/>
          <w:u w:val="none"/>
          <w:lang w:eastAsia="zh-CN"/>
        </w:rPr>
        <w:t>一</w:t>
      </w:r>
      <w:r>
        <w:rPr>
          <w:rFonts w:hint="default" w:ascii="Times New Roman" w:hAnsi="Times New Roman" w:eastAsia="TimesNewRomanPSMT" w:cs="Times New Roman"/>
          <w:sz w:val="24"/>
          <w:szCs w:val="21"/>
          <w:u w:val="none"/>
          <w:lang w:eastAsia="zh-CN"/>
        </w:rPr>
        <w:t>级加油站，项目的设计、建设严格执行《汽车加油加气站设计与施工规范》（GB 50156-2012），项目的选址、汽（柴）油设备与站外建（构）筑物的安全间距、项目站区总平面布置均符合规范要求。</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.1.2</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危险化学品贮运安全防范措施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根据《建设项目环境风险评价技术导则》（HJ 169-20</w:t>
      </w:r>
      <w:r>
        <w:rPr>
          <w:rFonts w:hint="eastAsia" w:ascii="Times New Roman" w:hAnsi="Times New Roman" w:eastAsia="TimesNewRomanPSMT" w:cs="Times New Roman"/>
          <w:sz w:val="24"/>
          <w:szCs w:val="21"/>
          <w:u w:val="none"/>
          <w:lang w:val="en-US" w:eastAsia="zh-CN"/>
        </w:rPr>
        <w:t>18</w:t>
      </w:r>
      <w:r>
        <w:rPr>
          <w:rFonts w:hint="default" w:ascii="Times New Roman" w:hAnsi="Times New Roman" w:eastAsia="TimesNewRomanPSMT" w:cs="Times New Roman"/>
          <w:sz w:val="24"/>
          <w:szCs w:val="21"/>
          <w:u w:val="none"/>
          <w:lang w:val="en-US" w:eastAsia="zh-CN"/>
        </w:rPr>
        <w:t>）及《危险化学品重大危险源辨识》（GB 18218-2009）的规定，项目不属于重大危险源。根据《汽车加油加气站设计与施工规范》（GB 50156-2012），针对项目危险化学品贮运，建设单位应认真落实如下安全防范措施。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（1）储罐区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加油站的汽油罐和柴油罐应埋地设置，严禁设在室内或地下室内。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汽车加油站的储油罐，应采用卧式油罐。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埋地油罐需要采用双层油罐时，可采用双层钢制油罐、双层玻璃纤维增强塑料油罐、内钢外玻璃纤维增强塑料双层油罐。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双层玻璃纤维增强塑料油罐的内、外层壁厚，以及内钢外玻璃纤维增强塑料双层油罐的外层壁厚，均不应小于4mm。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与罐内油品直接接触的玻璃纤维增强塑料等非金属层，应满足消除油品静电荷的要求，其表面电阻率应小于10</w:t>
      </w:r>
      <w:r>
        <w:rPr>
          <w:rFonts w:hint="default" w:ascii="Times New Roman" w:hAnsi="Times New Roman" w:eastAsia="TimesNewRomanPSMT" w:cs="Times New Roman"/>
          <w:sz w:val="24"/>
          <w:szCs w:val="21"/>
          <w:u w:val="none"/>
          <w:vertAlign w:val="superscript"/>
          <w:lang w:val="en-US" w:eastAsia="zh-CN"/>
        </w:rPr>
        <w:t>9</w:t>
      </w:r>
      <w:r>
        <w:rPr>
          <w:rFonts w:hint="default" w:ascii="Times New Roman" w:hAnsi="Times New Roman" w:eastAsia="TimesNewRomanPSMT" w:cs="Times New Roman"/>
          <w:sz w:val="24"/>
          <w:szCs w:val="21"/>
          <w:u w:val="none"/>
          <w:lang w:val="en-US" w:eastAsia="zh-CN"/>
        </w:rPr>
        <w:t xml:space="preserve"> Ω；当表面电阻率不能满足小于10 9Ω的要求时，应在罐内安装能够消除油品静电电荷的物体。</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双层油罐内壁与外壁之间应有满足渗漏检测要求的贯通间隙。</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⑦ 双层钢制油罐、内钢外玻璃纤维增强塑料双层油罐和玻璃纤维增强塑料等非金属防渗衬里的双层油罐，应设渗漏检测立管，并应符合相关规定。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⑧ 油罐应采用钢制人孔盖。</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⑨ 埋地油罐的人孔应设操作井。设在行车道下面的人孔井应采用加油站车行道下专用的密闭井盖和井座。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⑩ 油罐应采取卸油时的防满溢措施。油料达到油罐容量90%时，应能触动高液位报警装置；油料达到油罐容量95%时，应能自动停止油料继续进罐。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both"/>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11</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28"/>
          <w:szCs w:val="22"/>
          <w:u w:val="none"/>
          <w:lang w:val="en-US" w:eastAsia="zh-CN"/>
        </w:rPr>
        <w:t xml:space="preserve"> </w:t>
      </w:r>
      <w:r>
        <w:rPr>
          <w:rFonts w:hint="default" w:ascii="Times New Roman" w:hAnsi="Times New Roman" w:eastAsia="TimesNewRomanPSMT" w:cs="Times New Roman"/>
          <w:sz w:val="24"/>
          <w:szCs w:val="21"/>
          <w:u w:val="none"/>
          <w:lang w:val="en-US" w:eastAsia="zh-CN"/>
        </w:rPr>
        <w:t>设有油气回收系统的加油加气站，其站内油罐应设带有高液位报警功能的液位监测系统。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150"/>
        <w:jc w:val="left"/>
        <w:textAlignment w:val="auto"/>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32"/>
          <w:szCs w:val="24"/>
          <w:u w:val="none"/>
          <w:lang w:val="en-US" w:eastAsia="zh-CN"/>
        </w:rPr>
        <w:fldChar w:fldCharType="begin"/>
      </w:r>
      <w:r>
        <w:rPr>
          <w:rFonts w:hint="default" w:ascii="Times New Roman" w:hAnsi="Times New Roman" w:eastAsia="TimesNewRomanPSMT" w:cs="Times New Roman"/>
          <w:sz w:val="32"/>
          <w:szCs w:val="24"/>
          <w:u w:val="none"/>
          <w:lang w:val="en-US" w:eastAsia="zh-CN"/>
        </w:rPr>
        <w:instrText xml:space="preserve"> EQ \o\ac(</w:instrText>
      </w:r>
      <w:r>
        <w:rPr>
          <w:rFonts w:hint="default" w:ascii="Times New Roman" w:hAnsi="Times New Roman" w:eastAsia="TimesNewRomanPSMT" w:cs="Times New Roman"/>
          <w:kern w:val="2"/>
          <w:position w:val="-6"/>
          <w:sz w:val="48"/>
          <w:szCs w:val="24"/>
          <w:u w:val="none"/>
          <w:lang w:val="en-US" w:eastAsia="zh-CN" w:bidi="ar-SA"/>
        </w:rPr>
        <w:instrText xml:space="preserve">○</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kern w:val="2"/>
          <w:position w:val="0"/>
          <w:sz w:val="20"/>
          <w:szCs w:val="24"/>
          <w:u w:val="none"/>
          <w:lang w:val="en-US" w:eastAsia="zh-CN" w:bidi="ar-SA"/>
        </w:rPr>
        <w:instrText xml:space="preserve">12</w:instrText>
      </w:r>
      <w:r>
        <w:rPr>
          <w:rFonts w:hint="default" w:ascii="Times New Roman" w:hAnsi="Times New Roman" w:eastAsia="TimesNewRomanPSMT" w:cs="Times New Roman"/>
          <w:position w:val="0"/>
          <w:sz w:val="32"/>
          <w:szCs w:val="24"/>
          <w:u w:val="none"/>
          <w:lang w:val="en-US" w:eastAsia="zh-CN"/>
        </w:rPr>
        <w:instrText xml:space="preserve">)</w:instrText>
      </w:r>
      <w:r>
        <w:rPr>
          <w:rFonts w:hint="default" w:ascii="Times New Roman" w:hAnsi="Times New Roman" w:eastAsia="TimesNewRomanPSMT" w:cs="Times New Roman"/>
          <w:sz w:val="32"/>
          <w:szCs w:val="24"/>
          <w:u w:val="none"/>
          <w:lang w:val="en-US" w:eastAsia="zh-CN"/>
        </w:rPr>
        <w:fldChar w:fldCharType="end"/>
      </w:r>
      <w:r>
        <w:rPr>
          <w:rFonts w:hint="default" w:ascii="Times New Roman" w:hAnsi="Times New Roman" w:eastAsia="TimesNewRomanPSMT" w:cs="Times New Roman"/>
          <w:sz w:val="32"/>
          <w:szCs w:val="24"/>
          <w:u w:val="none"/>
          <w:lang w:val="en-US" w:eastAsia="zh-CN"/>
        </w:rPr>
        <w:t xml:space="preserve"> </w:t>
      </w:r>
      <w:r>
        <w:rPr>
          <w:rFonts w:hint="default" w:ascii="Times New Roman" w:hAnsi="Times New Roman" w:eastAsia="TimesNewRomanPSMT" w:cs="Times New Roman"/>
          <w:sz w:val="24"/>
          <w:szCs w:val="21"/>
          <w:u w:val="none"/>
          <w:lang w:val="en-US" w:eastAsia="zh-CN"/>
        </w:rPr>
        <w:t>与土壤接触的钢制油罐外表面，其防腐设计应符合现行行业标准《石油化工设备和管道涂料防腐蚀技术规范》（SH 3022）的有关规定，且防腐等级不应低于加强级。</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（2）加油机</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加油机不得设在室内。</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加油枪应采用自封式加油枪，汽油加油枪的流量不应大于50L/min。</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 加油软管上宜设安全拉断阀。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 以正压（潜油泵）供油的加油机，其底部的供油管道上应设剪切阀，当加油机被撞或起火时，剪切阀应能自动关闭。</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 采用一机多油品的加油机时，加油机上的放枪位应有各油品的文字标识，加油枪应有颜色标识。</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 位于加油岛端部的加油机附近应设防撞柱(栏)，其高度不应小于0.5m。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 项目采用双层油罐；</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 装有潜油泵的油罐人孔操作井、卸油口井、加油机底槽等可能发生油品渗漏的部位，也应采取相应的防渗措施；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③埋地加油管道应采用双层管道。双层管道的设计，应符合规范规定；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④双层油罐的渗漏检测宜采用在线监测系统。采用液体传感器监测时，传感器的检</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测精度不应大于3.5mm。</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（4）防腐措施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①加油站设备的防腐蚀施工，应符合现行行业标准《石油化工设备和管道涂料防腐蚀技术规范》（SH 3022）、现行国家标准《钢质管道外腐蚀控制规范》（GB/T 21447）的有关规定。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②当环境温度低于5</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℃、相对湿度大于80%</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或在雨、雪环境中，未采取可靠措施，不得进行防腐作业。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③进行防腐蚀施工时，严禁在站内距作业点18.5m范围内进行有明火或电火花的作业。</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④设备和管道的绝热应符合现行国家标准《工业设备及管道绝热工程施工规范》（GB 50126）的有关规定。</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.1.3</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工艺技术设计安全防范措施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项目营运期主要从事汽油、柴油等机动车燃油零售，采用的工艺流程是常规的自吸流程，成品油罐来油先卸到储油罐中，加油机自带的潜油泵将油品由储油罐中吸到加油机中，经泵提升加压后给汽车加油，每个加油枪设单独管线吸油。该工艺技术成熟，员工经培训后能熟练进行作业，安全系数高。此外，项目配备有电气、紧急切断系统，主要如下所示。</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（1）供配电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①加油站的供电负荷等级可为三级，信息系统应设不间断供电电源。</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②加油站的电力线路宜采用电缆并直埋敷设。电缆穿越行车道部分，应穿钢管保护。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③当采用电缆沟敷设电缆时，加油作业区内的电缆沟内必须充沙填实。电缆不得与油品管道以及热力管道敷设在同一沟内。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④爆炸危险区域内的电气设备选型、安装、电力线路敷设等，应符合现行国家标准《爆炸和火灾危险环境电力装置设计规范》（GB 50058）的有关规定。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⑤加油站内爆炸危险区域以外的照明灯具，可选用非防爆型。罩棚下处于非爆炸危险区域的灯具，应选用防护等级不低于IP44级的照明灯具。</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（2）防雷、防静电</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①钢制油罐组必须进行防雷接地，接地点不应少于2处。</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②防雷接地、防静电接地、电气设备的工作接地、保护接地及信息系统的接地等，宜共用接地装置，其接地电阻应按其中接地电阻值要求最小的接地电阻值确定。</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③埋地钢制油罐以及非金属油罐顶部的金属部件和罐内的各金属部件，应与非埋地部分的工艺金属管道相互做电气连接并接地。</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④当加油站内的站房和罩棚等建筑物需要防直击雷时，应采用避雷带（网）保护。</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⑤加油站的汽油罐车组的卸气场地，应设卸车或卸气时用的防静电接地装置，并应设置能检测跨接线及监视接地装置状态的静电接地仪。</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⑥油罐车卸油用的卸油软管、油气回收软管与两端快速接头，应保证可靠的电气连接。</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（3）紧急切断系统</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①加油站应设置紧急切断系统，该系统应能在事故状态下迅速切断加油泵的电源和关闭重要的管道阀门。紧急切断系统应具有失效保护功能。</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②加油泵的电源，应能由手动启动的远程控制切断系统操纵关闭。</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③紧急切断系统应至少在下列位置设置启动开关：a.</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距加气站卸车点5m以内；b.</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在加油加气现场工作人员容易接近的位置；c.</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在控制室或值班室内。</w:t>
      </w:r>
    </w:p>
    <w:p>
      <w:pPr>
        <w:spacing w:line="520" w:lineRule="exact"/>
        <w:ind w:firstLine="480" w:firstLineChars="200"/>
        <w:jc w:val="left"/>
        <w:outlineLvl w:val="9"/>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④紧急切断系统应只能手动复位。</w:t>
      </w:r>
    </w:p>
    <w:p>
      <w:pPr>
        <w:spacing w:line="520" w:lineRule="exact"/>
        <w:ind w:firstLine="480" w:firstLineChars="200"/>
        <w:jc w:val="left"/>
        <w:outlineLvl w:val="2"/>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w:t>
      </w:r>
      <w:r>
        <w:rPr>
          <w:rFonts w:hint="default" w:ascii="Times New Roman" w:hAnsi="Times New Roman" w:eastAsia="TimesNewRomanPSMT" w:cs="Times New Roman"/>
          <w:b/>
          <w:bCs/>
          <w:sz w:val="24"/>
          <w:szCs w:val="21"/>
          <w:u w:val="none"/>
          <w:lang w:val="en-US" w:eastAsia="zh-CN"/>
        </w:rPr>
        <w:t>.1.4</w:t>
      </w:r>
      <w:r>
        <w:rPr>
          <w:rFonts w:hint="eastAsia" w:ascii="Times New Roman" w:hAnsi="Times New Roman" w:eastAsia="TimesNewRomanPSMT" w:cs="Times New Roman"/>
          <w:b/>
          <w:bCs/>
          <w:sz w:val="24"/>
          <w:szCs w:val="21"/>
          <w:u w:val="none"/>
          <w:lang w:val="en-US" w:eastAsia="zh-CN"/>
        </w:rPr>
        <w:t xml:space="preserve"> </w:t>
      </w:r>
      <w:r>
        <w:rPr>
          <w:rFonts w:hint="default" w:ascii="Times New Roman" w:hAnsi="Times New Roman" w:eastAsia="TimesNewRomanPSMT" w:cs="Times New Roman"/>
          <w:b/>
          <w:bCs/>
          <w:sz w:val="24"/>
          <w:szCs w:val="21"/>
          <w:u w:val="none"/>
          <w:lang w:val="en-US" w:eastAsia="zh-CN"/>
        </w:rPr>
        <w:t>消防及火灾报警系统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根据《汽车加油加气站设计与施工规范》（GB 50156-2012），建设单位应认真落实如下消防设施。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（1）灭火器材配置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每2台加油机应配置不少于2具4</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kg手提式干粉灭火器，或1具4kg手提式干粉灭火器和1具6</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L泡沫灭火器。加油机不足2台应按2台配置。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地下储罐应配置</w:t>
      </w:r>
      <w:r>
        <w:rPr>
          <w:rFonts w:hint="eastAsia" w:ascii="Times New Roman" w:hAnsi="Times New Roman" w:eastAsia="TimesNewRomanPSMT" w:cs="Times New Roman"/>
          <w:sz w:val="24"/>
          <w:szCs w:val="21"/>
          <w:u w:val="none"/>
          <w:lang w:val="en-US" w:eastAsia="zh-CN"/>
        </w:rPr>
        <w:t>2</w:t>
      </w:r>
      <w:r>
        <w:rPr>
          <w:rFonts w:hint="default" w:ascii="Times New Roman" w:hAnsi="Times New Roman" w:eastAsia="TimesNewRomanPSMT" w:cs="Times New Roman"/>
          <w:sz w:val="24"/>
          <w:szCs w:val="21"/>
          <w:u w:val="none"/>
          <w:lang w:val="en-US" w:eastAsia="zh-CN"/>
        </w:rPr>
        <w:t>台不小于35kg推车式干粉灭火器。当两种介质储罐之间的距离超过15m时，应分别配置。</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（2）消防给水</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加油站可不设消防给水系统。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（3）给排水系统</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①</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lang w:val="en-US" w:eastAsia="zh-CN"/>
        </w:rPr>
        <w:t>清洗油罐的污水应集中收集处理，不应直接进入排水管道。</w:t>
      </w:r>
    </w:p>
    <w:p>
      <w:pPr>
        <w:spacing w:line="520" w:lineRule="exact"/>
        <w:ind w:firstLine="480" w:firstLineChars="200"/>
        <w:jc w:val="left"/>
        <w:rPr>
          <w:rFonts w:hint="default" w:ascii="Times New Roman" w:hAnsi="Times New Roman" w:eastAsia="宋体" w:cs="Times New Roman"/>
          <w:kern w:val="2"/>
          <w:sz w:val="24"/>
          <w:szCs w:val="24"/>
          <w:u w:val="none"/>
          <w:lang w:val="en-US" w:eastAsia="zh-CN" w:bidi="ar-SA"/>
        </w:rPr>
      </w:pPr>
      <w:r>
        <w:rPr>
          <w:rFonts w:hint="default" w:ascii="Times New Roman" w:hAnsi="Times New Roman" w:eastAsia="TimesNewRomanPSMT" w:cs="Times New Roman"/>
          <w:sz w:val="24"/>
          <w:szCs w:val="21"/>
          <w:u w:val="none"/>
          <w:lang w:val="en-US" w:eastAsia="zh-CN"/>
        </w:rPr>
        <w:t>②加油站不应采用暗沟排水。</w:t>
      </w:r>
    </w:p>
    <w:p>
      <w:pPr>
        <w:spacing w:line="520" w:lineRule="exact"/>
        <w:ind w:firstLine="480" w:firstLineChars="200"/>
        <w:jc w:val="left"/>
        <w:outlineLvl w:val="1"/>
        <w:rPr>
          <w:rFonts w:hint="default" w:ascii="Times New Roman" w:hAnsi="Times New Roman" w:eastAsia="TimesNewRomanPSMT" w:cs="Times New Roman"/>
          <w:b/>
          <w:bCs/>
          <w:sz w:val="24"/>
          <w:szCs w:val="21"/>
          <w:u w:val="none"/>
          <w:lang w:val="en-US" w:eastAsia="zh-CN"/>
        </w:rPr>
      </w:pPr>
      <w:r>
        <w:rPr>
          <w:rFonts w:hint="eastAsia" w:ascii="Times New Roman" w:hAnsi="Times New Roman" w:eastAsia="TimesNewRomanPSMT" w:cs="Times New Roman"/>
          <w:b/>
          <w:bCs/>
          <w:sz w:val="24"/>
          <w:szCs w:val="21"/>
          <w:u w:val="none"/>
          <w:lang w:val="en-US" w:eastAsia="zh-CN"/>
        </w:rPr>
        <w:t>5.2</w:t>
      </w:r>
      <w:r>
        <w:rPr>
          <w:rFonts w:hint="default" w:ascii="Times New Roman" w:hAnsi="Times New Roman" w:eastAsia="TimesNewRomanPSMT" w:cs="Times New Roman"/>
          <w:b/>
          <w:bCs/>
          <w:sz w:val="24"/>
          <w:szCs w:val="21"/>
          <w:u w:val="none"/>
          <w:lang w:val="en-US" w:eastAsia="zh-CN"/>
        </w:rPr>
        <w:t>突发环境事件应急预案</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小量泄漏事故，主要造成厂区局部污染。一般来说易于控制，可立即关闭阀门与相关管罐，并采取通风、高空排放等方式处理，使泄漏的油气快速稀释或扩散，防止人员中毒与爆炸、火灾等事故的发生。一旦油气大量泄漏，不易控制，或则遇到强静电、雷击与剧烈的碰撞等，大量油气可能将迅速进入大气环境中造成污染，并可能产生人员中毒，甚至引发爆炸、火灾等。此类污染事故影响的程度和范围不仅仅取决于排放量，还同当时的气象条件密切相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油气既具有易燃性和可燃性，又均具有微毒性。当物料发生泄漏后，首要风险在于有毒有害物质在大气中的弥散以及对周边人群和环境的影响。</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为使环境风险减小到最低限度，必须加强劳动安全卫生管理，制定完备、有限的安全防范措施，尽可能降低项目环境风险事故发生的概率。</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eastAsia" w:ascii="Times New Roman" w:hAnsi="Times New Roman" w:cs="Times New Roman" w:eastAsiaTheme="minorEastAsia"/>
          <w:sz w:val="24"/>
          <w:szCs w:val="21"/>
          <w:u w:val="none"/>
          <w:lang w:val="en-US" w:eastAsia="zh-CN"/>
        </w:rPr>
        <w:t xml:space="preserve">a. </w:t>
      </w:r>
      <w:r>
        <w:rPr>
          <w:rFonts w:hint="default" w:ascii="Times New Roman" w:hAnsi="Times New Roman" w:cs="Times New Roman" w:eastAsiaTheme="minorEastAsia"/>
          <w:sz w:val="24"/>
          <w:szCs w:val="21"/>
          <w:u w:val="none"/>
        </w:rPr>
        <w:t>加强职工的安全教育，提高安全防范风险的意识；</w:t>
      </w:r>
    </w:p>
    <w:p>
      <w:pPr>
        <w:spacing w:line="520" w:lineRule="exact"/>
        <w:ind w:firstLine="480" w:firstLineChars="200"/>
        <w:jc w:val="left"/>
        <w:rPr>
          <w:rFonts w:hint="eastAsia" w:ascii="Times New Roman" w:hAnsi="Times New Roman" w:eastAsia="Calibri" w:cs="Times New Roman"/>
          <w:sz w:val="24"/>
          <w:szCs w:val="21"/>
          <w:u w:val="none"/>
          <w:lang w:val="en-US" w:eastAsia="zh-CN"/>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针对运营中可能发生的异常现象和存在的安全隐患，设置合理可行的技术措施，制定严格的操作规程；</w:t>
      </w:r>
      <w:r>
        <w:rPr>
          <w:rFonts w:hint="eastAsia" w:ascii="Times New Roman" w:hAnsi="Times New Roman" w:cs="Times New Roman" w:eastAsiaTheme="minorEastAsia"/>
          <w:sz w:val="24"/>
          <w:szCs w:val="21"/>
          <w:u w:val="none"/>
          <w:lang w:val="en-US" w:eastAsia="zh-CN"/>
        </w:rPr>
        <w:t xml:space="preserve"> </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对易发生泄漏的部位实行定期的巡检制度，及时发现问题，尽快解决；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d.</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严格执行防火、防爆、防雷击、防毒害等各项要求；</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e.</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建立健全安全、环境管理体系及高效的安全生产机构，一旦发生事故，要做到快速、高效、安全处置。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f.</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加油站内的电气设备严格按照防爆区划分配置。</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g.</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在储存油罐和加油站入口处设立警告牌</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严禁烟火</w:t>
      </w:r>
      <w:r>
        <w:rPr>
          <w:rFonts w:hint="default" w:ascii="Times New Roman" w:hAnsi="Times New Roman" w:eastAsia="TimesNewRomanPSMT" w:cs="Times New Roman"/>
          <w:sz w:val="24"/>
          <w:szCs w:val="21"/>
          <w:u w:val="none"/>
        </w:rPr>
        <w:t>)</w:t>
      </w:r>
      <w:r>
        <w:rPr>
          <w:rFonts w:hint="default" w:ascii="Times New Roman" w:hAnsi="Times New Roman" w:cs="Times New Roman" w:eastAsiaTheme="minorEastAsia"/>
          <w:sz w:val="24"/>
          <w:szCs w:val="21"/>
          <w:u w:val="none"/>
        </w:rPr>
        <w:t>。</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eastAsia="TimesNewRomanPSMT" w:cs="Times New Roman"/>
          <w:sz w:val="24"/>
          <w:szCs w:val="21"/>
          <w:u w:val="none"/>
        </w:rPr>
        <w:t>h.</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在加油站设立严禁打手机的警告牌。</w:t>
      </w:r>
    </w:p>
    <w:p>
      <w:pPr>
        <w:spacing w:line="520" w:lineRule="exact"/>
        <w:ind w:firstLine="480" w:firstLineChars="200"/>
        <w:jc w:val="left"/>
        <w:outlineLvl w:val="9"/>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i.</w:t>
      </w:r>
      <w:r>
        <w:rPr>
          <w:rFonts w:hint="eastAsia" w:ascii="Times New Roman" w:hAnsi="Times New Roman" w:eastAsia="TimesNewRomanPSMT" w:cs="Times New Roman"/>
          <w:sz w:val="24"/>
          <w:szCs w:val="21"/>
          <w:u w:val="none"/>
          <w:lang w:val="en-US" w:eastAsia="zh-CN"/>
        </w:rPr>
        <w:t xml:space="preserve"> </w:t>
      </w:r>
      <w:r>
        <w:rPr>
          <w:rFonts w:hint="default" w:ascii="Times New Roman" w:hAnsi="Times New Roman" w:eastAsia="TimesNewRomanPSMT" w:cs="Times New Roman"/>
          <w:sz w:val="24"/>
          <w:szCs w:val="21"/>
          <w:u w:val="none"/>
        </w:rPr>
        <w:t>按照设计图的要求，注意避雷针的安全防护措施。</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eastAsia" w:ascii="Times New Roman" w:hAnsi="Times New Roman" w:eastAsia="TimesNewRomanPSMT" w:cs="Times New Roman"/>
          <w:sz w:val="24"/>
          <w:szCs w:val="21"/>
          <w:u w:val="none"/>
          <w:lang w:val="en-US" w:eastAsia="zh-CN"/>
        </w:rPr>
        <w:t>应急预案内容：</w:t>
      </w:r>
    </w:p>
    <w:p>
      <w:pPr>
        <w:spacing w:line="520" w:lineRule="exact"/>
        <w:ind w:firstLine="480" w:firstLineChars="200"/>
        <w:jc w:val="left"/>
        <w:rPr>
          <w:rFonts w:hint="default"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建设单位应按照《突发环境事件应急预案管理暂行办法》（环发〔2010〕113号）、《关于进一步加强环境影响评价管理防范环境风险的通知》（环发〔2012〕77号）、《企业事业单位突发环境事件应急预案备案管理办法（试行）》（环发〔2015〕4号）等相关规定，制定突发环境事件应急预案，并向</w:t>
      </w:r>
      <w:r>
        <w:rPr>
          <w:rFonts w:hint="eastAsia" w:ascii="Times New Roman" w:hAnsi="Times New Roman" w:eastAsia="TimesNewRomanPSMT" w:cs="Times New Roman"/>
          <w:sz w:val="24"/>
          <w:szCs w:val="21"/>
          <w:u w:val="none"/>
          <w:lang w:val="en-US" w:eastAsia="zh-CN"/>
        </w:rPr>
        <w:t>汝州</w:t>
      </w:r>
      <w:r>
        <w:rPr>
          <w:rFonts w:hint="default" w:ascii="Times New Roman" w:hAnsi="Times New Roman" w:eastAsia="TimesNewRomanPSMT" w:cs="Times New Roman"/>
          <w:sz w:val="24"/>
          <w:szCs w:val="21"/>
          <w:u w:val="none"/>
          <w:lang w:val="en-US" w:eastAsia="zh-CN"/>
        </w:rPr>
        <w:t>市环保局备案。</w:t>
      </w:r>
    </w:p>
    <w:p>
      <w:pPr>
        <w:spacing w:line="520" w:lineRule="exact"/>
        <w:ind w:firstLine="480" w:firstLineChars="200"/>
        <w:jc w:val="left"/>
        <w:rPr>
          <w:rFonts w:hint="eastAsia" w:ascii="Times New Roman" w:hAnsi="Times New Roman" w:eastAsia="TimesNewRomanPSMT" w:cs="Times New Roman"/>
          <w:sz w:val="24"/>
          <w:szCs w:val="21"/>
          <w:u w:val="none"/>
          <w:lang w:val="en-US" w:eastAsia="zh-CN"/>
        </w:rPr>
      </w:pPr>
      <w:r>
        <w:rPr>
          <w:rFonts w:hint="default" w:ascii="Times New Roman" w:hAnsi="Times New Roman" w:eastAsia="TimesNewRomanPSMT" w:cs="Times New Roman"/>
          <w:sz w:val="24"/>
          <w:szCs w:val="21"/>
          <w:u w:val="none"/>
          <w:lang w:val="en-US" w:eastAsia="zh-CN"/>
        </w:rPr>
        <w:t>应急预案的主要内容见下表</w:t>
      </w:r>
      <w:r>
        <w:rPr>
          <w:rFonts w:hint="eastAsia" w:ascii="Times New Roman" w:hAnsi="Times New Roman" w:eastAsia="TimesNewRomanPSMT" w:cs="Times New Roman"/>
          <w:sz w:val="24"/>
          <w:szCs w:val="21"/>
          <w:u w:val="none"/>
          <w:lang w:val="en-US" w:eastAsia="zh-CN"/>
        </w:rPr>
        <w:t>：</w:t>
      </w:r>
    </w:p>
    <w:p>
      <w:pPr>
        <w:spacing w:line="520" w:lineRule="exact"/>
        <w:ind w:firstLine="0" w:firstLineChars="0"/>
        <w:jc w:val="center"/>
        <w:rPr>
          <w:rFonts w:hint="default" w:ascii="Times New Roman" w:hAnsi="Times New Roman" w:eastAsia="黑体" w:cs="Times New Roman"/>
          <w:sz w:val="24"/>
          <w:szCs w:val="21"/>
          <w:u w:val="none"/>
          <w:lang w:val="en-US" w:eastAsia="zh-CN"/>
        </w:rPr>
      </w:pPr>
      <w:r>
        <w:rPr>
          <w:rFonts w:hint="default" w:ascii="Times New Roman" w:hAnsi="Times New Roman" w:eastAsia="黑体" w:cs="Times New Roman"/>
          <w:sz w:val="24"/>
          <w:szCs w:val="21"/>
          <w:u w:val="none"/>
          <w:lang w:val="en-US" w:eastAsia="zh-CN"/>
        </w:rPr>
        <w:t>表</w:t>
      </w:r>
      <w:r>
        <w:rPr>
          <w:rFonts w:hint="eastAsia" w:ascii="Times New Roman" w:hAnsi="Times New Roman" w:eastAsia="黑体" w:cs="Times New Roman"/>
          <w:sz w:val="24"/>
          <w:szCs w:val="21"/>
          <w:u w:val="none"/>
          <w:lang w:val="en-US" w:eastAsia="zh-CN"/>
        </w:rPr>
        <w:t xml:space="preserve">5-1    </w:t>
      </w:r>
      <w:r>
        <w:rPr>
          <w:rFonts w:hint="default" w:ascii="Times New Roman" w:hAnsi="Times New Roman" w:eastAsia="黑体" w:cs="Times New Roman"/>
          <w:sz w:val="24"/>
          <w:szCs w:val="21"/>
          <w:u w:val="none"/>
          <w:lang w:val="en-US" w:eastAsia="zh-CN"/>
        </w:rPr>
        <w:t xml:space="preserve"> 应急预案内容</w:t>
      </w:r>
    </w:p>
    <w:tbl>
      <w:tblPr>
        <w:tblStyle w:val="2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2"/>
        <w:gridCol w:w="2107"/>
        <w:gridCol w:w="61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序号</w:t>
            </w:r>
          </w:p>
        </w:tc>
        <w:tc>
          <w:tcPr>
            <w:tcW w:w="2107" w:type="dxa"/>
            <w:noWrap w:val="0"/>
            <w:vAlign w:val="center"/>
          </w:tcPr>
          <w:p>
            <w:pPr>
              <w:pStyle w:val="10"/>
              <w:bidi w:val="0"/>
              <w:rPr>
                <w:rFonts w:hint="default"/>
              </w:rPr>
            </w:pPr>
            <w:r>
              <w:rPr>
                <w:rFonts w:hint="default"/>
              </w:rPr>
              <w:t>项目</w:t>
            </w:r>
          </w:p>
        </w:tc>
        <w:tc>
          <w:tcPr>
            <w:tcW w:w="6159" w:type="dxa"/>
            <w:noWrap w:val="0"/>
            <w:vAlign w:val="center"/>
          </w:tcPr>
          <w:p>
            <w:pPr>
              <w:pStyle w:val="10"/>
              <w:bidi w:val="0"/>
              <w:rPr>
                <w:rFonts w:hint="default"/>
              </w:rPr>
            </w:pPr>
            <w:r>
              <w:rPr>
                <w:rFonts w:hint="default"/>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1</w:t>
            </w:r>
          </w:p>
        </w:tc>
        <w:tc>
          <w:tcPr>
            <w:tcW w:w="2107" w:type="dxa"/>
            <w:noWrap w:val="0"/>
            <w:vAlign w:val="center"/>
          </w:tcPr>
          <w:p>
            <w:pPr>
              <w:pStyle w:val="10"/>
              <w:bidi w:val="0"/>
              <w:rPr>
                <w:rFonts w:hint="default"/>
              </w:rPr>
            </w:pPr>
            <w:r>
              <w:rPr>
                <w:rFonts w:hint="default"/>
              </w:rPr>
              <w:t>危险源概况</w:t>
            </w:r>
          </w:p>
        </w:tc>
        <w:tc>
          <w:tcPr>
            <w:tcW w:w="6159" w:type="dxa"/>
            <w:noWrap w:val="0"/>
            <w:vAlign w:val="center"/>
          </w:tcPr>
          <w:p>
            <w:pPr>
              <w:pStyle w:val="10"/>
              <w:bidi w:val="0"/>
              <w:rPr>
                <w:rFonts w:hint="default"/>
              </w:rPr>
            </w:pPr>
            <w:r>
              <w:rPr>
                <w:rFonts w:hint="default"/>
              </w:rPr>
              <w:t>本项目主要危险源为储罐区</w:t>
            </w:r>
            <w:r>
              <w:rPr>
                <w:rFonts w:hint="eastAsia"/>
                <w:lang w:eastAsia="zh-CN"/>
              </w:rPr>
              <w:t>和加油岛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2</w:t>
            </w:r>
          </w:p>
        </w:tc>
        <w:tc>
          <w:tcPr>
            <w:tcW w:w="2107" w:type="dxa"/>
            <w:noWrap w:val="0"/>
            <w:vAlign w:val="center"/>
          </w:tcPr>
          <w:p>
            <w:pPr>
              <w:pStyle w:val="10"/>
              <w:bidi w:val="0"/>
              <w:rPr>
                <w:rFonts w:hint="default"/>
              </w:rPr>
            </w:pPr>
            <w:r>
              <w:rPr>
                <w:rFonts w:hint="default"/>
              </w:rPr>
              <w:t>应急计划区</w:t>
            </w:r>
          </w:p>
        </w:tc>
        <w:tc>
          <w:tcPr>
            <w:tcW w:w="6159" w:type="dxa"/>
            <w:noWrap w:val="0"/>
            <w:vAlign w:val="center"/>
          </w:tcPr>
          <w:p>
            <w:pPr>
              <w:pStyle w:val="10"/>
              <w:bidi w:val="0"/>
              <w:rPr>
                <w:rFonts w:hint="default"/>
              </w:rPr>
            </w:pPr>
            <w:r>
              <w:rPr>
                <w:rFonts w:hint="eastAsia"/>
                <w:lang w:eastAsia="zh-CN"/>
              </w:rPr>
              <w:t>危险目标：</w:t>
            </w:r>
            <w:r>
              <w:rPr>
                <w:rFonts w:hint="default"/>
              </w:rPr>
              <w:t>储罐区、</w:t>
            </w:r>
            <w:r>
              <w:rPr>
                <w:rFonts w:hint="eastAsia"/>
                <w:lang w:eastAsia="zh-CN"/>
              </w:rPr>
              <w:t>加油岛、邻近地区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3</w:t>
            </w:r>
          </w:p>
        </w:tc>
        <w:tc>
          <w:tcPr>
            <w:tcW w:w="2107" w:type="dxa"/>
            <w:noWrap w:val="0"/>
            <w:vAlign w:val="center"/>
          </w:tcPr>
          <w:p>
            <w:pPr>
              <w:pStyle w:val="10"/>
              <w:bidi w:val="0"/>
              <w:rPr>
                <w:rFonts w:hint="default"/>
              </w:rPr>
            </w:pPr>
            <w:r>
              <w:rPr>
                <w:rFonts w:hint="default"/>
              </w:rPr>
              <w:t>应急组织机构、人员</w:t>
            </w:r>
          </w:p>
        </w:tc>
        <w:tc>
          <w:tcPr>
            <w:tcW w:w="6159" w:type="dxa"/>
            <w:noWrap w:val="0"/>
            <w:vAlign w:val="center"/>
          </w:tcPr>
          <w:p>
            <w:pPr>
              <w:pStyle w:val="10"/>
              <w:bidi w:val="0"/>
              <w:rPr>
                <w:rFonts w:hint="default"/>
              </w:rPr>
            </w:pPr>
            <w:r>
              <w:rPr>
                <w:rFonts w:hint="default"/>
                <w:lang w:eastAsia="zh-CN"/>
              </w:rPr>
              <w:t>企业、 地区应急组织机构、 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4</w:t>
            </w:r>
          </w:p>
        </w:tc>
        <w:tc>
          <w:tcPr>
            <w:tcW w:w="2107" w:type="dxa"/>
            <w:noWrap w:val="0"/>
            <w:vAlign w:val="center"/>
          </w:tcPr>
          <w:p>
            <w:pPr>
              <w:pStyle w:val="10"/>
              <w:bidi w:val="0"/>
              <w:rPr>
                <w:rFonts w:hint="default"/>
              </w:rPr>
            </w:pPr>
            <w:r>
              <w:rPr>
                <w:rFonts w:hint="default"/>
              </w:rPr>
              <w:t>预案分级响应条件</w:t>
            </w:r>
          </w:p>
        </w:tc>
        <w:tc>
          <w:tcPr>
            <w:tcW w:w="6159" w:type="dxa"/>
            <w:noWrap w:val="0"/>
            <w:vAlign w:val="center"/>
          </w:tcPr>
          <w:p>
            <w:pPr>
              <w:pStyle w:val="10"/>
              <w:bidi w:val="0"/>
              <w:rPr>
                <w:rFonts w:hint="default"/>
              </w:rPr>
            </w:pPr>
            <w:r>
              <w:rPr>
                <w:rFonts w:hint="default"/>
              </w:rPr>
              <w:t>规定预案的级别及分级响应程序。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5</w:t>
            </w:r>
          </w:p>
        </w:tc>
        <w:tc>
          <w:tcPr>
            <w:tcW w:w="2107" w:type="dxa"/>
            <w:noWrap w:val="0"/>
            <w:vAlign w:val="center"/>
          </w:tcPr>
          <w:p>
            <w:pPr>
              <w:pStyle w:val="10"/>
              <w:bidi w:val="0"/>
              <w:rPr>
                <w:rFonts w:hint="default"/>
              </w:rPr>
            </w:pPr>
            <w:r>
              <w:rPr>
                <w:rFonts w:hint="default"/>
              </w:rPr>
              <w:t>应急救援保障</w:t>
            </w:r>
          </w:p>
        </w:tc>
        <w:tc>
          <w:tcPr>
            <w:tcW w:w="6159" w:type="dxa"/>
            <w:noWrap w:val="0"/>
            <w:vAlign w:val="center"/>
          </w:tcPr>
          <w:p>
            <w:pPr>
              <w:pStyle w:val="10"/>
              <w:bidi w:val="0"/>
              <w:rPr>
                <w:rFonts w:hint="default"/>
              </w:rPr>
            </w:pPr>
            <w:r>
              <w:rPr>
                <w:rFonts w:hint="default"/>
              </w:rPr>
              <w:t>事故现场：防火灾事故应急设施、设备与材料，主要为消防器材、消防服等；防有毒有害物质外溢、扩散，建立防火围墙。</w:t>
            </w:r>
          </w:p>
          <w:p>
            <w:pPr>
              <w:pStyle w:val="10"/>
              <w:bidi w:val="0"/>
              <w:rPr>
                <w:rFonts w:hint="default"/>
              </w:rPr>
            </w:pPr>
            <w:r>
              <w:rPr>
                <w:rFonts w:hint="default"/>
              </w:rPr>
              <w:t>临近地区：烧伤、中毒人员急救所用的一些药品、器材。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6</w:t>
            </w:r>
          </w:p>
        </w:tc>
        <w:tc>
          <w:tcPr>
            <w:tcW w:w="2107" w:type="dxa"/>
            <w:noWrap w:val="0"/>
            <w:vAlign w:val="center"/>
          </w:tcPr>
          <w:p>
            <w:pPr>
              <w:pStyle w:val="10"/>
              <w:bidi w:val="0"/>
              <w:rPr>
                <w:rFonts w:hint="default"/>
              </w:rPr>
            </w:pPr>
            <w:r>
              <w:rPr>
                <w:rFonts w:hint="default"/>
              </w:rPr>
              <w:t>报警、 通讯联络方式</w:t>
            </w:r>
          </w:p>
        </w:tc>
        <w:tc>
          <w:tcPr>
            <w:tcW w:w="6159" w:type="dxa"/>
            <w:noWrap w:val="0"/>
            <w:vAlign w:val="center"/>
          </w:tcPr>
          <w:p>
            <w:pPr>
              <w:pStyle w:val="10"/>
              <w:bidi w:val="0"/>
              <w:rPr>
                <w:rFonts w:hint="default"/>
              </w:rPr>
            </w:pPr>
            <w:r>
              <w:rPr>
                <w:rFonts w:hint="default"/>
              </w:rPr>
              <w:t>规定应急状态下的报警通讯方式、 通知方式和交通保障、 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7</w:t>
            </w:r>
          </w:p>
        </w:tc>
        <w:tc>
          <w:tcPr>
            <w:tcW w:w="2107" w:type="dxa"/>
            <w:noWrap w:val="0"/>
            <w:vAlign w:val="center"/>
          </w:tcPr>
          <w:p>
            <w:pPr>
              <w:pStyle w:val="10"/>
              <w:bidi w:val="0"/>
              <w:rPr>
                <w:rFonts w:hint="default"/>
              </w:rPr>
            </w:pPr>
            <w:r>
              <w:rPr>
                <w:rFonts w:hint="default"/>
              </w:rPr>
              <w:t>应急环境监测、 抢险、 救援及控制措施</w:t>
            </w:r>
          </w:p>
        </w:tc>
        <w:tc>
          <w:tcPr>
            <w:tcW w:w="6159" w:type="dxa"/>
            <w:noWrap w:val="0"/>
            <w:vAlign w:val="center"/>
          </w:tcPr>
          <w:p>
            <w:pPr>
              <w:pStyle w:val="10"/>
              <w:bidi w:val="0"/>
              <w:rPr>
                <w:rFonts w:hint="default"/>
              </w:rPr>
            </w:pPr>
            <w:r>
              <w:rPr>
                <w:rFonts w:hint="default"/>
              </w:rPr>
              <w:t>由专业队伍负责对事故现场进行侦察监测， 对事故性质、 参数</w:t>
            </w:r>
          </w:p>
          <w:p>
            <w:pPr>
              <w:pStyle w:val="10"/>
              <w:bidi w:val="0"/>
              <w:rPr>
                <w:rFonts w:hint="default"/>
              </w:rPr>
            </w:pPr>
            <w:r>
              <w:rPr>
                <w:rFonts w:hint="default"/>
              </w:rPr>
              <w:t>与后果进行评估， 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8</w:t>
            </w:r>
          </w:p>
        </w:tc>
        <w:tc>
          <w:tcPr>
            <w:tcW w:w="2107" w:type="dxa"/>
            <w:noWrap w:val="0"/>
            <w:vAlign w:val="center"/>
          </w:tcPr>
          <w:p>
            <w:pPr>
              <w:pStyle w:val="10"/>
              <w:bidi w:val="0"/>
              <w:rPr>
                <w:rFonts w:hint="default"/>
              </w:rPr>
            </w:pPr>
            <w:r>
              <w:rPr>
                <w:rFonts w:hint="default"/>
              </w:rPr>
              <w:t>应急</w:t>
            </w:r>
            <w:r>
              <w:rPr>
                <w:rFonts w:hint="eastAsia"/>
                <w:lang w:eastAsia="zh-CN"/>
              </w:rPr>
              <w:t>检测、</w:t>
            </w:r>
            <w:r>
              <w:rPr>
                <w:rFonts w:hint="default"/>
              </w:rPr>
              <w:t>防护措施、清除泄漏措施和器材</w:t>
            </w:r>
          </w:p>
        </w:tc>
        <w:tc>
          <w:tcPr>
            <w:tcW w:w="6159" w:type="dxa"/>
            <w:noWrap w:val="0"/>
            <w:vAlign w:val="center"/>
          </w:tcPr>
          <w:p>
            <w:pPr>
              <w:pStyle w:val="10"/>
              <w:bidi w:val="0"/>
              <w:rPr>
                <w:rFonts w:hint="eastAsia"/>
                <w:lang w:eastAsia="zh-CN"/>
              </w:rPr>
            </w:pPr>
            <w:r>
              <w:rPr>
                <w:rFonts w:hint="default"/>
              </w:rPr>
              <w:t>事故现场：控制事故、防止扩散、蔓延及连锁反应。清楚现场泄漏物，降低危害，相应的设施器材配备</w:t>
            </w:r>
            <w:r>
              <w:rPr>
                <w:rFonts w:hint="eastAsia"/>
                <w:lang w:eastAsia="zh-CN"/>
              </w:rPr>
              <w:t>。</w:t>
            </w:r>
          </w:p>
          <w:p>
            <w:pPr>
              <w:pStyle w:val="10"/>
              <w:bidi w:val="0"/>
              <w:rPr>
                <w:rFonts w:hint="eastAsia"/>
                <w:lang w:eastAsia="zh-CN"/>
              </w:rPr>
            </w:pPr>
            <w:r>
              <w:rPr>
                <w:rFonts w:hint="default"/>
              </w:rPr>
              <w:t>临近区：控制防火区域，控制和清除污染措施及相应设备配备</w:t>
            </w:r>
            <w:r>
              <w:rPr>
                <w:rFonts w:hint="eastAsia"/>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9</w:t>
            </w:r>
          </w:p>
        </w:tc>
        <w:tc>
          <w:tcPr>
            <w:tcW w:w="2107" w:type="dxa"/>
            <w:noWrap w:val="0"/>
            <w:vAlign w:val="center"/>
          </w:tcPr>
          <w:p>
            <w:pPr>
              <w:pStyle w:val="10"/>
              <w:bidi w:val="0"/>
              <w:rPr>
                <w:rFonts w:hint="default"/>
              </w:rPr>
            </w:pPr>
            <w:r>
              <w:rPr>
                <w:rFonts w:hint="default"/>
              </w:rPr>
              <w:t>应急剂量控制、撤离组织计划、医疗救护与公众健康</w:t>
            </w:r>
          </w:p>
        </w:tc>
        <w:tc>
          <w:tcPr>
            <w:tcW w:w="6159" w:type="dxa"/>
            <w:noWrap w:val="0"/>
            <w:vAlign w:val="center"/>
          </w:tcPr>
          <w:p>
            <w:pPr>
              <w:pStyle w:val="10"/>
              <w:bidi w:val="0"/>
              <w:rPr>
                <w:rFonts w:hint="default"/>
              </w:rPr>
            </w:pPr>
            <w:r>
              <w:rPr>
                <w:rFonts w:hint="default"/>
              </w:rPr>
              <w:t>事故现场、邻近区、受事故影响的区域人员及公众对毒物应急剂量控制规定，撤离组织计划及救护，医疗救护与公众健康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10</w:t>
            </w:r>
          </w:p>
        </w:tc>
        <w:tc>
          <w:tcPr>
            <w:tcW w:w="2107" w:type="dxa"/>
            <w:noWrap w:val="0"/>
            <w:vAlign w:val="center"/>
          </w:tcPr>
          <w:p>
            <w:pPr>
              <w:pStyle w:val="10"/>
              <w:bidi w:val="0"/>
              <w:rPr>
                <w:rFonts w:hint="default"/>
              </w:rPr>
            </w:pPr>
            <w:r>
              <w:rPr>
                <w:rFonts w:hint="default"/>
              </w:rPr>
              <w:t>应急状态终止与恢复措施</w:t>
            </w:r>
          </w:p>
        </w:tc>
        <w:tc>
          <w:tcPr>
            <w:tcW w:w="6159" w:type="dxa"/>
            <w:noWrap w:val="0"/>
            <w:vAlign w:val="center"/>
          </w:tcPr>
          <w:p>
            <w:pPr>
              <w:pStyle w:val="10"/>
              <w:bidi w:val="0"/>
              <w:rPr>
                <w:rFonts w:hint="default"/>
              </w:rPr>
            </w:pPr>
            <w:r>
              <w:rPr>
                <w:rFonts w:hint="default"/>
              </w:rPr>
              <w:t>规定应急状态终止程序</w:t>
            </w:r>
            <w:r>
              <w:rPr>
                <w:rFonts w:hint="eastAsia"/>
                <w:lang w:eastAsia="zh-CN"/>
              </w:rPr>
              <w:t>；</w:t>
            </w:r>
            <w:r>
              <w:rPr>
                <w:rFonts w:hint="default"/>
              </w:rPr>
              <w:t>事故现场善后处理，恢复措施</w:t>
            </w:r>
          </w:p>
          <w:p>
            <w:pPr>
              <w:pStyle w:val="10"/>
              <w:bidi w:val="0"/>
              <w:rPr>
                <w:rFonts w:hint="default"/>
              </w:rPr>
            </w:pPr>
            <w:r>
              <w:rPr>
                <w:rFonts w:hint="default"/>
              </w:rPr>
              <w:t>临近</w:t>
            </w:r>
            <w:r>
              <w:rPr>
                <w:rFonts w:hint="eastAsia"/>
                <w:lang w:eastAsia="zh-CN"/>
              </w:rPr>
              <w:t>地</w:t>
            </w:r>
            <w:r>
              <w:rPr>
                <w:rFonts w:hint="default"/>
              </w:rPr>
              <w:t>区解除事故警界及善后恢复措施。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11</w:t>
            </w:r>
          </w:p>
        </w:tc>
        <w:tc>
          <w:tcPr>
            <w:tcW w:w="2107" w:type="dxa"/>
            <w:noWrap w:val="0"/>
            <w:vAlign w:val="center"/>
          </w:tcPr>
          <w:p>
            <w:pPr>
              <w:pStyle w:val="10"/>
              <w:bidi w:val="0"/>
              <w:rPr>
                <w:rFonts w:hint="default"/>
              </w:rPr>
            </w:pPr>
            <w:r>
              <w:rPr>
                <w:rFonts w:hint="default"/>
              </w:rPr>
              <w:t>人员培训与演练</w:t>
            </w:r>
          </w:p>
        </w:tc>
        <w:tc>
          <w:tcPr>
            <w:tcW w:w="6159" w:type="dxa"/>
            <w:noWrap w:val="0"/>
            <w:vAlign w:val="center"/>
          </w:tcPr>
          <w:p>
            <w:pPr>
              <w:pStyle w:val="10"/>
              <w:bidi w:val="0"/>
              <w:rPr>
                <w:rFonts w:hint="default"/>
              </w:rPr>
            </w:pPr>
            <w:r>
              <w:rPr>
                <w:rFonts w:hint="default"/>
              </w:rPr>
              <w:t>应急计划制定后，平时安排事故处理人员进行相关知识培训进行事故应急处理演习；对加油站内工人进行安全卫生教育。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12</w:t>
            </w:r>
          </w:p>
        </w:tc>
        <w:tc>
          <w:tcPr>
            <w:tcW w:w="2107" w:type="dxa"/>
            <w:noWrap w:val="0"/>
            <w:vAlign w:val="center"/>
          </w:tcPr>
          <w:p>
            <w:pPr>
              <w:pStyle w:val="10"/>
              <w:bidi w:val="0"/>
              <w:rPr>
                <w:rFonts w:hint="default"/>
              </w:rPr>
            </w:pPr>
            <w:r>
              <w:rPr>
                <w:rFonts w:hint="default"/>
              </w:rPr>
              <w:t>公众教育和信息</w:t>
            </w:r>
          </w:p>
        </w:tc>
        <w:tc>
          <w:tcPr>
            <w:tcW w:w="6159" w:type="dxa"/>
            <w:noWrap w:val="0"/>
            <w:vAlign w:val="center"/>
          </w:tcPr>
          <w:p>
            <w:pPr>
              <w:pStyle w:val="10"/>
              <w:bidi w:val="0"/>
              <w:rPr>
                <w:rFonts w:hint="default"/>
              </w:rPr>
            </w:pPr>
            <w:r>
              <w:rPr>
                <w:rFonts w:hint="default"/>
              </w:rPr>
              <w:t>对加油站临近地区开展公众教育、培训和发布有关信息。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2" w:type="dxa"/>
            <w:noWrap w:val="0"/>
            <w:vAlign w:val="center"/>
          </w:tcPr>
          <w:p>
            <w:pPr>
              <w:pStyle w:val="10"/>
              <w:bidi w:val="0"/>
              <w:rPr>
                <w:rFonts w:hint="default"/>
              </w:rPr>
            </w:pPr>
            <w:r>
              <w:rPr>
                <w:rFonts w:hint="default"/>
              </w:rPr>
              <w:t>13</w:t>
            </w:r>
          </w:p>
        </w:tc>
        <w:tc>
          <w:tcPr>
            <w:tcW w:w="2107" w:type="dxa"/>
            <w:noWrap w:val="0"/>
            <w:vAlign w:val="center"/>
          </w:tcPr>
          <w:p>
            <w:pPr>
              <w:pStyle w:val="10"/>
              <w:bidi w:val="0"/>
              <w:rPr>
                <w:rFonts w:hint="default"/>
              </w:rPr>
            </w:pPr>
            <w:r>
              <w:rPr>
                <w:rFonts w:hint="default"/>
              </w:rPr>
              <w:t>记录和报告</w:t>
            </w:r>
          </w:p>
        </w:tc>
        <w:tc>
          <w:tcPr>
            <w:tcW w:w="6159" w:type="dxa"/>
            <w:noWrap w:val="0"/>
            <w:vAlign w:val="center"/>
          </w:tcPr>
          <w:p>
            <w:pPr>
              <w:pStyle w:val="10"/>
              <w:bidi w:val="0"/>
              <w:rPr>
                <w:rFonts w:hint="default"/>
              </w:rPr>
            </w:pPr>
            <w:r>
              <w:rPr>
                <w:rFonts w:hint="default"/>
              </w:rPr>
              <w:t>设置应急事故专门记录，见档案和专门报告制度，设专门部门负责管理。</w:t>
            </w:r>
          </w:p>
        </w:tc>
      </w:tr>
    </w:tbl>
    <w:p>
      <w:pPr>
        <w:keepNext w:val="0"/>
        <w:keepLines w:val="0"/>
        <w:pageBreakBefore w:val="0"/>
        <w:widowControl w:val="0"/>
        <w:kinsoku/>
        <w:wordWrap/>
        <w:overflowPunct/>
        <w:topLinePunct w:val="0"/>
        <w:autoSpaceDE/>
        <w:autoSpaceDN/>
        <w:bidi w:val="0"/>
        <w:adjustRightInd/>
        <w:snapToGrid/>
        <w:spacing w:before="157" w:beforeLines="50"/>
        <w:jc w:val="center"/>
        <w:textAlignment w:val="auto"/>
        <w:rPr>
          <w:rFonts w:hint="default" w:ascii="Times New Roman" w:hAnsi="Times New Roman" w:eastAsia="黑体" w:cs="Times New Roman"/>
          <w:szCs w:val="21"/>
          <w:u w:val="none"/>
        </w:rPr>
      </w:pPr>
      <w:r>
        <w:rPr>
          <w:rFonts w:hint="eastAsia"/>
        </w:rPr>
        <w:t>表</w:t>
      </w:r>
      <w:r>
        <w:rPr>
          <w:rFonts w:hint="eastAsia"/>
          <w:lang w:val="en-US" w:eastAsia="zh-CN"/>
        </w:rPr>
        <w:t>5-2</w:t>
      </w:r>
      <w:r>
        <w:rPr>
          <w:rFonts w:hint="eastAsia"/>
        </w:rPr>
        <w:t xml:space="preserve">  本项目拟建的应急事故预案防范措施一览表</w:t>
      </w:r>
    </w:p>
    <w:tbl>
      <w:tblPr>
        <w:tblStyle w:val="20"/>
        <w:tblW w:w="894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8"/>
        <w:gridCol w:w="1766"/>
        <w:gridCol w:w="979"/>
        <w:gridCol w:w="54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0"/>
              <w:bidi w:val="0"/>
              <w:rPr>
                <w:rFonts w:hint="default"/>
              </w:rPr>
            </w:pPr>
            <w:r>
              <w:rPr>
                <w:rFonts w:hint="default"/>
              </w:rPr>
              <w:t>序号</w:t>
            </w:r>
          </w:p>
        </w:tc>
        <w:tc>
          <w:tcPr>
            <w:tcW w:w="1766" w:type="dxa"/>
            <w:noWrap w:val="0"/>
            <w:vAlign w:val="center"/>
          </w:tcPr>
          <w:p>
            <w:pPr>
              <w:pStyle w:val="10"/>
              <w:bidi w:val="0"/>
              <w:rPr>
                <w:rFonts w:hint="default"/>
              </w:rPr>
            </w:pPr>
            <w:r>
              <w:rPr>
                <w:rFonts w:hint="default"/>
              </w:rPr>
              <w:t>项目</w:t>
            </w:r>
          </w:p>
        </w:tc>
        <w:tc>
          <w:tcPr>
            <w:tcW w:w="979" w:type="dxa"/>
            <w:noWrap w:val="0"/>
            <w:vAlign w:val="center"/>
          </w:tcPr>
          <w:p>
            <w:pPr>
              <w:pStyle w:val="10"/>
              <w:bidi w:val="0"/>
              <w:rPr>
                <w:rFonts w:hint="default"/>
              </w:rPr>
            </w:pPr>
            <w:r>
              <w:rPr>
                <w:rFonts w:hint="default"/>
              </w:rPr>
              <w:t>规模</w:t>
            </w:r>
          </w:p>
        </w:tc>
        <w:tc>
          <w:tcPr>
            <w:tcW w:w="5485" w:type="dxa"/>
            <w:noWrap w:val="0"/>
            <w:vAlign w:val="center"/>
          </w:tcPr>
          <w:p>
            <w:pPr>
              <w:pStyle w:val="10"/>
              <w:bidi w:val="0"/>
              <w:rPr>
                <w:rFonts w:hint="default"/>
              </w:rPr>
            </w:pPr>
            <w:r>
              <w:rPr>
                <w:rFonts w:hint="default"/>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0"/>
              <w:bidi w:val="0"/>
              <w:rPr>
                <w:rFonts w:hint="default"/>
              </w:rPr>
            </w:pPr>
            <w:r>
              <w:rPr>
                <w:rFonts w:hint="default"/>
              </w:rPr>
              <w:t>1</w:t>
            </w:r>
          </w:p>
        </w:tc>
        <w:tc>
          <w:tcPr>
            <w:tcW w:w="1766" w:type="dxa"/>
            <w:noWrap w:val="0"/>
            <w:vAlign w:val="center"/>
          </w:tcPr>
          <w:p>
            <w:pPr>
              <w:pStyle w:val="10"/>
              <w:bidi w:val="0"/>
              <w:rPr>
                <w:rFonts w:hint="default"/>
              </w:rPr>
            </w:pPr>
            <w:r>
              <w:rPr>
                <w:rFonts w:hint="default"/>
              </w:rPr>
              <w:t>排水系统</w:t>
            </w:r>
          </w:p>
        </w:tc>
        <w:tc>
          <w:tcPr>
            <w:tcW w:w="979" w:type="dxa"/>
            <w:noWrap w:val="0"/>
            <w:vAlign w:val="center"/>
          </w:tcPr>
          <w:p>
            <w:pPr>
              <w:pStyle w:val="10"/>
              <w:bidi w:val="0"/>
              <w:rPr>
                <w:rFonts w:hint="default"/>
              </w:rPr>
            </w:pPr>
            <w:r>
              <w:rPr>
                <w:rFonts w:hint="default"/>
              </w:rPr>
              <w:t>/</w:t>
            </w:r>
          </w:p>
        </w:tc>
        <w:tc>
          <w:tcPr>
            <w:tcW w:w="5485" w:type="dxa"/>
            <w:noWrap w:val="0"/>
            <w:vAlign w:val="center"/>
          </w:tcPr>
          <w:p>
            <w:pPr>
              <w:pStyle w:val="10"/>
              <w:bidi w:val="0"/>
              <w:rPr>
                <w:rFonts w:hint="default"/>
              </w:rPr>
            </w:pPr>
            <w:r>
              <w:rPr>
                <w:rFonts w:hint="eastAsia"/>
                <w:lang w:eastAsia="zh-CN"/>
              </w:rPr>
              <w:t>建设有</w:t>
            </w:r>
            <w:r>
              <w:rPr>
                <w:rFonts w:hint="eastAsia"/>
                <w:lang w:val="en-US" w:eastAsia="zh-CN"/>
              </w:rPr>
              <w:t>1座</w:t>
            </w:r>
            <w:r>
              <w:rPr>
                <w:rFonts w:hint="eastAsia"/>
                <w:lang w:eastAsia="zh-CN"/>
              </w:rPr>
              <w:t>初期雨水收集池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0"/>
              <w:bidi w:val="0"/>
              <w:rPr>
                <w:rFonts w:hint="eastAsia"/>
                <w:lang w:eastAsia="zh-CN"/>
              </w:rPr>
            </w:pPr>
            <w:r>
              <w:rPr>
                <w:rFonts w:hint="eastAsia"/>
                <w:lang w:val="en-US" w:eastAsia="zh-CN"/>
              </w:rPr>
              <w:t>3</w:t>
            </w:r>
          </w:p>
        </w:tc>
        <w:tc>
          <w:tcPr>
            <w:tcW w:w="1766" w:type="dxa"/>
            <w:noWrap w:val="0"/>
            <w:vAlign w:val="center"/>
          </w:tcPr>
          <w:p>
            <w:pPr>
              <w:pStyle w:val="10"/>
              <w:bidi w:val="0"/>
              <w:rPr>
                <w:rFonts w:hint="default"/>
              </w:rPr>
            </w:pPr>
            <w:r>
              <w:rPr>
                <w:rFonts w:hint="default"/>
              </w:rPr>
              <w:t>卫生防护设施</w:t>
            </w:r>
          </w:p>
        </w:tc>
        <w:tc>
          <w:tcPr>
            <w:tcW w:w="979" w:type="dxa"/>
            <w:noWrap w:val="0"/>
            <w:vAlign w:val="center"/>
          </w:tcPr>
          <w:p>
            <w:pPr>
              <w:pStyle w:val="10"/>
              <w:bidi w:val="0"/>
              <w:rPr>
                <w:rFonts w:hint="default"/>
              </w:rPr>
            </w:pPr>
            <w:r>
              <w:rPr>
                <w:rFonts w:hint="default"/>
              </w:rPr>
              <w:t>/</w:t>
            </w:r>
          </w:p>
        </w:tc>
        <w:tc>
          <w:tcPr>
            <w:tcW w:w="5485" w:type="dxa"/>
            <w:noWrap w:val="0"/>
            <w:vAlign w:val="center"/>
          </w:tcPr>
          <w:p>
            <w:pPr>
              <w:pStyle w:val="10"/>
              <w:bidi w:val="0"/>
              <w:rPr>
                <w:rFonts w:hint="default"/>
              </w:rPr>
            </w:pPr>
            <w:r>
              <w:rPr>
                <w:rFonts w:hint="default"/>
              </w:rPr>
              <w:t>均按规定配备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0"/>
              <w:bidi w:val="0"/>
              <w:rPr>
                <w:rFonts w:hint="eastAsia"/>
                <w:lang w:eastAsia="zh-CN"/>
              </w:rPr>
            </w:pPr>
            <w:r>
              <w:rPr>
                <w:rFonts w:hint="eastAsia"/>
                <w:lang w:val="en-US" w:eastAsia="zh-CN"/>
              </w:rPr>
              <w:t>4</w:t>
            </w:r>
          </w:p>
        </w:tc>
        <w:tc>
          <w:tcPr>
            <w:tcW w:w="1766" w:type="dxa"/>
            <w:noWrap w:val="0"/>
            <w:vAlign w:val="center"/>
          </w:tcPr>
          <w:p>
            <w:pPr>
              <w:pStyle w:val="10"/>
              <w:bidi w:val="0"/>
              <w:rPr>
                <w:rFonts w:hint="default"/>
              </w:rPr>
            </w:pPr>
            <w:r>
              <w:rPr>
                <w:rFonts w:hint="default"/>
              </w:rPr>
              <w:t>人员培训与演练</w:t>
            </w:r>
          </w:p>
        </w:tc>
        <w:tc>
          <w:tcPr>
            <w:tcW w:w="979" w:type="dxa"/>
            <w:noWrap w:val="0"/>
            <w:vAlign w:val="center"/>
          </w:tcPr>
          <w:p>
            <w:pPr>
              <w:pStyle w:val="10"/>
              <w:bidi w:val="0"/>
              <w:rPr>
                <w:rFonts w:hint="default"/>
              </w:rPr>
            </w:pPr>
            <w:r>
              <w:rPr>
                <w:rFonts w:hint="default"/>
              </w:rPr>
              <w:t>/</w:t>
            </w:r>
          </w:p>
        </w:tc>
        <w:tc>
          <w:tcPr>
            <w:tcW w:w="5485" w:type="dxa"/>
            <w:noWrap w:val="0"/>
            <w:vAlign w:val="center"/>
          </w:tcPr>
          <w:p>
            <w:pPr>
              <w:pStyle w:val="10"/>
              <w:bidi w:val="0"/>
              <w:rPr>
                <w:rFonts w:hint="default"/>
              </w:rPr>
            </w:pPr>
            <w:r>
              <w:rPr>
                <w:rFonts w:hint="default"/>
              </w:rPr>
              <w:t>平时安排事故处理人员进行相关知识培训进行事故应急处理演习；对液化气站内工人进行安全卫生教育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18" w:type="dxa"/>
            <w:noWrap w:val="0"/>
            <w:vAlign w:val="center"/>
          </w:tcPr>
          <w:p>
            <w:pPr>
              <w:pStyle w:val="10"/>
              <w:bidi w:val="0"/>
              <w:rPr>
                <w:rFonts w:hint="eastAsia"/>
                <w:lang w:eastAsia="zh-CN"/>
              </w:rPr>
            </w:pPr>
            <w:r>
              <w:rPr>
                <w:rFonts w:hint="eastAsia"/>
                <w:lang w:val="en-US" w:eastAsia="zh-CN"/>
              </w:rPr>
              <w:t>5</w:t>
            </w:r>
          </w:p>
        </w:tc>
        <w:tc>
          <w:tcPr>
            <w:tcW w:w="1766" w:type="dxa"/>
            <w:noWrap w:val="0"/>
            <w:vAlign w:val="center"/>
          </w:tcPr>
          <w:p>
            <w:pPr>
              <w:pStyle w:val="10"/>
              <w:bidi w:val="0"/>
              <w:rPr>
                <w:rFonts w:hint="default"/>
              </w:rPr>
            </w:pPr>
            <w:r>
              <w:rPr>
                <w:rFonts w:hint="default"/>
              </w:rPr>
              <w:t>应急通讯、通知和交通</w:t>
            </w:r>
          </w:p>
        </w:tc>
        <w:tc>
          <w:tcPr>
            <w:tcW w:w="979" w:type="dxa"/>
            <w:noWrap w:val="0"/>
            <w:vAlign w:val="center"/>
          </w:tcPr>
          <w:p>
            <w:pPr>
              <w:pStyle w:val="10"/>
              <w:bidi w:val="0"/>
              <w:rPr>
                <w:rFonts w:hint="default"/>
              </w:rPr>
            </w:pPr>
            <w:r>
              <w:rPr>
                <w:rFonts w:hint="default"/>
              </w:rPr>
              <w:t>应急电话一部</w:t>
            </w:r>
          </w:p>
        </w:tc>
        <w:tc>
          <w:tcPr>
            <w:tcW w:w="5485" w:type="dxa"/>
            <w:noWrap w:val="0"/>
            <w:vAlign w:val="center"/>
          </w:tcPr>
          <w:p>
            <w:pPr>
              <w:pStyle w:val="10"/>
              <w:bidi w:val="0"/>
              <w:rPr>
                <w:rFonts w:hint="default"/>
              </w:rPr>
            </w:pPr>
            <w:r>
              <w:rPr>
                <w:rFonts w:hint="default"/>
              </w:rPr>
              <w:t>便于发生事故时和外界联系</w:t>
            </w:r>
          </w:p>
        </w:tc>
      </w:tr>
    </w:tbl>
    <w:p>
      <w:pPr>
        <w:spacing w:line="520" w:lineRule="exact"/>
        <w:ind w:firstLine="480" w:firstLineChars="200"/>
        <w:jc w:val="center"/>
        <w:rPr>
          <w:rFonts w:hint="default" w:ascii="Times New Roman" w:hAnsi="Times New Roman" w:cs="Times New Roman" w:eastAsiaTheme="minorEastAsia"/>
          <w:sz w:val="24"/>
          <w:szCs w:val="21"/>
          <w:u w:val="none"/>
          <w:lang w:val="en-US" w:eastAsia="zh-CN"/>
        </w:rPr>
      </w:pPr>
      <w:r>
        <w:rPr>
          <w:rFonts w:hint="eastAsia" w:ascii="Times New Roman" w:hAnsi="Times New Roman" w:cs="Times New Roman" w:eastAsiaTheme="minorEastAsia"/>
          <w:sz w:val="24"/>
          <w:szCs w:val="21"/>
          <w:u w:val="none"/>
          <w:lang w:eastAsia="zh-CN"/>
        </w:rPr>
        <w:t>表</w:t>
      </w:r>
      <w:r>
        <w:rPr>
          <w:rFonts w:hint="eastAsia" w:ascii="Times New Roman" w:hAnsi="Times New Roman" w:cs="Times New Roman" w:eastAsiaTheme="minorEastAsia"/>
          <w:sz w:val="24"/>
          <w:szCs w:val="21"/>
          <w:u w:val="none"/>
          <w:lang w:val="en-US" w:eastAsia="zh-CN"/>
        </w:rPr>
        <w:t>5-4    消防设施一览表</w:t>
      </w:r>
    </w:p>
    <w:tbl>
      <w:tblPr>
        <w:tblStyle w:val="2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10"/>
        <w:gridCol w:w="2119"/>
        <w:gridCol w:w="38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473" w:type="pct"/>
            <w:tcBorders>
              <w:tl2br w:val="nil"/>
              <w:tr2bl w:val="nil"/>
            </w:tcBorders>
            <w:shd w:val="clear" w:color="auto" w:fill="auto"/>
            <w:vAlign w:val="center"/>
          </w:tcPr>
          <w:p>
            <w:pPr>
              <w:pStyle w:val="10"/>
              <w:bidi w:val="0"/>
              <w:jc w:val="center"/>
              <w:rPr>
                <w:rFonts w:hint="eastAsia"/>
                <w:lang w:eastAsia="zh-CN"/>
              </w:rPr>
            </w:pPr>
            <w:r>
              <w:rPr>
                <w:rFonts w:hint="eastAsia"/>
                <w:lang w:eastAsia="zh-CN"/>
              </w:rPr>
              <w:t>名称</w:t>
            </w:r>
          </w:p>
        </w:tc>
        <w:tc>
          <w:tcPr>
            <w:tcW w:w="1243" w:type="pct"/>
            <w:tcBorders>
              <w:tl2br w:val="nil"/>
              <w:tr2bl w:val="nil"/>
            </w:tcBorders>
            <w:shd w:val="clear" w:color="auto" w:fill="auto"/>
            <w:vAlign w:val="center"/>
          </w:tcPr>
          <w:p>
            <w:pPr>
              <w:pStyle w:val="10"/>
              <w:bidi w:val="0"/>
              <w:jc w:val="center"/>
              <w:rPr>
                <w:rFonts w:hint="eastAsia"/>
                <w:lang w:eastAsia="zh-CN"/>
              </w:rPr>
            </w:pPr>
            <w:r>
              <w:rPr>
                <w:rFonts w:hint="eastAsia"/>
                <w:lang w:eastAsia="zh-CN"/>
              </w:rPr>
              <w:t>型号</w:t>
            </w:r>
          </w:p>
        </w:tc>
        <w:tc>
          <w:tcPr>
            <w:tcW w:w="2283" w:type="pct"/>
            <w:tcBorders>
              <w:tl2br w:val="nil"/>
              <w:tr2bl w:val="nil"/>
            </w:tcBorders>
            <w:shd w:val="clear" w:color="auto" w:fill="auto"/>
            <w:vAlign w:val="center"/>
          </w:tcPr>
          <w:p>
            <w:pPr>
              <w:pStyle w:val="10"/>
              <w:bidi w:val="0"/>
              <w:jc w:val="center"/>
              <w:rPr>
                <w:rFonts w:hint="default"/>
                <w:lang w:val="en-US" w:eastAsia="zh-CN"/>
              </w:rPr>
            </w:pPr>
            <w:r>
              <w:rPr>
                <w:rFonts w:hint="eastAsia"/>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灭火毯</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灭火沙池</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restar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干粉灭火器</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4kg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rPr>
            </w:pP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35kg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rPr>
            </w:pP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rPr>
            </w:pPr>
            <w:r>
              <w:rPr>
                <w:rFonts w:hint="eastAsia" w:cs="Times New Roman"/>
                <w:sz w:val="21"/>
                <w:szCs w:val="21"/>
                <w:lang w:val="en-US" w:eastAsia="zh-CN"/>
              </w:rPr>
              <w:t>5kg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8</w:t>
            </w:r>
            <w:r>
              <w:rPr>
                <w:rFonts w:hint="default" w:ascii="Times New Roman" w:hAnsi="Times New Roman" w:eastAsia="宋体" w:cs="Times New Roman"/>
                <w:sz w:val="21"/>
                <w:szCs w:val="21"/>
              </w:rPr>
              <w:t>个（</w:t>
            </w:r>
            <w:r>
              <w:rPr>
                <w:rFonts w:hint="default" w:ascii="Times New Roman" w:hAnsi="Times New Roman" w:cs="Times New Roman"/>
                <w:sz w:val="21"/>
                <w:szCs w:val="21"/>
                <w:lang w:val="en-US" w:eastAsia="zh-CN"/>
              </w:rPr>
              <w:t>CO</w:t>
            </w:r>
            <w:r>
              <w:rPr>
                <w:rFonts w:hint="default" w:ascii="Times New Roman" w:hAnsi="Times New Roman" w:cs="Times New Roman"/>
                <w:sz w:val="21"/>
                <w:szCs w:val="21"/>
                <w:vertAlign w:val="subscript"/>
                <w:lang w:val="en-US" w:eastAsia="zh-CN"/>
              </w:rPr>
              <w:t>2</w:t>
            </w:r>
            <w:r>
              <w:rPr>
                <w:rFonts w:hint="default" w:ascii="Times New Roman" w:hAnsi="Times New Roman" w:cs="Times New Roman"/>
                <w:sz w:val="21"/>
                <w:szCs w:val="21"/>
                <w:lang w:val="en-US" w:eastAsia="zh-CN"/>
              </w:rPr>
              <w:t>灭火器</w:t>
            </w:r>
            <w:r>
              <w:rPr>
                <w:rFonts w:hint="default" w:ascii="Times New Roman" w:hAnsi="Times New Roman" w:eastAsia="宋体" w:cs="Times New Roman"/>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消防桶</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5</w:t>
            </w:r>
            <w:r>
              <w:rPr>
                <w:rFonts w:hint="default" w:ascii="Times New Roman" w:hAnsi="Times New Roman" w:eastAsia="宋体" w:cs="Times New Roman"/>
                <w:sz w:val="21"/>
                <w:szCs w:val="21"/>
              </w:rPr>
              <w:t>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消防铲</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5</w:t>
            </w:r>
            <w:r>
              <w:rPr>
                <w:rFonts w:hint="default" w:ascii="Times New Roman" w:hAnsi="Times New Roman" w:eastAsia="宋体" w:cs="Times New Roman"/>
                <w:sz w:val="21"/>
                <w:szCs w:val="21"/>
              </w:rPr>
              <w:t>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eastAsia" w:ascii="Times New Roman" w:hAnsi="Times New Roman" w:cs="Times New Roman"/>
                <w:sz w:val="21"/>
                <w:szCs w:val="21"/>
                <w:lang w:eastAsia="zh-CN"/>
              </w:rPr>
              <w:t>静电阻隔报警系统</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ascii="Times New Roman" w:hAnsi="Times New Roman" w:cs="Times New Roman"/>
                <w:sz w:val="21"/>
                <w:szCs w:val="21"/>
                <w:lang w:val="en-US" w:eastAsia="zh-CN"/>
              </w:rPr>
              <w:t>/</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ascii="Times New Roman" w:hAnsi="Times New Roman" w:cs="Times New Roman"/>
                <w:sz w:val="21"/>
                <w:szCs w:val="21"/>
                <w:lang w:val="en-US" w:eastAsia="zh-CN"/>
              </w:rPr>
              <w:t>1套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灭火毯</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default" w:ascii="Times New Roman" w:hAnsi="Times New Roman" w:eastAsia="宋体" w:cs="Times New Roman"/>
                <w:sz w:val="21"/>
                <w:szCs w:val="21"/>
              </w:rPr>
              <w:t>1</w:t>
            </w:r>
            <w:r>
              <w:rPr>
                <w:rFonts w:hint="default" w:ascii="Times New Roman" w:hAnsi="Times New Roman" w:eastAsia="宋体" w:cs="Times New Roman"/>
                <w:sz w:val="21"/>
                <w:szCs w:val="21"/>
                <w:lang w:eastAsia="zh-CN"/>
              </w:rPr>
              <w:t>m²</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2</w:t>
            </w:r>
            <w:r>
              <w:rPr>
                <w:rFonts w:hint="default" w:ascii="Times New Roman" w:hAnsi="Times New Roman" w:eastAsia="宋体" w:cs="Times New Roman"/>
                <w:sz w:val="21"/>
                <w:szCs w:val="21"/>
              </w:rPr>
              <w:t>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灭火沙池</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eastAsia" w:cs="Times New Roman"/>
                <w:sz w:val="21"/>
                <w:szCs w:val="21"/>
                <w:lang w:val="en-US" w:eastAsia="zh-CN"/>
              </w:rPr>
              <w:t>2</w:t>
            </w:r>
            <w:r>
              <w:rPr>
                <w:rFonts w:hint="default" w:ascii="Times New Roman" w:hAnsi="Times New Roman" w:eastAsia="宋体" w:cs="Times New Roman"/>
                <w:sz w:val="21"/>
                <w:szCs w:val="21"/>
                <w:lang w:eastAsia="zh-CN"/>
              </w:rPr>
              <w:t>m³</w:t>
            </w:r>
            <w:r>
              <w:rPr>
                <w:rFonts w:hint="default" w:ascii="Times New Roman" w:hAnsi="Times New Roman" w:eastAsia="宋体" w:cs="Times New Roman"/>
                <w:sz w:val="21"/>
                <w:szCs w:val="21"/>
              </w:rPr>
              <w:t>/个</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rPr>
              <w:t>1个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restart"/>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default" w:ascii="Times New Roman" w:hAnsi="Times New Roman" w:eastAsia="宋体" w:cs="Times New Roman"/>
                <w:sz w:val="21"/>
                <w:szCs w:val="21"/>
              </w:rPr>
              <w:t>干粉灭火器</w:t>
            </w: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rPr>
            </w:pPr>
            <w:r>
              <w:rPr>
                <w:rFonts w:hint="eastAsia" w:cs="Times New Roman"/>
                <w:sz w:val="21"/>
                <w:szCs w:val="21"/>
                <w:lang w:val="en-US" w:eastAsia="zh-CN"/>
              </w:rPr>
              <w:t>4kg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eastAsia="zh-CN"/>
              </w:rPr>
            </w:pPr>
            <w:r>
              <w:rPr>
                <w:rFonts w:hint="eastAsia" w:cs="Times New Roman"/>
                <w:sz w:val="21"/>
                <w:szCs w:val="21"/>
                <w:lang w:val="en-US" w:eastAsia="zh-CN"/>
              </w:rPr>
              <w:t>4</w:t>
            </w:r>
            <w:r>
              <w:rPr>
                <w:rFonts w:hint="default" w:ascii="Times New Roman" w:hAnsi="Times New Roman" w:eastAsia="宋体" w:cs="Times New Roman"/>
                <w:sz w:val="21"/>
                <w:szCs w:val="21"/>
              </w:rPr>
              <w:t>个（手提式，加油区使用）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08"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40" w:lineRule="auto"/>
              <w:ind w:left="0" w:leftChars="0" w:right="0" w:rightChars="0" w:firstLine="0" w:firstLineChars="0"/>
              <w:jc w:val="center"/>
              <w:rPr>
                <w:rFonts w:hint="default"/>
                <w:lang w:eastAsia="zh-CN"/>
              </w:rPr>
            </w:pPr>
          </w:p>
        </w:tc>
        <w:tc>
          <w:tcPr>
            <w:tcW w:w="2202"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eastAsia"/>
                <w:lang w:val="en-US" w:eastAsia="zh-CN"/>
              </w:rPr>
            </w:pPr>
            <w:r>
              <w:rPr>
                <w:rFonts w:hint="eastAsia" w:cs="Times New Roman"/>
                <w:sz w:val="21"/>
                <w:szCs w:val="21"/>
                <w:lang w:val="en-US" w:eastAsia="zh-CN"/>
              </w:rPr>
              <w:t>35kg</w:t>
            </w:r>
          </w:p>
        </w:tc>
        <w:tc>
          <w:tcPr>
            <w:tcW w:w="4044" w:type="dxa"/>
            <w:tcBorders>
              <w:tl2br w:val="nil"/>
              <w:tr2bl w:val="nil"/>
            </w:tcBorders>
            <w:shd w:val="clear" w:color="auto" w:fill="auto"/>
            <w:vAlign w:val="center"/>
          </w:tcPr>
          <w:p>
            <w:pPr>
              <w:keepNext w:val="0"/>
              <w:keepLines w:val="0"/>
              <w:widowControl/>
              <w:suppressLineNumbers w:val="0"/>
              <w:adjustRightInd w:val="0"/>
              <w:snapToGrid w:val="0"/>
              <w:spacing w:before="0" w:beforeAutospacing="0" w:after="0" w:afterAutospacing="0" w:line="360" w:lineRule="exact"/>
              <w:ind w:left="0" w:leftChars="0" w:right="0" w:rightChars="0" w:firstLine="0" w:firstLineChars="0"/>
              <w:jc w:val="center"/>
              <w:rPr>
                <w:rFonts w:hint="default"/>
                <w:lang w:val="en-US" w:eastAsia="zh-CN"/>
              </w:rPr>
            </w:pPr>
            <w:r>
              <w:rPr>
                <w:rFonts w:hint="default" w:ascii="Times New Roman" w:hAnsi="Times New Roman" w:eastAsia="宋体" w:cs="Times New Roman"/>
                <w:sz w:val="21"/>
                <w:szCs w:val="21"/>
                <w:lang w:val="en-US" w:eastAsia="zh-CN"/>
              </w:rPr>
              <w:t>2</w:t>
            </w:r>
            <w:r>
              <w:rPr>
                <w:rFonts w:hint="default" w:ascii="Times New Roman" w:hAnsi="Times New Roman" w:eastAsia="宋体" w:cs="Times New Roman"/>
                <w:sz w:val="21"/>
                <w:szCs w:val="21"/>
              </w:rPr>
              <w:t>个（推车式，</w:t>
            </w:r>
            <w:r>
              <w:rPr>
                <w:rFonts w:hint="default" w:ascii="Times New Roman" w:hAnsi="Times New Roman" w:eastAsia="宋体" w:cs="Times New Roman"/>
                <w:sz w:val="21"/>
                <w:szCs w:val="21"/>
                <w:lang w:eastAsia="zh-CN"/>
              </w:rPr>
              <w:t>油罐区</w:t>
            </w:r>
            <w:r>
              <w:rPr>
                <w:rFonts w:hint="default" w:ascii="Times New Roman" w:hAnsi="Times New Roman" w:eastAsia="宋体" w:cs="Times New Roman"/>
                <w:sz w:val="21"/>
                <w:szCs w:val="21"/>
              </w:rPr>
              <w:t>使用）</w:t>
            </w:r>
          </w:p>
        </w:tc>
      </w:tr>
    </w:tbl>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由以上</w:t>
      </w:r>
      <w:r>
        <w:rPr>
          <w:rFonts w:hint="eastAsia" w:ascii="Times New Roman" w:hAnsi="Times New Roman" w:cs="Times New Roman" w:eastAsiaTheme="minorEastAsia"/>
          <w:sz w:val="24"/>
          <w:szCs w:val="21"/>
          <w:u w:val="none"/>
          <w:lang w:eastAsia="zh-CN"/>
        </w:rPr>
        <w:t>三</w:t>
      </w:r>
      <w:r>
        <w:rPr>
          <w:rFonts w:hint="default" w:ascii="Times New Roman" w:hAnsi="Times New Roman" w:cs="Times New Roman" w:eastAsiaTheme="minorEastAsia"/>
          <w:sz w:val="24"/>
          <w:szCs w:val="21"/>
          <w:u w:val="none"/>
        </w:rPr>
        <w:t>个表可知，本项目拟建的应急事故预案防范措施已基本符合突发事故应急预案表，但是各步骤还需加强管理与运行维护，以减少发生危险的因素。</w:t>
      </w:r>
    </w:p>
    <w:p>
      <w:pPr>
        <w:keepNext w:val="0"/>
        <w:keepLines w:val="0"/>
        <w:pageBreakBefore w:val="0"/>
        <w:widowControl w:val="0"/>
        <w:kinsoku/>
        <w:wordWrap/>
        <w:overflowPunct/>
        <w:topLinePunct w:val="0"/>
        <w:autoSpaceDE/>
        <w:autoSpaceDN/>
        <w:bidi w:val="0"/>
        <w:adjustRightInd w:val="0"/>
        <w:snapToGrid w:val="0"/>
        <w:spacing w:line="520" w:lineRule="exact"/>
        <w:ind w:firstLine="562" w:firstLineChars="200"/>
        <w:jc w:val="both"/>
        <w:textAlignment w:val="auto"/>
        <w:outlineLvl w:val="0"/>
        <w:rPr>
          <w:rFonts w:hint="default" w:ascii="Times New Roman" w:hAnsi="Times New Roman" w:cs="Times New Roman" w:eastAsiaTheme="minorEastAsia"/>
          <w:b/>
          <w:bCs/>
          <w:sz w:val="28"/>
          <w:szCs w:val="22"/>
          <w:u w:val="none"/>
          <w:lang w:val="en-US" w:eastAsia="zh-CN"/>
        </w:rPr>
      </w:pPr>
      <w:r>
        <w:rPr>
          <w:rFonts w:hint="eastAsia" w:ascii="Times New Roman" w:hAnsi="Times New Roman" w:cs="Times New Roman" w:eastAsiaTheme="minorEastAsia"/>
          <w:b/>
          <w:bCs/>
          <w:sz w:val="28"/>
          <w:szCs w:val="22"/>
          <w:u w:val="none"/>
          <w:lang w:val="en-US" w:eastAsia="zh-CN"/>
        </w:rPr>
        <w:t>6</w:t>
      </w:r>
      <w:r>
        <w:rPr>
          <w:rFonts w:hint="default" w:ascii="Times New Roman" w:hAnsi="Times New Roman" w:cs="Times New Roman" w:eastAsiaTheme="minorEastAsia"/>
          <w:b/>
          <w:bCs/>
          <w:sz w:val="28"/>
          <w:szCs w:val="22"/>
          <w:u w:val="none"/>
          <w:lang w:val="en-US" w:eastAsia="zh-CN"/>
        </w:rPr>
        <w:t>、评价结论与建议</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（1）结论：</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a.</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本项目涉及易燃易爆物质，生产设备处在常温常压条件下，具有一定的潜在危险性。</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b.</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本项目的主要潜在风险事故为泄露和火灾爆炸，但其最大风险值属于可接受水平。</w:t>
      </w:r>
    </w:p>
    <w:p>
      <w:pPr>
        <w:spacing w:line="520" w:lineRule="exact"/>
        <w:ind w:firstLine="480" w:firstLineChars="200"/>
        <w:jc w:val="left"/>
        <w:rPr>
          <w:rFonts w:hint="default" w:ascii="Times New Roman" w:hAnsi="Times New Roman" w:cs="Times New Roman" w:eastAsiaTheme="minorEastAsia"/>
          <w:sz w:val="24"/>
          <w:szCs w:val="21"/>
          <w:u w:val="none"/>
        </w:rPr>
      </w:pPr>
      <w:r>
        <w:rPr>
          <w:rFonts w:hint="default" w:ascii="Times New Roman" w:hAnsi="Times New Roman" w:cs="Times New Roman" w:eastAsiaTheme="minorEastAsia"/>
          <w:sz w:val="24"/>
          <w:szCs w:val="21"/>
          <w:u w:val="none"/>
        </w:rPr>
        <w:t>c.</w:t>
      </w:r>
      <w:r>
        <w:rPr>
          <w:rFonts w:hint="eastAsia" w:ascii="Times New Roman" w:hAnsi="Times New Roman" w:cs="Times New Roman" w:eastAsiaTheme="minorEastAsia"/>
          <w:sz w:val="24"/>
          <w:szCs w:val="21"/>
          <w:u w:val="none"/>
          <w:lang w:val="en-US" w:eastAsia="zh-CN"/>
        </w:rPr>
        <w:t xml:space="preserve"> </w:t>
      </w:r>
      <w:r>
        <w:rPr>
          <w:rFonts w:hint="default" w:ascii="Times New Roman" w:hAnsi="Times New Roman" w:cs="Times New Roman" w:eastAsiaTheme="minorEastAsia"/>
          <w:sz w:val="24"/>
          <w:szCs w:val="21"/>
          <w:u w:val="none"/>
        </w:rPr>
        <w:t>经本次风险分析，拟建项目存在一定潜在风险，但只要将本评价中制定的相关应急预案及防治措施落实后，可将该项目风险值降到最低。</w:t>
      </w:r>
    </w:p>
    <w:p>
      <w:pPr>
        <w:spacing w:line="520" w:lineRule="exact"/>
        <w:ind w:firstLine="482" w:firstLineChars="200"/>
        <w:jc w:val="left"/>
        <w:outlineLvl w:val="9"/>
        <w:rPr>
          <w:rFonts w:hint="default" w:ascii="Times New Roman" w:hAnsi="Times New Roman" w:cs="Times New Roman" w:eastAsiaTheme="minorEastAsia"/>
          <w:b/>
          <w:bCs/>
          <w:sz w:val="24"/>
          <w:szCs w:val="21"/>
          <w:u w:val="none"/>
          <w:lang w:val="en-US" w:eastAsia="zh-CN"/>
        </w:rPr>
      </w:pPr>
      <w:r>
        <w:rPr>
          <w:rFonts w:hint="default" w:ascii="Times New Roman" w:hAnsi="Times New Roman" w:cs="Times New Roman" w:eastAsiaTheme="minorEastAsia"/>
          <w:b/>
          <w:bCs/>
          <w:sz w:val="24"/>
          <w:szCs w:val="21"/>
          <w:u w:val="none"/>
          <w:lang w:val="en-US" w:eastAsia="zh-CN"/>
        </w:rPr>
        <w:t>（2）建议：</w:t>
      </w:r>
    </w:p>
    <w:p>
      <w:pPr>
        <w:spacing w:line="520" w:lineRule="exact"/>
        <w:ind w:firstLine="480" w:firstLineChars="200"/>
        <w:jc w:val="left"/>
        <w:rPr>
          <w:rFonts w:hint="default" w:ascii="Times New Roman" w:hAnsi="Times New Roman" w:cs="Times New Roman" w:eastAsiaTheme="minorEastAsia"/>
          <w:sz w:val="24"/>
          <w:szCs w:val="21"/>
          <w:u w:val="single"/>
        </w:rPr>
      </w:pPr>
      <w:r>
        <w:rPr>
          <w:rFonts w:hint="default" w:ascii="Times New Roman" w:hAnsi="Times New Roman" w:eastAsia="TimesNewRomanPSMT" w:cs="Times New Roman"/>
          <w:sz w:val="24"/>
          <w:szCs w:val="21"/>
          <w:u w:val="none"/>
        </w:rPr>
        <w:t>a.</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cs="Times New Roman" w:eastAsiaTheme="minorEastAsia"/>
          <w:sz w:val="24"/>
          <w:szCs w:val="21"/>
          <w:u w:val="none"/>
        </w:rPr>
        <w:t>本项目具有潜在的事故风险，虽然其风险值处于可接受水平，但企业也不能掉以轻心，应从建设、生产、储运等方面积极采取防护措施。企业必须采取本评价提出的相关风险防范措施，以防止潜在风险事故地发生。</w:t>
      </w:r>
    </w:p>
    <w:p>
      <w:pPr>
        <w:spacing w:line="520" w:lineRule="exact"/>
        <w:ind w:firstLine="480" w:firstLineChars="200"/>
        <w:jc w:val="left"/>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b.</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为了防范事故和减少危害，需根据企业实际情况制定灾害事故的应急预案。当出现事故时，采取紧急的工程应急措施，以控制事故和减少对环境造成的危害。</w:t>
      </w:r>
    </w:p>
    <w:p>
      <w:pPr>
        <w:pStyle w:val="2"/>
        <w:ind w:left="0" w:leftChars="0" w:firstLine="0" w:firstLineChars="0"/>
        <w:rPr>
          <w:rFonts w:hint="default" w:ascii="Times New Roman" w:hAnsi="Times New Roman" w:eastAsia="TimesNewRomanPSMT" w:cs="Times New Roman"/>
          <w:sz w:val="24"/>
          <w:szCs w:val="21"/>
          <w:u w:val="none"/>
        </w:rPr>
      </w:pPr>
      <w:r>
        <w:rPr>
          <w:rFonts w:hint="default" w:ascii="Times New Roman" w:hAnsi="Times New Roman" w:eastAsia="TimesNewRomanPSMT" w:cs="Times New Roman"/>
          <w:sz w:val="24"/>
          <w:szCs w:val="21"/>
          <w:u w:val="none"/>
        </w:rPr>
        <w:t>c.</w:t>
      </w:r>
      <w:r>
        <w:rPr>
          <w:rFonts w:hint="eastAsia" w:ascii="Times New Roman" w:hAnsi="Times New Roman" w:eastAsia="宋体" w:cs="Times New Roman"/>
          <w:sz w:val="24"/>
          <w:szCs w:val="21"/>
          <w:u w:val="none"/>
          <w:lang w:val="en-US" w:eastAsia="zh-CN"/>
        </w:rPr>
        <w:t xml:space="preserve"> </w:t>
      </w:r>
      <w:r>
        <w:rPr>
          <w:rFonts w:hint="default" w:ascii="Times New Roman" w:hAnsi="Times New Roman" w:eastAsia="TimesNewRomanPSMT" w:cs="Times New Roman"/>
          <w:sz w:val="24"/>
          <w:szCs w:val="21"/>
          <w:u w:val="none"/>
        </w:rPr>
        <w:t>控制装载量：所有装载前，查清可装载的安全容量，每次装载控制在安全容量以下。</w:t>
      </w:r>
    </w:p>
    <w:p>
      <w:pPr>
        <w:rPr>
          <w:rFonts w:hint="default" w:ascii="Times New Roman" w:hAnsi="Times New Roman" w:eastAsia="TimesNewRomanPSMT" w:cs="Times New Roman"/>
          <w:sz w:val="24"/>
          <w:szCs w:val="21"/>
          <w:u w:val="none"/>
        </w:rPr>
      </w:pPr>
    </w:p>
    <w:p>
      <w:pPr>
        <w:pStyle w:val="2"/>
        <w:ind w:left="0" w:leftChars="0" w:firstLine="0" w:firstLineChars="0"/>
        <w:rPr>
          <w:rFonts w:hint="default" w:ascii="Times New Roman" w:hAnsi="Times New Roman" w:eastAsia="TimesNewRomanPSMT" w:cs="Times New Roman"/>
          <w:sz w:val="24"/>
          <w:szCs w:val="21"/>
          <w:u w:val="none"/>
        </w:rPr>
      </w:pPr>
    </w:p>
    <w:p>
      <w:r>
        <w:br w:type="page"/>
      </w:r>
    </w:p>
    <w:p>
      <w:pPr>
        <w:pStyle w:val="2"/>
        <w:sectPr>
          <w:footerReference r:id="rId10" w:type="default"/>
          <w:pgSz w:w="11906" w:h="16838"/>
          <w:pgMar w:top="1440" w:right="1800" w:bottom="1440" w:left="1800" w:header="851" w:footer="992" w:gutter="0"/>
          <w:pgNumType w:fmt="decimal" w:start="1"/>
          <w:cols w:space="425" w:num="1"/>
          <w:docGrid w:type="lines" w:linePitch="312" w:charSpace="0"/>
        </w:sectPr>
      </w:pPr>
    </w:p>
    <w:p>
      <w:pPr>
        <w:jc w:val="center"/>
        <w:rPr>
          <w:rFonts w:hint="eastAsia"/>
          <w:b/>
          <w:sz w:val="28"/>
          <w:szCs w:val="28"/>
        </w:rPr>
      </w:pPr>
      <w:r>
        <w:rPr>
          <w:sz w:val="21"/>
        </w:rPr>
        <mc:AlternateContent>
          <mc:Choice Requires="wps">
            <w:drawing>
              <wp:anchor distT="0" distB="0" distL="114300" distR="114300" simplePos="0" relativeHeight="843663360" behindDoc="0" locked="0" layoutInCell="1" allowOverlap="1">
                <wp:simplePos x="0" y="0"/>
                <wp:positionH relativeFrom="column">
                  <wp:posOffset>1405890</wp:posOffset>
                </wp:positionH>
                <wp:positionV relativeFrom="paragraph">
                  <wp:posOffset>2706370</wp:posOffset>
                </wp:positionV>
                <wp:extent cx="685800" cy="304800"/>
                <wp:effectExtent l="4445" t="4445" r="33655" b="414655"/>
                <wp:wrapNone/>
                <wp:docPr id="30" name="矩形标注 30"/>
                <wp:cNvGraphicFramePr/>
                <a:graphic xmlns:a="http://schemas.openxmlformats.org/drawingml/2006/main">
                  <a:graphicData uri="http://schemas.microsoft.com/office/word/2010/wordprocessingShape">
                    <wps:wsp>
                      <wps:cNvSpPr/>
                      <wps:spPr>
                        <a:xfrm>
                          <a:off x="0" y="0"/>
                          <a:ext cx="685800" cy="304800"/>
                        </a:xfrm>
                        <a:prstGeom prst="wedgeRectCallout">
                          <a:avLst>
                            <a:gd name="adj1" fmla="val 51019"/>
                            <a:gd name="adj2" fmla="val 174792"/>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color w:val="FF0000"/>
                                <w:lang w:val="en-US" w:eastAsia="zh-CN"/>
                              </w:rPr>
                            </w:pPr>
                            <w:r>
                              <w:rPr>
                                <w:rFonts w:hint="eastAsia"/>
                                <w:color w:val="auto"/>
                                <w:lang w:val="en-US" w:eastAsia="zh-CN"/>
                              </w:rPr>
                              <w:t>本项目</w:t>
                            </w:r>
                          </w:p>
                        </w:txbxContent>
                      </wps:txbx>
                      <wps:bodyPr upright="1"/>
                    </wps:wsp>
                  </a:graphicData>
                </a:graphic>
              </wp:anchor>
            </w:drawing>
          </mc:Choice>
          <mc:Fallback>
            <w:pict>
              <v:shape id="_x0000_s1026" o:spid="_x0000_s1026" o:spt="61" type="#_x0000_t61" style="position:absolute;left:0pt;margin-left:110.7pt;margin-top:213.1pt;height:24pt;width:54pt;z-index:843663360;mso-width-relative:page;mso-height-relative:page;" fillcolor="#FFFFFF" filled="t" stroked="t" coordsize="21600,21600" o:gfxdata="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1DI5tNkAAAAL&#10;AQAADwAAAAAAAAABACAAAAAiAAAAZHJzL2Rvd25yZXYueG1sUEsBAhQAFAAAAAgAh07iQHrJ5PIb&#10;AgAAQAQAAA4AAAAAAAAAAQAgAAAAKAEAAGRycy9lMm9Eb2MueG1sUEsFBgAAAAAGAAYAWQEAALUF&#10;AAAAAA==&#10;" adj="21820,48555">
                <v:fill on="t" focussize="0,0"/>
                <v:stroke color="#000000" joinstyle="miter"/>
                <v:imagedata o:title=""/>
                <o:lock v:ext="edit" aspectratio="f"/>
                <v:textbox>
                  <w:txbxContent>
                    <w:p>
                      <w:pPr>
                        <w:rPr>
                          <w:rFonts w:hint="eastAsia" w:eastAsia="宋体"/>
                          <w:color w:val="FF0000"/>
                          <w:lang w:val="en-US" w:eastAsia="zh-CN"/>
                        </w:rPr>
                      </w:pPr>
                      <w:r>
                        <w:rPr>
                          <w:rFonts w:hint="eastAsia"/>
                          <w:color w:val="auto"/>
                          <w:lang w:val="en-US" w:eastAsia="zh-CN"/>
                        </w:rPr>
                        <w:t>本项目</w:t>
                      </w:r>
                    </w:p>
                  </w:txbxContent>
                </v:textbox>
              </v:shape>
            </w:pict>
          </mc:Fallback>
        </mc:AlternateContent>
      </w:r>
      <w:r>
        <w:rPr>
          <w:sz w:val="21"/>
        </w:rPr>
        <w:drawing>
          <wp:anchor distT="0" distB="0" distL="114300" distR="114300" simplePos="0" relativeHeight="843664384" behindDoc="0" locked="0" layoutInCell="1" allowOverlap="1">
            <wp:simplePos x="0" y="0"/>
            <wp:positionH relativeFrom="column">
              <wp:posOffset>7807960</wp:posOffset>
            </wp:positionH>
            <wp:positionV relativeFrom="paragraph">
              <wp:posOffset>49530</wp:posOffset>
            </wp:positionV>
            <wp:extent cx="1016635" cy="1079500"/>
            <wp:effectExtent l="0" t="0" r="12065" b="6350"/>
            <wp:wrapNone/>
            <wp:docPr id="31" name="图片 3" descr="1605168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1605168567(1)"/>
                    <pic:cNvPicPr>
                      <a:picLocks noChangeAspect="1"/>
                    </pic:cNvPicPr>
                  </pic:nvPicPr>
                  <pic:blipFill>
                    <a:blip r:embed="rId27"/>
                    <a:stretch>
                      <a:fillRect/>
                    </a:stretch>
                  </pic:blipFill>
                  <pic:spPr>
                    <a:xfrm>
                      <a:off x="0" y="0"/>
                      <a:ext cx="1016635" cy="1079500"/>
                    </a:xfrm>
                    <a:prstGeom prst="rect">
                      <a:avLst/>
                    </a:prstGeom>
                    <a:noFill/>
                    <a:ln>
                      <a:noFill/>
                    </a:ln>
                  </pic:spPr>
                </pic:pic>
              </a:graphicData>
            </a:graphic>
          </wp:anchor>
        </w:drawing>
      </w:r>
      <w:r>
        <w:rPr>
          <w:b/>
          <w:sz w:val="28"/>
          <w:szCs w:val="28"/>
          <w:lang w:val="zh-CN"/>
        </w:rPr>
        <w:drawing>
          <wp:inline distT="0" distB="0" distL="114300" distR="114300">
            <wp:extent cx="8813800" cy="5488940"/>
            <wp:effectExtent l="0" t="0" r="6350" b="16510"/>
            <wp:docPr id="32" name="图片 1" descr="鲁山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鲁山地图"/>
                    <pic:cNvPicPr>
                      <a:picLocks noChangeAspect="1"/>
                    </pic:cNvPicPr>
                  </pic:nvPicPr>
                  <pic:blipFill>
                    <a:blip r:embed="rId28"/>
                    <a:stretch>
                      <a:fillRect/>
                    </a:stretch>
                  </pic:blipFill>
                  <pic:spPr>
                    <a:xfrm>
                      <a:off x="0" y="0"/>
                      <a:ext cx="8813800" cy="5488940"/>
                    </a:xfrm>
                    <a:prstGeom prst="rect">
                      <a:avLst/>
                    </a:prstGeom>
                    <a:noFill/>
                    <a:ln>
                      <a:noFill/>
                    </a:ln>
                  </pic:spPr>
                </pic:pic>
              </a:graphicData>
            </a:graphic>
          </wp:inline>
        </w:drawing>
      </w:r>
      <w:r>
        <w:rPr>
          <w:rFonts w:hint="eastAsia"/>
          <w:b/>
          <w:bCs/>
          <w:sz w:val="30"/>
          <w:szCs w:val="30"/>
        </w:rPr>
        <w:t>附图</w:t>
      </w:r>
      <w:r>
        <w:rPr>
          <w:rFonts w:hint="default" w:ascii="Times New Roman" w:hAnsi="Times New Roman" w:cs="Times New Roman"/>
          <w:b/>
          <w:bCs/>
          <w:sz w:val="30"/>
          <w:szCs w:val="30"/>
        </w:rPr>
        <w:t>1</w:t>
      </w:r>
      <w:r>
        <w:rPr>
          <w:rFonts w:hint="eastAsia"/>
          <w:b/>
          <w:bCs/>
          <w:sz w:val="30"/>
          <w:szCs w:val="30"/>
        </w:rPr>
        <w:t>：</w:t>
      </w:r>
      <w:r>
        <w:rPr>
          <w:rFonts w:hint="eastAsia"/>
          <w:b/>
          <w:bCs/>
          <w:sz w:val="28"/>
          <w:szCs w:val="28"/>
          <w:lang w:eastAsia="zh-CN"/>
        </w:rPr>
        <w:t>项目</w:t>
      </w:r>
      <w:r>
        <w:rPr>
          <w:rFonts w:hint="eastAsia"/>
          <w:b/>
          <w:bCs/>
          <w:sz w:val="28"/>
          <w:szCs w:val="28"/>
        </w:rPr>
        <w:t>地理位置图</w:t>
      </w:r>
    </w:p>
    <w:p>
      <w:pPr>
        <w:rPr>
          <w:rFonts w:ascii="Times New Roman"/>
          <w:sz w:val="20"/>
        </w:rPr>
      </w:pPr>
      <w:r>
        <w:rPr>
          <w:rFonts w:ascii="Times New Roman"/>
          <w:sz w:val="20"/>
        </w:rPr>
        <w:br w:type="page"/>
      </w:r>
    </w:p>
    <w:p>
      <w:pPr>
        <w:pStyle w:val="2"/>
      </w:pPr>
      <w:r>
        <w:rPr>
          <w:rFonts w:hint="eastAsia" w:eastAsia="宋体"/>
          <w:b/>
          <w:bCs/>
          <w:sz w:val="28"/>
          <w:szCs w:val="28"/>
          <w:lang w:eastAsia="zh-CN"/>
        </w:rPr>
        <w:drawing>
          <wp:anchor distT="0" distB="0" distL="114300" distR="114300" simplePos="0" relativeHeight="843696128" behindDoc="1" locked="0" layoutInCell="1" allowOverlap="1">
            <wp:simplePos x="0" y="0"/>
            <wp:positionH relativeFrom="column">
              <wp:posOffset>368300</wp:posOffset>
            </wp:positionH>
            <wp:positionV relativeFrom="paragraph">
              <wp:posOffset>73660</wp:posOffset>
            </wp:positionV>
            <wp:extent cx="8849360" cy="4763770"/>
            <wp:effectExtent l="0" t="0" r="8890" b="17780"/>
            <wp:wrapNone/>
            <wp:docPr id="33" name="图片 33" descr="北加油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北加油站"/>
                    <pic:cNvPicPr>
                      <a:picLocks noChangeAspect="1"/>
                    </pic:cNvPicPr>
                  </pic:nvPicPr>
                  <pic:blipFill>
                    <a:blip r:embed="rId29"/>
                    <a:stretch>
                      <a:fillRect/>
                    </a:stretch>
                  </pic:blipFill>
                  <pic:spPr>
                    <a:xfrm>
                      <a:off x="0" y="0"/>
                      <a:ext cx="8849360" cy="4763770"/>
                    </a:xfrm>
                    <a:prstGeom prst="rect">
                      <a:avLst/>
                    </a:prstGeom>
                  </pic:spPr>
                </pic:pic>
              </a:graphicData>
            </a:graphic>
          </wp:anchor>
        </w:drawing>
      </w:r>
    </w:p>
    <w:p>
      <w:pPr>
        <w:jc w:val="center"/>
        <w:rPr>
          <w:rFonts w:hint="eastAsia"/>
          <w:b/>
          <w:bCs/>
          <w:sz w:val="30"/>
          <w:szCs w:val="30"/>
        </w:rPr>
      </w:pPr>
      <w:bookmarkStart w:id="27" w:name="附图1 地理位置图"/>
      <w:bookmarkEnd w:id="27"/>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28"/>
          <w:szCs w:val="28"/>
        </w:rPr>
      </w:pPr>
      <w:r>
        <w:rPr>
          <w:rFonts w:hint="eastAsia"/>
          <w:b/>
          <w:bCs/>
          <w:sz w:val="30"/>
          <w:szCs w:val="30"/>
        </w:rPr>
        <w:t>附图</w:t>
      </w:r>
      <w:r>
        <w:rPr>
          <w:rFonts w:hint="eastAsia"/>
          <w:b/>
          <w:bCs/>
          <w:sz w:val="30"/>
          <w:szCs w:val="30"/>
          <w:lang w:val="en-US" w:eastAsia="zh-CN"/>
        </w:rPr>
        <w:t>2</w:t>
      </w:r>
      <w:r>
        <w:rPr>
          <w:rFonts w:hint="eastAsia"/>
          <w:b/>
          <w:bCs/>
          <w:sz w:val="30"/>
          <w:szCs w:val="30"/>
        </w:rPr>
        <w:t>：</w:t>
      </w:r>
      <w:r>
        <w:rPr>
          <w:rFonts w:hint="eastAsia"/>
          <w:b/>
          <w:bCs/>
          <w:sz w:val="28"/>
          <w:szCs w:val="28"/>
        </w:rPr>
        <w:t>项目周边环境概况示意图</w:t>
      </w:r>
    </w:p>
    <w:p>
      <w:pPr>
        <w:rPr>
          <w:rFonts w:hint="eastAsia" w:eastAsia="宋体"/>
          <w:b/>
          <w:bCs/>
          <w:sz w:val="28"/>
          <w:szCs w:val="28"/>
          <w:lang w:eastAsia="zh-CN"/>
        </w:rPr>
      </w:pPr>
      <w:r>
        <w:rPr>
          <w:rFonts w:hint="eastAsia" w:eastAsia="宋体"/>
          <w:b/>
          <w:bCs/>
          <w:sz w:val="28"/>
          <w:szCs w:val="28"/>
          <w:lang w:eastAsia="zh-CN"/>
        </w:rPr>
        <w:br w:type="page"/>
      </w:r>
    </w:p>
    <w:p>
      <w:pPr>
        <w:pStyle w:val="2"/>
        <w:rPr>
          <w:rFonts w:hint="eastAsia"/>
          <w:lang w:eastAsia="zh-CN"/>
        </w:rPr>
      </w:pPr>
    </w:p>
    <w:p>
      <w:pPr>
        <w:jc w:val="center"/>
        <w:rPr>
          <w:rFonts w:hint="eastAsia"/>
          <w:b/>
          <w:bCs/>
          <w:sz w:val="28"/>
          <w:szCs w:val="28"/>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jc w:val="center"/>
        <w:rPr>
          <w:rFonts w:hint="eastAsia"/>
          <w:b/>
          <w:bCs/>
          <w:sz w:val="30"/>
          <w:szCs w:val="30"/>
        </w:rPr>
      </w:pPr>
      <w:r>
        <w:rPr>
          <w:rFonts w:hint="eastAsia" w:eastAsia="宋体"/>
          <w:lang w:eastAsia="zh-CN"/>
        </w:rPr>
        <w:drawing>
          <wp:anchor distT="0" distB="0" distL="114300" distR="114300" simplePos="0" relativeHeight="843695104" behindDoc="1" locked="0" layoutInCell="1" allowOverlap="1">
            <wp:simplePos x="0" y="0"/>
            <wp:positionH relativeFrom="column">
              <wp:posOffset>52070</wp:posOffset>
            </wp:positionH>
            <wp:positionV relativeFrom="paragraph">
              <wp:posOffset>26670</wp:posOffset>
            </wp:positionV>
            <wp:extent cx="8913495" cy="5151755"/>
            <wp:effectExtent l="0" t="0" r="1905" b="10795"/>
            <wp:wrapNone/>
            <wp:docPr id="34" name="图片 2" descr="572c08bd07934108c2b83ac0a32cc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descr="572c08bd07934108c2b83ac0a32cc8f"/>
                    <pic:cNvPicPr>
                      <a:picLocks noChangeAspect="1"/>
                    </pic:cNvPicPr>
                  </pic:nvPicPr>
                  <pic:blipFill>
                    <a:blip r:embed="rId30"/>
                    <a:srcRect t="6616" r="1339" b="19400"/>
                    <a:stretch>
                      <a:fillRect/>
                    </a:stretch>
                  </pic:blipFill>
                  <pic:spPr>
                    <a:xfrm>
                      <a:off x="0" y="0"/>
                      <a:ext cx="8913495" cy="5151755"/>
                    </a:xfrm>
                    <a:prstGeom prst="rect">
                      <a:avLst/>
                    </a:prstGeom>
                    <a:noFill/>
                    <a:ln>
                      <a:noFill/>
                    </a:ln>
                  </pic:spPr>
                </pic:pic>
              </a:graphicData>
            </a:graphic>
          </wp:anchor>
        </w:drawing>
      </w: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30"/>
          <w:szCs w:val="30"/>
        </w:rPr>
      </w:pPr>
    </w:p>
    <w:p>
      <w:pPr>
        <w:jc w:val="center"/>
        <w:rPr>
          <w:rFonts w:hint="eastAsia"/>
          <w:b/>
          <w:bCs/>
          <w:sz w:val="28"/>
          <w:szCs w:val="28"/>
        </w:rPr>
      </w:pPr>
      <w:r>
        <w:rPr>
          <w:rFonts w:hint="eastAsia"/>
          <w:b/>
          <w:bCs/>
          <w:sz w:val="30"/>
          <w:szCs w:val="30"/>
        </w:rPr>
        <w:t>附图</w:t>
      </w:r>
      <w:r>
        <w:rPr>
          <w:rFonts w:hint="default" w:ascii="Times New Roman" w:hAnsi="Times New Roman" w:cs="Times New Roman"/>
          <w:b/>
          <w:bCs/>
          <w:sz w:val="30"/>
          <w:szCs w:val="30"/>
          <w:lang w:val="en-US" w:eastAsia="zh-CN"/>
        </w:rPr>
        <w:t>3</w:t>
      </w:r>
      <w:r>
        <w:rPr>
          <w:rFonts w:hint="eastAsia"/>
          <w:b/>
          <w:bCs/>
          <w:sz w:val="30"/>
          <w:szCs w:val="30"/>
        </w:rPr>
        <w:t>：</w:t>
      </w:r>
      <w:r>
        <w:rPr>
          <w:rFonts w:hint="eastAsia"/>
          <w:b/>
          <w:bCs/>
          <w:sz w:val="28"/>
          <w:szCs w:val="28"/>
        </w:rPr>
        <w:t>项目</w:t>
      </w:r>
      <w:r>
        <w:rPr>
          <w:rFonts w:hint="eastAsia"/>
          <w:b/>
          <w:bCs/>
          <w:sz w:val="28"/>
          <w:szCs w:val="28"/>
          <w:lang w:eastAsia="zh-CN"/>
        </w:rPr>
        <w:t>总</w:t>
      </w:r>
      <w:r>
        <w:rPr>
          <w:rFonts w:hint="eastAsia"/>
          <w:b/>
          <w:bCs/>
          <w:sz w:val="28"/>
          <w:szCs w:val="28"/>
        </w:rPr>
        <w:t>平面布置图</w:t>
      </w:r>
    </w:p>
    <w:p>
      <w:pPr>
        <w:rPr>
          <w:rFonts w:hint="eastAsia"/>
          <w:b/>
          <w:bCs/>
          <w:sz w:val="28"/>
          <w:szCs w:val="28"/>
        </w:rPr>
      </w:pPr>
      <w:r>
        <w:rPr>
          <w:rFonts w:hint="eastAsia"/>
          <w:b/>
          <w:bCs/>
          <w:sz w:val="28"/>
          <w:szCs w:val="28"/>
        </w:rPr>
        <w:br w:type="page"/>
      </w:r>
    </w:p>
    <w:p>
      <w:pPr>
        <w:pStyle w:val="2"/>
        <w:rPr>
          <w:rFonts w:hint="eastAsia"/>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ascii="宋体" w:hAnsi="宋体" w:cs="宋体"/>
          <w:kern w:val="0"/>
          <w:sz w:val="24"/>
          <w:szCs w:val="24"/>
        </w:rPr>
      </w:pPr>
      <w:r>
        <w:rPr>
          <w:sz w:val="24"/>
        </w:rPr>
        <mc:AlternateContent>
          <mc:Choice Requires="wps">
            <w:drawing>
              <wp:anchor distT="0" distB="0" distL="114300" distR="114300" simplePos="0" relativeHeight="843694080" behindDoc="0" locked="0" layoutInCell="1" allowOverlap="1">
                <wp:simplePos x="0" y="0"/>
                <wp:positionH relativeFrom="column">
                  <wp:posOffset>1903730</wp:posOffset>
                </wp:positionH>
                <wp:positionV relativeFrom="paragraph">
                  <wp:posOffset>1833245</wp:posOffset>
                </wp:positionV>
                <wp:extent cx="807720" cy="415925"/>
                <wp:effectExtent l="4445" t="5080" r="6985" b="760095"/>
                <wp:wrapNone/>
                <wp:docPr id="35" name="圆角矩形标注 35"/>
                <wp:cNvGraphicFramePr/>
                <a:graphic xmlns:a="http://schemas.openxmlformats.org/drawingml/2006/main">
                  <a:graphicData uri="http://schemas.microsoft.com/office/word/2010/wordprocessingShape">
                    <wps:wsp>
                      <wps:cNvSpPr/>
                      <wps:spPr>
                        <a:xfrm>
                          <a:off x="0" y="0"/>
                          <a:ext cx="807720" cy="415925"/>
                        </a:xfrm>
                        <a:prstGeom prst="wedgeRoundRectCallout">
                          <a:avLst>
                            <a:gd name="adj1" fmla="val 35370"/>
                            <a:gd name="adj2" fmla="val 224046"/>
                            <a:gd name="adj3" fmla="val 16667"/>
                          </a:avLst>
                        </a:prstGeom>
                        <a:solidFill>
                          <a:schemeClr val="bg1"/>
                        </a:solidFill>
                        <a:ln w="9525" cap="flat" cmpd="sng">
                          <a:solidFill>
                            <a:schemeClr val="tx1"/>
                          </a:solidFill>
                          <a:prstDash val="solid"/>
                          <a:miter/>
                          <a:headEnd type="none" w="med" len="med"/>
                          <a:tailEnd type="none" w="med" len="med"/>
                        </a:ln>
                      </wps:spPr>
                      <wps:txbx>
                        <w:txbxContent>
                          <w:p>
                            <w:pPr>
                              <w:ind w:left="0" w:leftChars="0" w:firstLine="0" w:firstLineChars="0"/>
                              <w:rPr>
                                <w:rFonts w:hint="eastAsia" w:eastAsia="宋体"/>
                                <w:color w:val="FF0000"/>
                                <w:lang w:val="en-US" w:eastAsia="zh-CN"/>
                              </w:rPr>
                            </w:pPr>
                            <w:r>
                              <w:rPr>
                                <w:rFonts w:hint="eastAsia"/>
                                <w:color w:val="FF0000"/>
                                <w:lang w:val="en-US" w:eastAsia="zh-CN"/>
                              </w:rPr>
                              <w:t>本项目</w:t>
                            </w:r>
                          </w:p>
                        </w:txbxContent>
                      </wps:txbx>
                      <wps:bodyPr upright="1"/>
                    </wps:wsp>
                  </a:graphicData>
                </a:graphic>
              </wp:anchor>
            </w:drawing>
          </mc:Choice>
          <mc:Fallback>
            <w:pict>
              <v:shape id="_x0000_s1026" o:spid="_x0000_s1026" o:spt="62" type="#_x0000_t62" style="position:absolute;left:0pt;margin-left:149.9pt;margin-top:144.35pt;height:32.75pt;width:63.6pt;z-index:843694080;mso-width-relative:page;mso-height-relative:page;" fillcolor="#FFFFFF [3212]" filled="t" stroked="t" coordsize="21600,21600" o:gfxdata="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kJTt5tsAAAALAQAADwAAAAAAAAABACAAAAAiAAAAZHJzL2Rv&#10;d25yZXYueG1sUEsBAhQAFAAAAAgAh07iQGSQIGw3AgAAbwQAAA4AAAAAAAAAAQAgAAAAKgEAAGRy&#10;cy9lMm9Eb2MueG1sUEsFBgAAAAAGAAYAWQEAANMFAAAAAA==&#10;" adj="18440,59194,14400">
                <v:fill on="t" focussize="0,0"/>
                <v:stroke color="#000000 [3213]" joinstyle="miter"/>
                <v:imagedata o:title=""/>
                <o:lock v:ext="edit" aspectratio="f"/>
                <v:textbox>
                  <w:txbxContent>
                    <w:p>
                      <w:pPr>
                        <w:ind w:left="0" w:leftChars="0" w:firstLine="0" w:firstLineChars="0"/>
                        <w:rPr>
                          <w:rFonts w:hint="eastAsia" w:eastAsia="宋体"/>
                          <w:color w:val="FF0000"/>
                          <w:lang w:val="en-US" w:eastAsia="zh-CN"/>
                        </w:rPr>
                      </w:pPr>
                      <w:r>
                        <w:rPr>
                          <w:rFonts w:hint="eastAsia"/>
                          <w:color w:val="FF0000"/>
                          <w:lang w:val="en-US" w:eastAsia="zh-CN"/>
                        </w:rPr>
                        <w:t>本项目</w:t>
                      </w:r>
                    </w:p>
                  </w:txbxContent>
                </v:textbox>
              </v:shape>
            </w:pict>
          </mc:Fallback>
        </mc:AlternateContent>
      </w:r>
      <w:r>
        <w:rPr>
          <w:rFonts w:ascii="宋体" w:hAnsi="宋体" w:cs="宋体"/>
          <w:kern w:val="0"/>
          <w:sz w:val="24"/>
          <w:szCs w:val="24"/>
        </w:rPr>
        <w:drawing>
          <wp:inline distT="0" distB="0" distL="114300" distR="114300">
            <wp:extent cx="9044305" cy="5496560"/>
            <wp:effectExtent l="0" t="0" r="4445" b="8890"/>
            <wp:docPr id="41" name="图片 4" descr="鲁山县饮用水源保护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descr="鲁山县饮用水源保护区"/>
                    <pic:cNvPicPr>
                      <a:picLocks noChangeAspect="1"/>
                    </pic:cNvPicPr>
                  </pic:nvPicPr>
                  <pic:blipFill>
                    <a:blip r:embed="rId31"/>
                    <a:srcRect t="1703"/>
                    <a:stretch>
                      <a:fillRect/>
                    </a:stretch>
                  </pic:blipFill>
                  <pic:spPr>
                    <a:xfrm>
                      <a:off x="0" y="0"/>
                      <a:ext cx="9044305" cy="5496560"/>
                    </a:xfrm>
                    <a:prstGeom prst="rect">
                      <a:avLst/>
                    </a:prstGeom>
                    <a:noFill/>
                    <a:ln>
                      <a:noFill/>
                    </a:ln>
                  </pic:spPr>
                </pic:pic>
              </a:graphicData>
            </a:graphic>
          </wp:inline>
        </w:drawing>
      </w:r>
    </w:p>
    <w:p>
      <w:pPr>
        <w:tabs>
          <w:tab w:val="left" w:pos="982"/>
        </w:tabs>
        <w:bidi w:val="0"/>
        <w:jc w:val="center"/>
        <w:rPr>
          <w:rFonts w:hint="eastAsia"/>
          <w:b/>
          <w:bCs/>
          <w:sz w:val="28"/>
          <w:szCs w:val="36"/>
          <w:lang w:val="en-US" w:eastAsia="zh-CN"/>
        </w:rPr>
      </w:pPr>
      <w:r>
        <w:rPr>
          <w:rFonts w:hint="eastAsia"/>
          <w:b/>
          <w:bCs/>
          <w:sz w:val="28"/>
          <w:szCs w:val="36"/>
          <w:lang w:eastAsia="zh-CN"/>
        </w:rPr>
        <w:t>附图</w:t>
      </w:r>
      <w:r>
        <w:rPr>
          <w:rFonts w:hint="eastAsia"/>
          <w:b/>
          <w:bCs/>
          <w:sz w:val="28"/>
          <w:szCs w:val="36"/>
          <w:lang w:val="en-US" w:eastAsia="zh-CN"/>
        </w:rPr>
        <w:t>4  项目与饮用水源保护区位置关系图</w:t>
      </w:r>
    </w:p>
    <w:p>
      <w:pPr>
        <w:rPr>
          <w:rFonts w:hint="default"/>
          <w:b/>
          <w:sz w:val="28"/>
          <w:szCs w:val="28"/>
          <w:lang w:val="en-US"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r>
        <w:rPr>
          <w:rFonts w:hint="eastAsia"/>
          <w:b/>
          <w:bCs/>
          <w:sz w:val="28"/>
          <w:szCs w:val="36"/>
          <w:lang w:val="en-US" w:eastAsia="zh-CN"/>
        </w:rPr>
        <w:br w:type="page"/>
      </w:r>
    </w:p>
    <w:p>
      <w:pPr>
        <w:tabs>
          <w:tab w:val="left" w:pos="4830"/>
        </w:tabs>
        <w:jc w:val="both"/>
        <w:rPr>
          <w:b/>
          <w:sz w:val="28"/>
          <w:szCs w:val="28"/>
        </w:rPr>
      </w:pP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5"/>
        <w:gridCol w:w="4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8" name="图片 38" descr="10小棚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0小棚区"/>
                          <pic:cNvPicPr>
                            <a:picLocks noChangeAspect="1"/>
                          </pic:cNvPicPr>
                        </pic:nvPicPr>
                        <pic:blipFill>
                          <a:blip r:embed="rId32"/>
                          <a:stretch>
                            <a:fillRect/>
                          </a:stretch>
                        </pic:blipFill>
                        <pic:spPr>
                          <a:xfrm>
                            <a:off x="0" y="0"/>
                            <a:ext cx="2921635" cy="2191385"/>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39" name="图片 39" descr="1进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进口"/>
                          <pic:cNvPicPr>
                            <a:picLocks noChangeAspect="1"/>
                          </pic:cNvPicPr>
                        </pic:nvPicPr>
                        <pic:blipFill>
                          <a:blip r:embed="rId33"/>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sz w:val="28"/>
                <w:szCs w:val="28"/>
                <w:vertAlign w:val="baseline"/>
                <w:lang w:eastAsia="zh-CN"/>
              </w:rPr>
            </w:pPr>
            <w:r>
              <w:rPr>
                <w:rFonts w:hint="eastAsia"/>
                <w:b w:val="0"/>
                <w:bCs/>
                <w:sz w:val="24"/>
                <w:szCs w:val="24"/>
                <w:vertAlign w:val="baseline"/>
                <w:lang w:val="en-US" w:eastAsia="zh-CN"/>
              </w:rPr>
              <w:t>本项目</w:t>
            </w:r>
          </w:p>
        </w:tc>
        <w:tc>
          <w:tcPr>
            <w:tcW w:w="4825" w:type="dxa"/>
            <w:tcBorders>
              <w:tl2br w:val="nil"/>
              <w:tr2bl w:val="nil"/>
            </w:tcBorders>
            <w:noWrap w:val="0"/>
            <w:vAlign w:val="top"/>
          </w:tcPr>
          <w:p>
            <w:pPr>
              <w:tabs>
                <w:tab w:val="left" w:pos="4830"/>
              </w:tabs>
              <w:jc w:val="center"/>
              <w:rPr>
                <w:rFonts w:hint="default" w:eastAsia="宋体"/>
                <w:b/>
                <w:sz w:val="28"/>
                <w:szCs w:val="28"/>
                <w:vertAlign w:val="baseline"/>
                <w:lang w:val="en-US" w:eastAsia="zh-CN"/>
              </w:rPr>
            </w:pPr>
            <w:r>
              <w:rPr>
                <w:rFonts w:hint="eastAsia"/>
                <w:b w:val="0"/>
                <w:bCs/>
                <w:sz w:val="24"/>
                <w:szCs w:val="24"/>
                <w:vertAlign w:val="baseline"/>
                <w:lang w:val="en-US" w:eastAsia="zh-CN"/>
              </w:rPr>
              <w:t>加油区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447290"/>
                  <wp:effectExtent l="0" t="0" r="12065" b="10160"/>
                  <wp:docPr id="40" name="图片 40" descr="9消防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9消防柜"/>
                          <pic:cNvPicPr>
                            <a:picLocks noChangeAspect="1"/>
                          </pic:cNvPicPr>
                        </pic:nvPicPr>
                        <pic:blipFill>
                          <a:blip r:embed="rId34"/>
                          <a:stretch>
                            <a:fillRect/>
                          </a:stretch>
                        </pic:blipFill>
                        <pic:spPr>
                          <a:xfrm>
                            <a:off x="0" y="0"/>
                            <a:ext cx="2921635" cy="2447290"/>
                          </a:xfrm>
                          <a:prstGeom prst="rect">
                            <a:avLst/>
                          </a:prstGeom>
                        </pic:spPr>
                      </pic:pic>
                    </a:graphicData>
                  </a:graphic>
                </wp:inline>
              </w:drawing>
            </w:r>
          </w:p>
        </w:tc>
        <w:tc>
          <w:tcPr>
            <w:tcW w:w="4825" w:type="dxa"/>
            <w:tcBorders>
              <w:tl2br w:val="nil"/>
              <w:tr2bl w:val="nil"/>
            </w:tcBorders>
            <w:noWrap w:val="0"/>
            <w:vAlign w:val="top"/>
          </w:tcPr>
          <w:p>
            <w:pPr>
              <w:tabs>
                <w:tab w:val="left" w:pos="4830"/>
              </w:tabs>
              <w:jc w:val="both"/>
              <w:rPr>
                <w:rFonts w:hint="eastAsia" w:eastAsia="宋体"/>
                <w:b/>
                <w:sz w:val="28"/>
                <w:szCs w:val="28"/>
                <w:vertAlign w:val="baseline"/>
                <w:lang w:eastAsia="zh-CN"/>
              </w:rPr>
            </w:pPr>
            <w:r>
              <w:rPr>
                <w:rFonts w:hint="eastAsia" w:eastAsia="宋体"/>
                <w:b/>
                <w:sz w:val="28"/>
                <w:szCs w:val="28"/>
                <w:vertAlign w:val="baseline"/>
                <w:lang w:eastAsia="zh-CN"/>
              </w:rPr>
              <w:drawing>
                <wp:inline distT="0" distB="0" distL="114300" distR="114300">
                  <wp:extent cx="2921635" cy="2191385"/>
                  <wp:effectExtent l="0" t="0" r="12065" b="18415"/>
                  <wp:docPr id="42" name="图片 42" descr="6罐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6罐区"/>
                          <pic:cNvPicPr>
                            <a:picLocks noChangeAspect="1"/>
                          </pic:cNvPicPr>
                        </pic:nvPicPr>
                        <pic:blipFill>
                          <a:blip r:embed="rId35"/>
                          <a:stretch>
                            <a:fillRect/>
                          </a:stretch>
                        </pic:blipFill>
                        <pic:spPr>
                          <a:xfrm>
                            <a:off x="0" y="0"/>
                            <a:ext cx="2921635" cy="219138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eastAsia="宋体"/>
                <w:b w:val="0"/>
                <w:bCs/>
                <w:sz w:val="24"/>
                <w:szCs w:val="24"/>
                <w:vertAlign w:val="baseline"/>
                <w:lang w:val="en-US" w:eastAsia="zh-CN"/>
              </w:rPr>
            </w:pPr>
            <w:r>
              <w:rPr>
                <w:rFonts w:hint="eastAsia"/>
                <w:b w:val="0"/>
                <w:bCs/>
                <w:sz w:val="24"/>
                <w:szCs w:val="24"/>
                <w:vertAlign w:val="baseline"/>
                <w:lang w:eastAsia="zh-CN"/>
              </w:rPr>
              <w:t>消防器材</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罐区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286000"/>
                  <wp:effectExtent l="0" t="0" r="12065" b="0"/>
                  <wp:docPr id="43" name="图片 43" descr="8油气回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油气回收"/>
                          <pic:cNvPicPr>
                            <a:picLocks noChangeAspect="1"/>
                          </pic:cNvPicPr>
                        </pic:nvPicPr>
                        <pic:blipFill>
                          <a:blip r:embed="rId36"/>
                          <a:stretch>
                            <a:fillRect/>
                          </a:stretch>
                        </pic:blipFill>
                        <pic:spPr>
                          <a:xfrm>
                            <a:off x="0" y="0"/>
                            <a:ext cx="2921635" cy="2286000"/>
                          </a:xfrm>
                          <a:prstGeom prst="rect">
                            <a:avLst/>
                          </a:prstGeom>
                        </pic:spPr>
                      </pic:pic>
                    </a:graphicData>
                  </a:graphic>
                </wp:inline>
              </w:drawing>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drawing>
                <wp:inline distT="0" distB="0" distL="114300" distR="114300">
                  <wp:extent cx="2921635" cy="2094230"/>
                  <wp:effectExtent l="0" t="0" r="12065" b="1270"/>
                  <wp:docPr id="44" name="图片 44" descr="14污水处理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4污水处理厂"/>
                          <pic:cNvPicPr>
                            <a:picLocks noChangeAspect="1"/>
                          </pic:cNvPicPr>
                        </pic:nvPicPr>
                        <pic:blipFill>
                          <a:blip r:embed="rId37"/>
                          <a:stretch>
                            <a:fillRect/>
                          </a:stretch>
                        </pic:blipFill>
                        <pic:spPr>
                          <a:xfrm>
                            <a:off x="0" y="0"/>
                            <a:ext cx="2921635" cy="20942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油气回收</w:t>
            </w:r>
          </w:p>
        </w:tc>
        <w:tc>
          <w:tcPr>
            <w:tcW w:w="4825" w:type="dxa"/>
            <w:tcBorders>
              <w:tl2br w:val="nil"/>
              <w:tr2bl w:val="nil"/>
            </w:tcBorders>
            <w:noWrap w:val="0"/>
            <w:vAlign w:val="top"/>
          </w:tcPr>
          <w:p>
            <w:pPr>
              <w:tabs>
                <w:tab w:val="left" w:pos="4830"/>
              </w:tabs>
              <w:jc w:val="center"/>
              <w:rPr>
                <w:rFonts w:hint="eastAsia"/>
                <w:b w:val="0"/>
                <w:bCs/>
                <w:sz w:val="24"/>
                <w:szCs w:val="24"/>
                <w:vertAlign w:val="baseline"/>
                <w:lang w:eastAsia="zh-CN"/>
              </w:rPr>
            </w:pPr>
            <w:r>
              <w:rPr>
                <w:rFonts w:hint="eastAsia"/>
                <w:b w:val="0"/>
                <w:bCs/>
                <w:sz w:val="24"/>
                <w:szCs w:val="24"/>
                <w:vertAlign w:val="baseline"/>
                <w:lang w:eastAsia="zh-CN"/>
              </w:rPr>
              <w:t>生活污水处理站</w:t>
            </w:r>
          </w:p>
        </w:tc>
      </w:tr>
    </w:tbl>
    <w:p>
      <w:pPr>
        <w:tabs>
          <w:tab w:val="left" w:pos="4830"/>
        </w:tabs>
        <w:jc w:val="both"/>
        <w:rPr>
          <w:rFonts w:hint="eastAsia"/>
          <w:b/>
          <w:sz w:val="28"/>
          <w:szCs w:val="28"/>
        </w:rPr>
      </w:pPr>
      <w:r>
        <w:rPr>
          <w:rFonts w:hint="eastAsia"/>
          <w:b/>
          <w:sz w:val="28"/>
          <w:szCs w:val="28"/>
          <w:lang w:val="en-US" w:eastAsia="zh-CN"/>
        </w:rPr>
        <w:t xml:space="preserve">                      附图5  </w:t>
      </w:r>
      <w:r>
        <w:rPr>
          <w:rFonts w:hint="eastAsia"/>
          <w:b/>
          <w:sz w:val="28"/>
          <w:szCs w:val="28"/>
        </w:rPr>
        <w:t>项目</w:t>
      </w:r>
      <w:r>
        <w:rPr>
          <w:rFonts w:hint="eastAsia"/>
          <w:b/>
          <w:sz w:val="28"/>
          <w:szCs w:val="28"/>
          <w:lang w:eastAsia="zh-CN"/>
        </w:rPr>
        <w:t>照片现状</w:t>
      </w:r>
      <w:r>
        <w:rPr>
          <w:rFonts w:hint="eastAsia"/>
          <w:b/>
          <w:sz w:val="28"/>
          <w:szCs w:val="28"/>
        </w:rPr>
        <w:t>图</w:t>
      </w:r>
    </w:p>
    <w:p>
      <w:pPr>
        <w:rPr>
          <w:rFonts w:hint="eastAsia"/>
          <w:b/>
          <w:sz w:val="28"/>
          <w:szCs w:val="28"/>
        </w:rPr>
      </w:pPr>
      <w:r>
        <w:rPr>
          <w:rFonts w:hint="eastAsia"/>
          <w:b/>
          <w:sz w:val="28"/>
          <w:szCs w:val="28"/>
        </w:rPr>
        <w:br w:type="page"/>
      </w:r>
    </w:p>
    <w:p>
      <w:pPr>
        <w:rPr>
          <w:rFonts w:hint="eastAsia"/>
          <w:color w:val="auto"/>
          <w:sz w:val="30"/>
          <w:szCs w:val="30"/>
        </w:rPr>
      </w:pPr>
      <w:r>
        <w:rPr>
          <w:rFonts w:hint="eastAsia"/>
          <w:color w:val="auto"/>
          <w:sz w:val="30"/>
          <w:szCs w:val="30"/>
        </w:rPr>
        <w:t>附件一：</w:t>
      </w:r>
      <w:r>
        <w:rPr>
          <w:rFonts w:hint="eastAsia"/>
          <w:color w:val="auto"/>
          <w:sz w:val="30"/>
          <w:szCs w:val="30"/>
          <w:lang w:val="en-US" w:eastAsia="zh-CN"/>
        </w:rPr>
        <w:t xml:space="preserve">                  </w:t>
      </w:r>
    </w:p>
    <w:p>
      <w:pPr>
        <w:rPr>
          <w:rFonts w:hint="eastAsia"/>
          <w:color w:val="auto"/>
          <w:sz w:val="30"/>
          <w:szCs w:val="30"/>
        </w:rPr>
      </w:pPr>
    </w:p>
    <w:p>
      <w:pPr>
        <w:jc w:val="center"/>
        <w:rPr>
          <w:rFonts w:hint="eastAsia" w:eastAsia="宋体"/>
          <w:color w:val="auto"/>
          <w:sz w:val="30"/>
          <w:szCs w:val="30"/>
          <w:lang w:val="en-US" w:eastAsia="zh-CN"/>
        </w:rPr>
      </w:pPr>
      <w:r>
        <w:rPr>
          <w:rFonts w:hint="eastAsia"/>
          <w:color w:val="auto"/>
          <w:sz w:val="30"/>
          <w:szCs w:val="30"/>
          <w:lang w:val="en-US" w:eastAsia="zh-CN"/>
        </w:rPr>
        <w:t>委托书</w:t>
      </w:r>
    </w:p>
    <w:p>
      <w:pPr>
        <w:jc w:val="left"/>
        <w:rPr>
          <w:rFonts w:hint="eastAsia"/>
          <w:sz w:val="28"/>
          <w:szCs w:val="28"/>
          <w:lang w:val="en-US" w:eastAsia="zh-CN"/>
        </w:rPr>
      </w:pPr>
      <w:r>
        <w:rPr>
          <w:rFonts w:hint="eastAsia"/>
          <w:sz w:val="28"/>
          <w:szCs w:val="28"/>
          <w:lang w:val="en-US" w:eastAsia="zh-CN"/>
        </w:rPr>
        <w:t xml:space="preserve"> </w:t>
      </w: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r>
        <w:rPr>
          <w:rFonts w:hint="eastAsia"/>
          <w:sz w:val="28"/>
          <w:szCs w:val="28"/>
          <w:lang w:val="en-US" w:eastAsia="zh-CN"/>
        </w:rPr>
        <w:t>根据我市的有关规定及建设项目环境管理的相关要求，为了做好公司的环境保护工作，我单位授权委托</w:t>
      </w:r>
      <w:r>
        <w:rPr>
          <w:rFonts w:hint="eastAsia"/>
          <w:color w:val="auto"/>
          <w:sz w:val="28"/>
          <w:szCs w:val="28"/>
          <w:highlight w:val="none"/>
          <w:u w:val="none"/>
          <w:lang w:val="en-US" w:eastAsia="zh-CN"/>
        </w:rPr>
        <w:t>河北科祥环保科技有限公司</w:t>
      </w:r>
      <w:r>
        <w:rPr>
          <w:rFonts w:hint="eastAsia"/>
          <w:sz w:val="28"/>
          <w:szCs w:val="28"/>
          <w:lang w:val="en-US" w:eastAsia="zh-CN"/>
        </w:rPr>
        <w:t>办理</w:t>
      </w:r>
      <w:r>
        <w:rPr>
          <w:rFonts w:hint="eastAsia"/>
          <w:sz w:val="28"/>
          <w:szCs w:val="28"/>
          <w:u w:val="none"/>
          <w:lang w:eastAsia="zh-CN"/>
        </w:rPr>
        <w:t>河南高速能源有限责任公司鲁山经营部石人山服务区南加油站</w:t>
      </w:r>
      <w:r>
        <w:rPr>
          <w:rFonts w:hint="eastAsia"/>
          <w:sz w:val="28"/>
          <w:szCs w:val="28"/>
          <w:lang w:val="en-US" w:eastAsia="zh-CN"/>
        </w:rPr>
        <w:t>改建项目环境影响评价相关事宜。</w:t>
      </w:r>
    </w:p>
    <w:p>
      <w:pPr>
        <w:ind w:left="0" w:leftChars="0" w:firstLine="638" w:firstLineChars="228"/>
        <w:jc w:val="left"/>
        <w:rPr>
          <w:rFonts w:hint="eastAsia"/>
          <w:sz w:val="28"/>
          <w:szCs w:val="28"/>
          <w:lang w:val="en-US" w:eastAsia="zh-CN"/>
        </w:rPr>
      </w:pPr>
      <w:r>
        <w:rPr>
          <w:rFonts w:hint="eastAsia"/>
          <w:sz w:val="28"/>
          <w:szCs w:val="28"/>
          <w:lang w:val="en-US" w:eastAsia="zh-CN"/>
        </w:rPr>
        <w:t>我单位承诺所提交的全部申请文件及其附件真实、合法、有效，其电子文本与纸质文本及相关原件完全一致，具有同等法律效力。如因我单位提交的申请文件及其附件（含电子文本）失实或不符合有关法律法规而造成的任何不良后果的，由我单位承担相应的法律责任。</w:t>
      </w: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jc w:val="left"/>
        <w:rPr>
          <w:rFonts w:hint="eastAsia"/>
          <w:sz w:val="28"/>
          <w:szCs w:val="28"/>
          <w:lang w:val="en-US" w:eastAsia="zh-CN"/>
        </w:rPr>
      </w:pPr>
    </w:p>
    <w:p>
      <w:pPr>
        <w:ind w:left="0" w:leftChars="0" w:firstLine="638" w:firstLineChars="228"/>
        <w:jc w:val="left"/>
        <w:rPr>
          <w:rFonts w:hint="eastAsia"/>
          <w:sz w:val="28"/>
          <w:szCs w:val="28"/>
          <w:lang w:val="en-US" w:eastAsia="zh-CN"/>
        </w:rPr>
      </w:pPr>
    </w:p>
    <w:p>
      <w:pPr>
        <w:ind w:firstLine="4480" w:firstLineChars="1600"/>
        <w:jc w:val="both"/>
        <w:rPr>
          <w:rFonts w:hint="eastAsia"/>
          <w:sz w:val="28"/>
          <w:szCs w:val="28"/>
          <w:u w:val="none"/>
          <w:lang w:eastAsia="zh-CN"/>
        </w:rPr>
      </w:pPr>
      <w:r>
        <w:rPr>
          <w:rFonts w:hint="eastAsia"/>
          <w:sz w:val="28"/>
          <w:szCs w:val="28"/>
          <w:u w:val="none"/>
          <w:lang w:eastAsia="zh-CN"/>
        </w:rPr>
        <w:t>河南高速能源有限责任公司鲁山经营</w:t>
      </w:r>
    </w:p>
    <w:p>
      <w:pPr>
        <w:ind w:firstLine="4480" w:firstLineChars="1600"/>
        <w:jc w:val="both"/>
        <w:rPr>
          <w:rFonts w:hint="eastAsia"/>
          <w:sz w:val="28"/>
          <w:szCs w:val="28"/>
          <w:lang w:val="en-US" w:eastAsia="zh-CN"/>
        </w:rPr>
      </w:pPr>
      <w:r>
        <w:rPr>
          <w:rFonts w:hint="eastAsia"/>
          <w:sz w:val="28"/>
          <w:szCs w:val="28"/>
          <w:u w:val="none"/>
          <w:lang w:eastAsia="zh-CN"/>
        </w:rPr>
        <w:t>部石人山服务区南加油站项目</w:t>
      </w:r>
      <w:r>
        <w:rPr>
          <w:rFonts w:hint="eastAsia"/>
          <w:sz w:val="28"/>
          <w:szCs w:val="28"/>
          <w:lang w:val="en-US" w:eastAsia="zh-CN"/>
        </w:rPr>
        <w:t>：（公章）</w:t>
      </w:r>
    </w:p>
    <w:p>
      <w:pPr>
        <w:ind w:firstLine="5040" w:firstLineChars="1800"/>
        <w:jc w:val="left"/>
        <w:rPr>
          <w:rFonts w:hint="eastAsia"/>
          <w:sz w:val="28"/>
          <w:szCs w:val="28"/>
          <w:lang w:val="en-US" w:eastAsia="zh-CN"/>
        </w:rPr>
      </w:pPr>
      <w:r>
        <w:rPr>
          <w:rFonts w:hint="eastAsia"/>
          <w:sz w:val="28"/>
          <w:szCs w:val="28"/>
          <w:lang w:val="en-US" w:eastAsia="zh-CN"/>
        </w:rPr>
        <w:t>2020年10月12日</w:t>
      </w:r>
    </w:p>
    <w:p>
      <w:pPr>
        <w:rPr>
          <w:rFonts w:hint="eastAsia"/>
          <w:sz w:val="28"/>
          <w:szCs w:val="28"/>
          <w:lang w:val="en-US" w:eastAsia="zh-CN"/>
        </w:rPr>
      </w:pPr>
      <w:r>
        <w:rPr>
          <w:rFonts w:hint="eastAsia"/>
          <w:sz w:val="28"/>
          <w:szCs w:val="28"/>
          <w:lang w:val="en-US" w:eastAsia="zh-CN"/>
        </w:rPr>
        <w:br w:type="page"/>
      </w:r>
      <w:r>
        <w:rPr>
          <w:rFonts w:hint="eastAsia"/>
          <w:sz w:val="28"/>
          <w:szCs w:val="28"/>
          <w:lang w:val="en-US" w:eastAsia="zh-CN"/>
        </w:rPr>
        <w:br w:type="page"/>
      </w:r>
    </w:p>
    <w:p>
      <w:pPr>
        <w:pStyle w:val="2"/>
        <w:rPr>
          <w:rFonts w:hint="eastAsia"/>
          <w:lang w:val="en-US" w:eastAsia="zh-CN"/>
        </w:rPr>
      </w:pPr>
    </w:p>
    <w:p>
      <w:pPr>
        <w:rPr>
          <w:rFonts w:hint="eastAsia"/>
          <w:sz w:val="30"/>
          <w:szCs w:val="30"/>
          <w:lang w:eastAsia="zh-CN"/>
        </w:rPr>
      </w:pPr>
      <w:r>
        <w:rPr>
          <w:rFonts w:hint="eastAsia"/>
          <w:sz w:val="30"/>
          <w:szCs w:val="30"/>
          <w:lang w:eastAsia="zh-CN"/>
        </w:rPr>
        <w:drawing>
          <wp:anchor distT="0" distB="0" distL="114300" distR="114300" simplePos="0" relativeHeight="843696128" behindDoc="1" locked="0" layoutInCell="1" allowOverlap="1">
            <wp:simplePos x="0" y="0"/>
            <wp:positionH relativeFrom="column">
              <wp:posOffset>-337820</wp:posOffset>
            </wp:positionH>
            <wp:positionV relativeFrom="paragraph">
              <wp:posOffset>-539750</wp:posOffset>
            </wp:positionV>
            <wp:extent cx="6904355" cy="9495155"/>
            <wp:effectExtent l="0" t="0" r="10795" b="10795"/>
            <wp:wrapNone/>
            <wp:docPr id="45" name="图片 45" descr="e5e9e4ea1dbf6edcc5e6181ee75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5e9e4ea1dbf6edcc5e6181ee751295"/>
                    <pic:cNvPicPr>
                      <a:picLocks noChangeAspect="1"/>
                    </pic:cNvPicPr>
                  </pic:nvPicPr>
                  <pic:blipFill>
                    <a:blip r:embed="rId38"/>
                    <a:stretch>
                      <a:fillRect/>
                    </a:stretch>
                  </pic:blipFill>
                  <pic:spPr>
                    <a:xfrm>
                      <a:off x="0" y="0"/>
                      <a:ext cx="6904355" cy="9495155"/>
                    </a:xfrm>
                    <a:prstGeom prst="rect">
                      <a:avLst/>
                    </a:prstGeom>
                  </pic:spPr>
                </pic:pic>
              </a:graphicData>
            </a:graphic>
          </wp:anchor>
        </w:drawing>
      </w:r>
      <w:r>
        <w:rPr>
          <w:rFonts w:hint="eastAsia"/>
          <w:sz w:val="30"/>
          <w:szCs w:val="30"/>
          <w:lang w:eastAsia="zh-CN"/>
        </w:rPr>
        <w:t>附件二：</w:t>
      </w:r>
    </w:p>
    <w:p>
      <w:pPr>
        <w:jc w:val="center"/>
        <w:rPr>
          <w:rFonts w:hint="eastAsia"/>
          <w:sz w:val="30"/>
          <w:szCs w:val="30"/>
          <w:lang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sz w:val="30"/>
          <w:szCs w:val="30"/>
          <w:lang w:eastAsia="zh-CN"/>
        </w:rPr>
      </w:pPr>
      <w:r>
        <w:rPr>
          <w:rFonts w:hint="eastAsia"/>
          <w:sz w:val="30"/>
          <w:szCs w:val="30"/>
          <w:lang w:eastAsia="zh-CN"/>
        </w:rPr>
        <w:br w:type="page"/>
      </w:r>
    </w:p>
    <w:p>
      <w:pPr>
        <w:rPr>
          <w:rFonts w:hint="eastAsia"/>
          <w:sz w:val="30"/>
          <w:szCs w:val="30"/>
          <w:lang w:eastAsia="zh-CN"/>
        </w:rPr>
      </w:pPr>
      <w:r>
        <w:rPr>
          <w:rFonts w:hint="eastAsia"/>
          <w:lang w:val="en-US" w:eastAsia="zh-CN"/>
        </w:rPr>
        <w:drawing>
          <wp:anchor distT="0" distB="0" distL="114300" distR="114300" simplePos="0" relativeHeight="843684864" behindDoc="1" locked="0" layoutInCell="1" allowOverlap="1">
            <wp:simplePos x="0" y="0"/>
            <wp:positionH relativeFrom="column">
              <wp:posOffset>1469390</wp:posOffset>
            </wp:positionH>
            <wp:positionV relativeFrom="paragraph">
              <wp:posOffset>-1108710</wp:posOffset>
            </wp:positionV>
            <wp:extent cx="5763895" cy="8625205"/>
            <wp:effectExtent l="0" t="0" r="4445" b="8255"/>
            <wp:wrapNone/>
            <wp:docPr id="46" name="图片 1" descr="尧山南区营业执照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descr="尧山南区营业执照 001"/>
                    <pic:cNvPicPr>
                      <a:picLocks noChangeAspect="1"/>
                    </pic:cNvPicPr>
                  </pic:nvPicPr>
                  <pic:blipFill>
                    <a:blip r:embed="rId39"/>
                    <a:stretch>
                      <a:fillRect/>
                    </a:stretch>
                  </pic:blipFill>
                  <pic:spPr>
                    <a:xfrm rot="5400000">
                      <a:off x="0" y="0"/>
                      <a:ext cx="5763895" cy="8625205"/>
                    </a:xfrm>
                    <a:prstGeom prst="rect">
                      <a:avLst/>
                    </a:prstGeom>
                    <a:noFill/>
                    <a:ln>
                      <a:noFill/>
                    </a:ln>
                  </pic:spPr>
                </pic:pic>
              </a:graphicData>
            </a:graphic>
          </wp:anchor>
        </w:drawing>
      </w:r>
      <w:r>
        <w:rPr>
          <w:rFonts w:hint="eastAsia"/>
          <w:sz w:val="30"/>
          <w:szCs w:val="30"/>
          <w:lang w:eastAsia="zh-CN"/>
        </w:rPr>
        <w:t>附件三：</w:t>
      </w:r>
    </w:p>
    <w:p>
      <w:pPr>
        <w:rPr>
          <w:rFonts w:hint="eastAsia"/>
          <w:sz w:val="30"/>
          <w:szCs w:val="30"/>
          <w:lang w:eastAsia="zh-CN"/>
        </w:rPr>
      </w:pPr>
    </w:p>
    <w:p>
      <w:pPr>
        <w:rPr>
          <w:rFonts w:hint="eastAsia"/>
          <w:sz w:val="30"/>
          <w:szCs w:val="30"/>
          <w:lang w:eastAsia="zh-CN"/>
        </w:rPr>
      </w:pPr>
      <w:r>
        <w:rPr>
          <w:rFonts w:hint="eastAsia"/>
          <w:sz w:val="30"/>
          <w:szCs w:val="30"/>
          <w:lang w:eastAsia="zh-CN"/>
        </w:rPr>
        <w:br w:type="page"/>
      </w:r>
    </w:p>
    <w:p>
      <w:pPr>
        <w:pStyle w:val="2"/>
        <w:rPr>
          <w:rFonts w:hint="eastAsia"/>
          <w:lang w:eastAsia="zh-CN"/>
        </w:rPr>
        <w:sectPr>
          <w:pgSz w:w="16838" w:h="11906" w:orient="landscape"/>
          <w:pgMar w:top="1236" w:right="1440" w:bottom="1236" w:left="1440"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p>
    <w:p>
      <w:pPr>
        <w:rPr>
          <w:rFonts w:hint="eastAsia"/>
          <w:sz w:val="30"/>
          <w:szCs w:val="30"/>
          <w:lang w:eastAsia="zh-CN"/>
        </w:rPr>
      </w:pPr>
      <w:r>
        <w:drawing>
          <wp:anchor distT="0" distB="0" distL="114300" distR="114300" simplePos="0" relativeHeight="843696128" behindDoc="1" locked="0" layoutInCell="1" allowOverlap="1">
            <wp:simplePos x="0" y="0"/>
            <wp:positionH relativeFrom="column">
              <wp:posOffset>-640715</wp:posOffset>
            </wp:positionH>
            <wp:positionV relativeFrom="paragraph">
              <wp:posOffset>-623570</wp:posOffset>
            </wp:positionV>
            <wp:extent cx="7279005" cy="10161905"/>
            <wp:effectExtent l="0" t="0" r="17145" b="10795"/>
            <wp:wrapNone/>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0"/>
                    <a:stretch>
                      <a:fillRect/>
                    </a:stretch>
                  </pic:blipFill>
                  <pic:spPr>
                    <a:xfrm>
                      <a:off x="0" y="0"/>
                      <a:ext cx="7279005" cy="10161905"/>
                    </a:xfrm>
                    <a:prstGeom prst="rect">
                      <a:avLst/>
                    </a:prstGeom>
                    <a:noFill/>
                    <a:ln>
                      <a:noFill/>
                    </a:ln>
                  </pic:spPr>
                </pic:pic>
              </a:graphicData>
            </a:graphic>
          </wp:anchor>
        </w:drawing>
      </w:r>
      <w:r>
        <w:rPr>
          <w:rFonts w:hint="eastAsia"/>
          <w:sz w:val="30"/>
          <w:szCs w:val="30"/>
          <w:lang w:eastAsia="zh-CN"/>
        </w:rPr>
        <w:t>附件四</w:t>
      </w:r>
    </w:p>
    <w:p/>
    <w:p>
      <w:r>
        <w:br w:type="page"/>
      </w:r>
    </w:p>
    <w:p>
      <w:r>
        <w:br w:type="page"/>
      </w:r>
    </w:p>
    <w:p>
      <w:pPr>
        <w:pStyle w:val="2"/>
      </w:pPr>
    </w:p>
    <w:p>
      <w:r>
        <w:drawing>
          <wp:anchor distT="0" distB="0" distL="114300" distR="114300" simplePos="0" relativeHeight="843696128" behindDoc="1" locked="0" layoutInCell="1" allowOverlap="1">
            <wp:simplePos x="0" y="0"/>
            <wp:positionH relativeFrom="column">
              <wp:posOffset>-649605</wp:posOffset>
            </wp:positionH>
            <wp:positionV relativeFrom="paragraph">
              <wp:posOffset>-764540</wp:posOffset>
            </wp:positionV>
            <wp:extent cx="7526655" cy="10288905"/>
            <wp:effectExtent l="0" t="0" r="17145" b="17145"/>
            <wp:wrapNone/>
            <wp:docPr id="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4"/>
                    <pic:cNvPicPr>
                      <a:picLocks noChangeAspect="1"/>
                    </pic:cNvPicPr>
                  </pic:nvPicPr>
                  <pic:blipFill>
                    <a:blip r:embed="rId41"/>
                    <a:stretch>
                      <a:fillRect/>
                    </a:stretch>
                  </pic:blipFill>
                  <pic:spPr>
                    <a:xfrm>
                      <a:off x="0" y="0"/>
                      <a:ext cx="7526655" cy="10288905"/>
                    </a:xfrm>
                    <a:prstGeom prst="rect">
                      <a:avLst/>
                    </a:prstGeom>
                    <a:noFill/>
                    <a:ln>
                      <a:noFill/>
                    </a:ln>
                  </pic:spPr>
                </pic:pic>
              </a:graphicData>
            </a:graphic>
          </wp:anchor>
        </w:drawing>
      </w:r>
    </w:p>
    <w:p>
      <w:r>
        <w:br w:type="page"/>
      </w:r>
    </w:p>
    <w:p>
      <w:r>
        <w:br w:type="page"/>
      </w:r>
    </w:p>
    <w:p>
      <w:pPr>
        <w:pStyle w:val="2"/>
      </w:pPr>
    </w:p>
    <w:p>
      <w:r>
        <w:drawing>
          <wp:anchor distT="0" distB="0" distL="114300" distR="114300" simplePos="0" relativeHeight="843696128" behindDoc="1" locked="0" layoutInCell="1" allowOverlap="1">
            <wp:simplePos x="0" y="0"/>
            <wp:positionH relativeFrom="column">
              <wp:posOffset>-692785</wp:posOffset>
            </wp:positionH>
            <wp:positionV relativeFrom="paragraph">
              <wp:posOffset>-867410</wp:posOffset>
            </wp:positionV>
            <wp:extent cx="7574280" cy="10271125"/>
            <wp:effectExtent l="0" t="0" r="7620" b="15875"/>
            <wp:wrapNone/>
            <wp:docPr id="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a:picLocks noChangeAspect="1"/>
                    </pic:cNvPicPr>
                  </pic:nvPicPr>
                  <pic:blipFill>
                    <a:blip r:embed="rId42"/>
                    <a:stretch>
                      <a:fillRect/>
                    </a:stretch>
                  </pic:blipFill>
                  <pic:spPr>
                    <a:xfrm>
                      <a:off x="0" y="0"/>
                      <a:ext cx="7574280" cy="10271125"/>
                    </a:xfrm>
                    <a:prstGeom prst="rect">
                      <a:avLst/>
                    </a:prstGeom>
                    <a:noFill/>
                    <a:ln>
                      <a:noFill/>
                    </a:ln>
                  </pic:spPr>
                </pic:pic>
              </a:graphicData>
            </a:graphic>
          </wp:anchor>
        </w:drawing>
      </w:r>
    </w:p>
    <w:p>
      <w:r>
        <w:br w:type="page"/>
      </w:r>
    </w:p>
    <w:p>
      <w:r>
        <w:br w:type="page"/>
      </w:r>
    </w:p>
    <w:p>
      <w:pPr>
        <w:pStyle w:val="2"/>
      </w:pPr>
    </w:p>
    <w:p>
      <w:pPr>
        <w:rPr>
          <w:rFonts w:hint="eastAsia"/>
          <w:sz w:val="30"/>
          <w:szCs w:val="30"/>
          <w:lang w:eastAsia="zh-CN"/>
        </w:rPr>
      </w:pPr>
      <w:r>
        <w:drawing>
          <wp:anchor distT="0" distB="0" distL="114300" distR="114300" simplePos="0" relativeHeight="843696128" behindDoc="1" locked="0" layoutInCell="1" allowOverlap="1">
            <wp:simplePos x="0" y="0"/>
            <wp:positionH relativeFrom="column">
              <wp:posOffset>-662940</wp:posOffset>
            </wp:positionH>
            <wp:positionV relativeFrom="paragraph">
              <wp:posOffset>-755015</wp:posOffset>
            </wp:positionV>
            <wp:extent cx="7176135" cy="10128250"/>
            <wp:effectExtent l="0" t="0" r="5715" b="6350"/>
            <wp:wrapNone/>
            <wp:docPr id="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6"/>
                    <pic:cNvPicPr>
                      <a:picLocks noChangeAspect="1"/>
                    </pic:cNvPicPr>
                  </pic:nvPicPr>
                  <pic:blipFill>
                    <a:blip r:embed="rId43"/>
                    <a:stretch>
                      <a:fillRect/>
                    </a:stretch>
                  </pic:blipFill>
                  <pic:spPr>
                    <a:xfrm>
                      <a:off x="0" y="0"/>
                      <a:ext cx="7176135" cy="10128250"/>
                    </a:xfrm>
                    <a:prstGeom prst="rect">
                      <a:avLst/>
                    </a:prstGeom>
                    <a:noFill/>
                    <a:ln>
                      <a:noFill/>
                    </a:ln>
                  </pic:spPr>
                </pic:pic>
              </a:graphicData>
            </a:graphic>
          </wp:anchor>
        </w:drawing>
      </w:r>
      <w:r>
        <w:rPr>
          <w:rFonts w:hint="eastAsia"/>
          <w:sz w:val="30"/>
          <w:szCs w:val="30"/>
          <w:lang w:eastAsia="zh-CN"/>
        </w:rPr>
        <w:br w:type="page"/>
      </w:r>
    </w:p>
    <w:p>
      <w:pPr>
        <w:rPr>
          <w:rFonts w:hint="eastAsia"/>
          <w:sz w:val="30"/>
          <w:szCs w:val="30"/>
        </w:rPr>
      </w:pPr>
      <w:r>
        <w:rPr>
          <w:rFonts w:hint="eastAsia"/>
          <w:sz w:val="30"/>
          <w:szCs w:val="30"/>
        </w:rPr>
        <w:br w:type="page"/>
      </w:r>
    </w:p>
    <w:p>
      <w:pPr>
        <w:rPr>
          <w:rFonts w:hint="eastAsia"/>
          <w:sz w:val="30"/>
          <w:szCs w:val="30"/>
          <w:lang w:val="en-US" w:eastAsia="zh-CN"/>
        </w:rPr>
      </w:pPr>
      <w:r>
        <w:rPr>
          <w:rFonts w:hint="eastAsia"/>
          <w:sz w:val="30"/>
          <w:szCs w:val="30"/>
        </w:rPr>
        <w:t>附件</w:t>
      </w:r>
      <w:r>
        <w:rPr>
          <w:rFonts w:hint="eastAsia"/>
          <w:sz w:val="30"/>
          <w:szCs w:val="30"/>
          <w:lang w:eastAsia="zh-CN"/>
        </w:rPr>
        <w:t>五</w:t>
      </w:r>
      <w:r>
        <w:rPr>
          <w:rFonts w:hint="eastAsia"/>
          <w:sz w:val="30"/>
          <w:szCs w:val="30"/>
        </w:rPr>
        <w:t>：</w:t>
      </w:r>
      <w:r>
        <w:rPr>
          <w:rFonts w:hint="eastAsia"/>
          <w:sz w:val="30"/>
          <w:szCs w:val="30"/>
          <w:lang w:val="en-US" w:eastAsia="zh-CN"/>
        </w:rPr>
        <w:t xml:space="preserve">  </w:t>
      </w:r>
    </w:p>
    <w:p>
      <w:pPr>
        <w:jc w:val="center"/>
        <w:rPr>
          <w:rFonts w:hint="eastAsia"/>
          <w:lang w:val="en-US" w:eastAsia="zh-CN"/>
        </w:rPr>
      </w:pPr>
      <w:r>
        <w:rPr>
          <w:rFonts w:hint="eastAsia"/>
          <w:lang w:val="en-US" w:eastAsia="zh-CN"/>
        </w:rPr>
        <w:drawing>
          <wp:inline distT="0" distB="0" distL="114300" distR="114300">
            <wp:extent cx="6102350" cy="8368665"/>
            <wp:effectExtent l="0" t="0" r="12700" b="13335"/>
            <wp:docPr id="72" name="图片 17" descr="94d9335633db9a22ef7744dcc8129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94d9335633db9a22ef7744dcc81299f"/>
                    <pic:cNvPicPr>
                      <a:picLocks noChangeAspect="1"/>
                    </pic:cNvPicPr>
                  </pic:nvPicPr>
                  <pic:blipFill>
                    <a:blip r:embed="rId44"/>
                    <a:stretch>
                      <a:fillRect/>
                    </a:stretch>
                  </pic:blipFill>
                  <pic:spPr>
                    <a:xfrm>
                      <a:off x="0" y="0"/>
                      <a:ext cx="6102350" cy="8368665"/>
                    </a:xfrm>
                    <a:prstGeom prst="rect">
                      <a:avLst/>
                    </a:prstGeom>
                    <a:noFill/>
                    <a:ln>
                      <a:noFill/>
                    </a:ln>
                  </pic:spPr>
                </pic:pic>
              </a:graphicData>
            </a:graphic>
          </wp:inline>
        </w:drawing>
      </w:r>
    </w:p>
    <w:p>
      <w:pPr>
        <w:rPr>
          <w:rFonts w:hint="eastAsia"/>
          <w:lang w:val="en-US" w:eastAsia="zh-CN"/>
        </w:rPr>
      </w:pPr>
    </w:p>
    <w:p>
      <w:pPr>
        <w:jc w:val="center"/>
        <w:rPr>
          <w:rFonts w:hint="eastAsia"/>
          <w:sz w:val="30"/>
          <w:szCs w:val="30"/>
          <w:lang w:val="en-US" w:eastAsia="zh-CN"/>
        </w:rPr>
      </w:pPr>
      <w:r>
        <w:rPr>
          <w:rFonts w:hint="eastAsia"/>
          <w:lang w:val="en-US" w:eastAsia="zh-CN"/>
        </w:rPr>
        <w:drawing>
          <wp:inline distT="0" distB="0" distL="114300" distR="114300">
            <wp:extent cx="5910580" cy="7929245"/>
            <wp:effectExtent l="0" t="0" r="13970" b="14605"/>
            <wp:docPr id="73" name="图片 18" descr="bd9acc14be7fdf426943b3eee112c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descr="bd9acc14be7fdf426943b3eee112c54"/>
                    <pic:cNvPicPr>
                      <a:picLocks noChangeAspect="1"/>
                    </pic:cNvPicPr>
                  </pic:nvPicPr>
                  <pic:blipFill>
                    <a:blip r:embed="rId45"/>
                    <a:srcRect t="11189"/>
                    <a:stretch>
                      <a:fillRect/>
                    </a:stretch>
                  </pic:blipFill>
                  <pic:spPr>
                    <a:xfrm>
                      <a:off x="0" y="0"/>
                      <a:ext cx="5910580" cy="7929245"/>
                    </a:xfrm>
                    <a:prstGeom prst="rect">
                      <a:avLst/>
                    </a:prstGeom>
                    <a:noFill/>
                    <a:ln>
                      <a:noFill/>
                    </a:ln>
                  </pic:spPr>
                </pic:pic>
              </a:graphicData>
            </a:graphic>
          </wp:inline>
        </w:drawing>
      </w:r>
      <w:r>
        <w:rPr>
          <w:rFonts w:hint="eastAsia"/>
          <w:lang w:val="en-US" w:eastAsia="zh-CN"/>
        </w:rPr>
        <w:drawing>
          <wp:inline distT="0" distB="0" distL="114300" distR="114300">
            <wp:extent cx="6106795" cy="7873365"/>
            <wp:effectExtent l="0" t="0" r="8255" b="13335"/>
            <wp:docPr id="76" name="图片 19" descr="fa867e5208aef812fa752d65f601d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9" descr="fa867e5208aef812fa752d65f601d6b"/>
                    <pic:cNvPicPr>
                      <a:picLocks noChangeAspect="1"/>
                    </pic:cNvPicPr>
                  </pic:nvPicPr>
                  <pic:blipFill>
                    <a:blip r:embed="rId46"/>
                    <a:stretch>
                      <a:fillRect/>
                    </a:stretch>
                  </pic:blipFill>
                  <pic:spPr>
                    <a:xfrm>
                      <a:off x="0" y="0"/>
                      <a:ext cx="6106795" cy="7873365"/>
                    </a:xfrm>
                    <a:prstGeom prst="rect">
                      <a:avLst/>
                    </a:prstGeom>
                    <a:noFill/>
                    <a:ln>
                      <a:noFill/>
                    </a:ln>
                  </pic:spPr>
                </pic:pic>
              </a:graphicData>
            </a:graphic>
          </wp:inline>
        </w:drawing>
      </w:r>
      <w:r>
        <w:rPr>
          <w:rFonts w:hint="eastAsia"/>
          <w:lang w:val="en-US" w:eastAsia="zh-CN"/>
        </w:rPr>
        <w:drawing>
          <wp:inline distT="0" distB="0" distL="114300" distR="114300">
            <wp:extent cx="5671185" cy="8524240"/>
            <wp:effectExtent l="0" t="0" r="5715" b="10160"/>
            <wp:docPr id="77" name="图片 20" descr="69f4515a5386ba811af54432e1d5f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0" descr="69f4515a5386ba811af54432e1d5f0e"/>
                    <pic:cNvPicPr>
                      <a:picLocks noChangeAspect="1"/>
                    </pic:cNvPicPr>
                  </pic:nvPicPr>
                  <pic:blipFill>
                    <a:blip r:embed="rId47"/>
                    <a:srcRect t="3465" b="3107"/>
                    <a:stretch>
                      <a:fillRect/>
                    </a:stretch>
                  </pic:blipFill>
                  <pic:spPr>
                    <a:xfrm>
                      <a:off x="0" y="0"/>
                      <a:ext cx="5671185" cy="85242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textAlignment w:val="auto"/>
        <w:rPr>
          <w:rFonts w:hint="eastAsia"/>
          <w:sz w:val="30"/>
          <w:szCs w:val="30"/>
        </w:rPr>
      </w:pPr>
      <w:r>
        <w:rPr>
          <w:rFonts w:hint="eastAsia"/>
          <w:sz w:val="30"/>
          <w:szCs w:val="30"/>
        </w:rPr>
        <w:t>附件</w:t>
      </w:r>
      <w:r>
        <w:rPr>
          <w:rFonts w:hint="eastAsia"/>
          <w:sz w:val="30"/>
          <w:szCs w:val="30"/>
          <w:lang w:eastAsia="zh-CN"/>
        </w:rPr>
        <w:t>六</w:t>
      </w:r>
      <w:r>
        <w:rPr>
          <w:rFonts w:hint="eastAsia"/>
          <w:sz w:val="30"/>
          <w:szCs w:val="30"/>
        </w:rPr>
        <w:t>：</w:t>
      </w:r>
      <w:r>
        <w:rPr>
          <w:rFonts w:hint="eastAsia"/>
          <w:sz w:val="30"/>
          <w:szCs w:val="30"/>
          <w:lang w:val="en-US" w:eastAsia="zh-CN"/>
        </w:rPr>
        <w:t xml:space="preserve">              </w:t>
      </w:r>
    </w:p>
    <w:p>
      <w:pPr>
        <w:jc w:val="center"/>
        <w:rPr>
          <w:rFonts w:hint="eastAsia" w:eastAsia="宋体"/>
          <w:sz w:val="30"/>
          <w:szCs w:val="30"/>
          <w:lang w:eastAsia="zh-CN"/>
        </w:rPr>
      </w:pPr>
      <w:r>
        <w:rPr>
          <w:rFonts w:hint="eastAsia"/>
          <w:lang w:val="en-US" w:eastAsia="zh-CN"/>
        </w:rPr>
        <w:drawing>
          <wp:inline distT="0" distB="0" distL="114300" distR="114300">
            <wp:extent cx="5993765" cy="8442960"/>
            <wp:effectExtent l="0" t="0" r="6985" b="15240"/>
            <wp:docPr id="78" name="图片 21" descr="9d96535be9a645005831618ad19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descr="9d96535be9a645005831618ad194601"/>
                    <pic:cNvPicPr>
                      <a:picLocks noChangeAspect="1"/>
                    </pic:cNvPicPr>
                  </pic:nvPicPr>
                  <pic:blipFill>
                    <a:blip r:embed="rId48"/>
                    <a:srcRect t="12094"/>
                    <a:stretch>
                      <a:fillRect/>
                    </a:stretch>
                  </pic:blipFill>
                  <pic:spPr>
                    <a:xfrm>
                      <a:off x="0" y="0"/>
                      <a:ext cx="5993765" cy="8442960"/>
                    </a:xfrm>
                    <a:prstGeom prst="rect">
                      <a:avLst/>
                    </a:prstGeom>
                    <a:noFill/>
                    <a:ln>
                      <a:noFill/>
                    </a:ln>
                  </pic:spPr>
                </pic:pic>
              </a:graphicData>
            </a:graphic>
          </wp:inline>
        </w:drawing>
      </w:r>
      <w:r>
        <w:rPr>
          <w:rFonts w:hint="eastAsia"/>
          <w:lang w:val="en-US" w:eastAsia="zh-CN"/>
        </w:rPr>
        <w:drawing>
          <wp:inline distT="0" distB="0" distL="114300" distR="114300">
            <wp:extent cx="5992495" cy="7955280"/>
            <wp:effectExtent l="0" t="0" r="8255" b="7620"/>
            <wp:docPr id="79" name="图片 22" descr="94311cd69cf887cac14adaafd3c8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2" descr="94311cd69cf887cac14adaafd3c8f40"/>
                    <pic:cNvPicPr>
                      <a:picLocks noChangeAspect="1"/>
                    </pic:cNvPicPr>
                  </pic:nvPicPr>
                  <pic:blipFill>
                    <a:blip r:embed="rId49"/>
                    <a:srcRect t="8742"/>
                    <a:stretch>
                      <a:fillRect/>
                    </a:stretch>
                  </pic:blipFill>
                  <pic:spPr>
                    <a:xfrm>
                      <a:off x="0" y="0"/>
                      <a:ext cx="5992495" cy="7955280"/>
                    </a:xfrm>
                    <a:prstGeom prst="rect">
                      <a:avLst/>
                    </a:prstGeom>
                    <a:noFill/>
                    <a:ln>
                      <a:noFill/>
                    </a:ln>
                  </pic:spPr>
                </pic:pic>
              </a:graphicData>
            </a:graphic>
          </wp:inline>
        </w:drawing>
      </w:r>
    </w:p>
    <w:p>
      <w:pPr>
        <w:tabs>
          <w:tab w:val="left" w:pos="3240"/>
        </w:tabs>
        <w:rPr>
          <w:rFonts w:hint="eastAsia"/>
          <w:lang w:val="en-US" w:eastAsia="zh-CN"/>
        </w:rPr>
      </w:pPr>
      <w:r>
        <w:rPr>
          <w:rFonts w:hint="eastAsia"/>
          <w:lang w:val="en-US" w:eastAsia="zh-CN"/>
        </w:rPr>
        <w:drawing>
          <wp:inline distT="0" distB="0" distL="114300" distR="114300">
            <wp:extent cx="6120130" cy="8688070"/>
            <wp:effectExtent l="0" t="0" r="13970" b="17780"/>
            <wp:docPr id="80" name="图片 23" descr="1b9423ae5d8e00f6be35544861371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3" descr="1b9423ae5d8e00f6be35544861371b3"/>
                    <pic:cNvPicPr>
                      <a:picLocks noChangeAspect="1"/>
                    </pic:cNvPicPr>
                  </pic:nvPicPr>
                  <pic:blipFill>
                    <a:blip r:embed="rId50"/>
                    <a:stretch>
                      <a:fillRect/>
                    </a:stretch>
                  </pic:blipFill>
                  <pic:spPr>
                    <a:xfrm>
                      <a:off x="0" y="0"/>
                      <a:ext cx="6120130" cy="8688070"/>
                    </a:xfrm>
                    <a:prstGeom prst="rect">
                      <a:avLst/>
                    </a:prstGeom>
                    <a:noFill/>
                    <a:ln>
                      <a:noFill/>
                    </a:ln>
                  </pic:spPr>
                </pic:pic>
              </a:graphicData>
            </a:graphic>
          </wp:inline>
        </w:drawing>
      </w:r>
      <w:r>
        <w:rPr>
          <w:rFonts w:hint="eastAsia"/>
          <w:lang w:val="en-US" w:eastAsia="zh-CN"/>
        </w:rPr>
        <w:drawing>
          <wp:inline distT="0" distB="0" distL="114300" distR="114300">
            <wp:extent cx="6166485" cy="8370570"/>
            <wp:effectExtent l="0" t="0" r="5715" b="11430"/>
            <wp:docPr id="81" name="图片 24" descr="eba2646742b6908e6bb473a3b315d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4" descr="eba2646742b6908e6bb473a3b315d9c"/>
                    <pic:cNvPicPr>
                      <a:picLocks noChangeAspect="1"/>
                    </pic:cNvPicPr>
                  </pic:nvPicPr>
                  <pic:blipFill>
                    <a:blip r:embed="rId51"/>
                    <a:srcRect t="12335"/>
                    <a:stretch>
                      <a:fillRect/>
                    </a:stretch>
                  </pic:blipFill>
                  <pic:spPr>
                    <a:xfrm>
                      <a:off x="0" y="0"/>
                      <a:ext cx="6166485" cy="8370570"/>
                    </a:xfrm>
                    <a:prstGeom prst="rect">
                      <a:avLst/>
                    </a:prstGeom>
                    <a:noFill/>
                    <a:ln>
                      <a:noFill/>
                    </a:ln>
                  </pic:spPr>
                </pic:pic>
              </a:graphicData>
            </a:graphic>
          </wp:inline>
        </w:drawing>
      </w:r>
    </w:p>
    <w:p>
      <w:pPr>
        <w:tabs>
          <w:tab w:val="left" w:pos="3240"/>
        </w:tabs>
        <w:rPr>
          <w:rFonts w:hint="eastAsia"/>
          <w:sz w:val="30"/>
          <w:szCs w:val="30"/>
          <w:lang w:val="en-US" w:eastAsia="zh-CN"/>
        </w:rPr>
        <w:sectPr>
          <w:pgSz w:w="11906" w:h="16838"/>
          <w:pgMar w:top="1440" w:right="1236" w:bottom="1440" w:left="1236" w:header="851" w:footer="992" w:gutter="0"/>
          <w:pgBorders>
            <w:top w:val="none" w:sz="0" w:space="0"/>
            <w:left w:val="none" w:sz="0" w:space="0"/>
            <w:bottom w:val="none" w:sz="0" w:space="0"/>
            <w:right w:val="none" w:sz="0" w:space="0"/>
          </w:pgBorders>
          <w:pgNumType w:fmt="decimal"/>
          <w:cols w:space="720" w:num="1"/>
          <w:rtlGutter w:val="0"/>
          <w:docGrid w:type="lines" w:linePitch="325" w:charSpace="0"/>
        </w:sectPr>
      </w:pPr>
      <w:r>
        <w:rPr>
          <w:rFonts w:hint="eastAsia"/>
          <w:sz w:val="30"/>
          <w:szCs w:val="30"/>
          <w:lang w:val="en-US" w:eastAsia="zh-CN"/>
        </w:rPr>
        <w:t xml:space="preserve">          </w:t>
      </w:r>
    </w:p>
    <w:p>
      <w:pPr>
        <w:tabs>
          <w:tab w:val="left" w:pos="3240"/>
        </w:tabs>
        <w:rPr>
          <w:rFonts w:hint="eastAsia"/>
          <w:sz w:val="30"/>
          <w:szCs w:val="30"/>
        </w:rPr>
      </w:pPr>
      <w:r>
        <w:drawing>
          <wp:anchor distT="0" distB="0" distL="114300" distR="114300" simplePos="0" relativeHeight="843729920" behindDoc="1" locked="0" layoutInCell="1" allowOverlap="1">
            <wp:simplePos x="0" y="0"/>
            <wp:positionH relativeFrom="column">
              <wp:posOffset>-1004570</wp:posOffset>
            </wp:positionH>
            <wp:positionV relativeFrom="paragraph">
              <wp:posOffset>-628015</wp:posOffset>
            </wp:positionV>
            <wp:extent cx="6985000" cy="9873615"/>
            <wp:effectExtent l="0" t="0" r="6350" b="13335"/>
            <wp:wrapNone/>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52"/>
                    <a:stretch>
                      <a:fillRect/>
                    </a:stretch>
                  </pic:blipFill>
                  <pic:spPr>
                    <a:xfrm>
                      <a:off x="0" y="0"/>
                      <a:ext cx="6985000" cy="9873615"/>
                    </a:xfrm>
                    <a:prstGeom prst="rect">
                      <a:avLst/>
                    </a:prstGeom>
                    <a:noFill/>
                    <a:ln>
                      <a:noFill/>
                    </a:ln>
                  </pic:spPr>
                </pic:pic>
              </a:graphicData>
            </a:graphic>
          </wp:anchor>
        </w:drawing>
      </w:r>
      <w:r>
        <w:rPr>
          <w:rFonts w:hint="eastAsia"/>
          <w:sz w:val="30"/>
          <w:szCs w:val="30"/>
        </w:rPr>
        <w:t>附件</w:t>
      </w:r>
      <w:r>
        <w:rPr>
          <w:rFonts w:hint="eastAsia"/>
          <w:sz w:val="30"/>
          <w:szCs w:val="30"/>
          <w:lang w:eastAsia="zh-CN"/>
        </w:rPr>
        <w:t>七</w:t>
      </w:r>
      <w:r>
        <w:rPr>
          <w:rFonts w:hint="eastAsia"/>
          <w:sz w:val="30"/>
          <w:szCs w:val="30"/>
        </w:rPr>
        <w:t>：</w:t>
      </w:r>
    </w:p>
    <w:p>
      <w:r>
        <w:br w:type="page"/>
      </w:r>
    </w:p>
    <w:p>
      <w:r>
        <w:br w:type="page"/>
      </w:r>
    </w:p>
    <w:p>
      <w:pPr>
        <w:ind w:left="0" w:leftChars="0" w:firstLine="0" w:firstLineChars="0"/>
      </w:pPr>
      <w:r>
        <w:drawing>
          <wp:anchor distT="0" distB="0" distL="114300" distR="114300" simplePos="0" relativeHeight="843696128" behindDoc="1" locked="0" layoutInCell="1" allowOverlap="1">
            <wp:simplePos x="0" y="0"/>
            <wp:positionH relativeFrom="column">
              <wp:posOffset>-1047750</wp:posOffset>
            </wp:positionH>
            <wp:positionV relativeFrom="paragraph">
              <wp:posOffset>-624205</wp:posOffset>
            </wp:positionV>
            <wp:extent cx="7320915" cy="10155555"/>
            <wp:effectExtent l="0" t="0" r="13335" b="17145"/>
            <wp:wrapNone/>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53"/>
                    <a:stretch>
                      <a:fillRect/>
                    </a:stretch>
                  </pic:blipFill>
                  <pic:spPr>
                    <a:xfrm>
                      <a:off x="0" y="0"/>
                      <a:ext cx="7320915" cy="10155555"/>
                    </a:xfrm>
                    <a:prstGeom prst="rect">
                      <a:avLst/>
                    </a:prstGeom>
                    <a:noFill/>
                    <a:ln>
                      <a:noFill/>
                    </a:ln>
                  </pic:spPr>
                </pic:pic>
              </a:graphicData>
            </a:graphic>
          </wp:anchor>
        </w:drawing>
      </w:r>
    </w:p>
    <w:p>
      <w:r>
        <w:br w:type="page"/>
      </w:r>
      <w:r>
        <w:br w:type="page"/>
      </w:r>
    </w:p>
    <w:p>
      <w:pPr>
        <w:pStyle w:val="2"/>
      </w:pPr>
    </w:p>
    <w:p>
      <w:pPr>
        <w:ind w:left="0" w:leftChars="0" w:firstLine="0" w:firstLineChars="0"/>
      </w:pPr>
      <w:r>
        <w:drawing>
          <wp:anchor distT="0" distB="0" distL="114300" distR="114300" simplePos="0" relativeHeight="843696128" behindDoc="1" locked="0" layoutInCell="1" allowOverlap="1">
            <wp:simplePos x="0" y="0"/>
            <wp:positionH relativeFrom="column">
              <wp:posOffset>-1108075</wp:posOffset>
            </wp:positionH>
            <wp:positionV relativeFrom="paragraph">
              <wp:posOffset>-840105</wp:posOffset>
            </wp:positionV>
            <wp:extent cx="7592695" cy="10494645"/>
            <wp:effectExtent l="0" t="0" r="8255" b="1905"/>
            <wp:wrapNone/>
            <wp:docPr id="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
                    <pic:cNvPicPr>
                      <a:picLocks noChangeAspect="1"/>
                    </pic:cNvPicPr>
                  </pic:nvPicPr>
                  <pic:blipFill>
                    <a:blip r:embed="rId54"/>
                    <a:stretch>
                      <a:fillRect/>
                    </a:stretch>
                  </pic:blipFill>
                  <pic:spPr>
                    <a:xfrm>
                      <a:off x="0" y="0"/>
                      <a:ext cx="7592695" cy="10494645"/>
                    </a:xfrm>
                    <a:prstGeom prst="rect">
                      <a:avLst/>
                    </a:prstGeom>
                    <a:noFill/>
                    <a:ln>
                      <a:noFill/>
                    </a:ln>
                  </pic:spPr>
                </pic:pic>
              </a:graphicData>
            </a:graphic>
          </wp:anchor>
        </w:drawing>
      </w:r>
    </w:p>
    <w:p>
      <w:r>
        <w:br w:type="page"/>
      </w:r>
    </w:p>
    <w:p>
      <w:r>
        <w:br w:type="page"/>
      </w:r>
    </w:p>
    <w:p>
      <w:pPr>
        <w:ind w:left="0" w:leftChars="0" w:firstLine="0" w:firstLineChars="0"/>
      </w:pPr>
      <w:r>
        <w:drawing>
          <wp:anchor distT="0" distB="0" distL="114300" distR="114300" simplePos="0" relativeHeight="843696128" behindDoc="1" locked="0" layoutInCell="1" allowOverlap="1">
            <wp:simplePos x="0" y="0"/>
            <wp:positionH relativeFrom="column">
              <wp:posOffset>-1039495</wp:posOffset>
            </wp:positionH>
            <wp:positionV relativeFrom="paragraph">
              <wp:posOffset>-876935</wp:posOffset>
            </wp:positionV>
            <wp:extent cx="7492365" cy="10552430"/>
            <wp:effectExtent l="0" t="0" r="13335" b="1270"/>
            <wp:wrapNone/>
            <wp:docPr id="8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
                    <pic:cNvPicPr>
                      <a:picLocks noChangeAspect="1"/>
                    </pic:cNvPicPr>
                  </pic:nvPicPr>
                  <pic:blipFill>
                    <a:blip r:embed="rId55"/>
                    <a:stretch>
                      <a:fillRect/>
                    </a:stretch>
                  </pic:blipFill>
                  <pic:spPr>
                    <a:xfrm>
                      <a:off x="0" y="0"/>
                      <a:ext cx="7492365" cy="10552430"/>
                    </a:xfrm>
                    <a:prstGeom prst="rect">
                      <a:avLst/>
                    </a:prstGeom>
                    <a:noFill/>
                    <a:ln>
                      <a:noFill/>
                    </a:ln>
                  </pic:spPr>
                </pic:pic>
              </a:graphicData>
            </a:graphic>
          </wp:anchor>
        </w:drawing>
      </w:r>
    </w:p>
    <w:p>
      <w:r>
        <w:br w:type="page"/>
      </w:r>
    </w:p>
    <w:p>
      <w:pPr>
        <w:ind w:left="0" w:leftChars="0" w:firstLine="0" w:firstLineChars="0"/>
      </w:pPr>
    </w:p>
    <w:p>
      <w:r>
        <w:br w:type="page"/>
      </w:r>
    </w:p>
    <w:p>
      <w:pPr>
        <w:pStyle w:val="2"/>
      </w:pPr>
      <w:r>
        <w:drawing>
          <wp:anchor distT="0" distB="0" distL="114300" distR="114300" simplePos="0" relativeHeight="2619844608" behindDoc="1" locked="0" layoutInCell="1" allowOverlap="1">
            <wp:simplePos x="0" y="0"/>
            <wp:positionH relativeFrom="column">
              <wp:posOffset>-987425</wp:posOffset>
            </wp:positionH>
            <wp:positionV relativeFrom="paragraph">
              <wp:posOffset>-792480</wp:posOffset>
            </wp:positionV>
            <wp:extent cx="7356475" cy="10412730"/>
            <wp:effectExtent l="0" t="0" r="15875" b="7620"/>
            <wp:wrapNone/>
            <wp:docPr id="8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
                    <pic:cNvPicPr>
                      <a:picLocks noChangeAspect="1"/>
                    </pic:cNvPicPr>
                  </pic:nvPicPr>
                  <pic:blipFill>
                    <a:blip r:embed="rId56"/>
                    <a:stretch>
                      <a:fillRect/>
                    </a:stretch>
                  </pic:blipFill>
                  <pic:spPr>
                    <a:xfrm>
                      <a:off x="0" y="0"/>
                      <a:ext cx="7356475" cy="10412730"/>
                    </a:xfrm>
                    <a:prstGeom prst="rect">
                      <a:avLst/>
                    </a:prstGeom>
                    <a:noFill/>
                    <a:ln>
                      <a:noFill/>
                    </a:ln>
                  </pic:spPr>
                </pic:pic>
              </a:graphicData>
            </a:graphic>
          </wp:anchor>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framePr w:wrap="around" w:vAnchor="text" w:hAnchor="margin" w:xAlign="center" w:y="1"/>
      <w:rPr>
        <w:rStyle w:val="24"/>
      </w:rPr>
    </w:pPr>
    <w:r>
      <w:fldChar w:fldCharType="begin"/>
    </w:r>
    <w:r>
      <w:rPr>
        <w:rStyle w:val="24"/>
      </w:rPr>
      <w:instrText xml:space="preserve">PAGE  </w:instrText>
    </w:r>
    <w:r>
      <w:fldChar w:fldCharType="end"/>
    </w:r>
  </w:p>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宋体"/>
                              <w:sz w:val="21"/>
                              <w:szCs w:val="21"/>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4</w:t>
                          </w:r>
                          <w:r>
                            <w:rPr>
                              <w:rFonts w:hint="eastAsia"/>
                              <w:sz w:val="21"/>
                              <w:szCs w:val="21"/>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KMYPQVAgAAFQ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LKMYPQVAgAAFQQAAA4AAAAAAAAA&#10;AQAgAAAAHwEAAGRycy9lMm9Eb2MueG1sUEsFBgAAAAAGAAYAWQEAAKYFAAAAAA==&#10;">
              <v:fill on="f" focussize="0,0"/>
              <v:stroke on="f" weight="0.5pt"/>
              <v:imagedata o:title=""/>
              <o:lock v:ext="edit" aspectratio="f"/>
              <v:textbox inset="0mm,0mm,0mm,0mm" style="mso-fit-shape-to-text:t;">
                <w:txbxContent>
                  <w:p>
                    <w:pPr>
                      <w:pStyle w:val="12"/>
                      <w:rPr>
                        <w:rFonts w:hint="eastAsia" w:eastAsia="宋体"/>
                        <w:sz w:val="21"/>
                        <w:szCs w:val="21"/>
                        <w:lang w:eastAsia="zh-CN"/>
                      </w:rPr>
                    </w:pPr>
                    <w:r>
                      <w:rPr>
                        <w:rFonts w:hint="eastAsia"/>
                        <w:sz w:val="21"/>
                        <w:szCs w:val="21"/>
                        <w:lang w:eastAsia="zh-CN"/>
                      </w:rPr>
                      <w:fldChar w:fldCharType="begin"/>
                    </w:r>
                    <w:r>
                      <w:rPr>
                        <w:rFonts w:hint="eastAsia"/>
                        <w:sz w:val="21"/>
                        <w:szCs w:val="21"/>
                        <w:lang w:eastAsia="zh-CN"/>
                      </w:rPr>
                      <w:instrText xml:space="preserve"> PAGE  \* MERGEFORMAT </w:instrText>
                    </w:r>
                    <w:r>
                      <w:rPr>
                        <w:rFonts w:hint="eastAsia"/>
                        <w:sz w:val="21"/>
                        <w:szCs w:val="21"/>
                        <w:lang w:eastAsia="zh-CN"/>
                      </w:rPr>
                      <w:fldChar w:fldCharType="separate"/>
                    </w:r>
                    <w:r>
                      <w:rPr>
                        <w:rFonts w:hint="eastAsia"/>
                        <w:sz w:val="21"/>
                        <w:szCs w:val="21"/>
                        <w:lang w:eastAsia="zh-CN"/>
                      </w:rPr>
                      <w:t>4</w:t>
                    </w:r>
                    <w:r>
                      <w:rPr>
                        <w:rFonts w:hint="eastAsia"/>
                        <w:sz w:val="21"/>
                        <w:szCs w:val="21"/>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nf9ETAgAAFw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BAp3/REwIAABcEAAAOAAAAAAAAAAEA&#10;IAAAAB8BAABkcnMvZTJvRG9jLnhtbFBLBQYAAAAABgAGAFkBAACkBQAAAAA=&#10;">
              <v:fill on="f" focussize="0,0"/>
              <v:stroke on="f" weight="0.5pt"/>
              <v:imagedata o:title=""/>
              <o:lock v:ext="edit" aspectratio="f"/>
              <v:textbox inset="0mm,0mm,0mm,0mm" style="mso-fit-shape-to-text:t;">
                <w:txbxContent>
                  <w:p>
                    <w:pPr>
                      <w:pStyle w:val="12"/>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D"/>
    <w:multiLevelType w:val="singleLevel"/>
    <w:tmpl w:val="0000000D"/>
    <w:lvl w:ilvl="0" w:tentative="0">
      <w:start w:val="1"/>
      <w:numFmt w:val="decimal"/>
      <w:lvlText w:val="%1."/>
      <w:lvlJc w:val="left"/>
      <w:pPr>
        <w:tabs>
          <w:tab w:val="left" w:pos="964"/>
        </w:tabs>
        <w:ind w:left="964" w:hanging="397"/>
      </w:pPr>
      <w:rPr>
        <w:rFonts w:hint="eastAsia"/>
        <w:sz w:val="24"/>
        <w:szCs w:val="24"/>
      </w:rPr>
    </w:lvl>
  </w:abstractNum>
  <w:abstractNum w:abstractNumId="1">
    <w:nsid w:val="0423D6EC"/>
    <w:multiLevelType w:val="singleLevel"/>
    <w:tmpl w:val="0423D6EC"/>
    <w:lvl w:ilvl="0" w:tentative="0">
      <w:start w:val="1"/>
      <w:numFmt w:val="decimal"/>
      <w:suff w:val="nothing"/>
      <w:lvlText w:val="%1）"/>
      <w:lvlJc w:val="left"/>
    </w:lvl>
  </w:abstractNum>
  <w:abstractNum w:abstractNumId="2">
    <w:nsid w:val="19284B65"/>
    <w:multiLevelType w:val="multilevel"/>
    <w:tmpl w:val="19284B65"/>
    <w:lvl w:ilvl="0" w:tentative="0">
      <w:start w:val="1"/>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EDD3DA5"/>
    <w:rsid w:val="013F308A"/>
    <w:rsid w:val="01683A0A"/>
    <w:rsid w:val="01C326DD"/>
    <w:rsid w:val="037F1B6C"/>
    <w:rsid w:val="047D7910"/>
    <w:rsid w:val="081748D5"/>
    <w:rsid w:val="0AC96AB8"/>
    <w:rsid w:val="0BD15BD0"/>
    <w:rsid w:val="0CB061BB"/>
    <w:rsid w:val="0DBF4076"/>
    <w:rsid w:val="0EB8393D"/>
    <w:rsid w:val="0EBE6443"/>
    <w:rsid w:val="0F186196"/>
    <w:rsid w:val="10A261E5"/>
    <w:rsid w:val="17DE581D"/>
    <w:rsid w:val="188C6BC9"/>
    <w:rsid w:val="18B03C2D"/>
    <w:rsid w:val="1C8F073C"/>
    <w:rsid w:val="1E1E7F7E"/>
    <w:rsid w:val="20774D84"/>
    <w:rsid w:val="21F52D08"/>
    <w:rsid w:val="22146BDA"/>
    <w:rsid w:val="231C5C62"/>
    <w:rsid w:val="254742BF"/>
    <w:rsid w:val="2B9E0BCB"/>
    <w:rsid w:val="2DD60B7F"/>
    <w:rsid w:val="2E881776"/>
    <w:rsid w:val="304B4B5C"/>
    <w:rsid w:val="33166E0A"/>
    <w:rsid w:val="34985A74"/>
    <w:rsid w:val="34C07ED0"/>
    <w:rsid w:val="35641BB0"/>
    <w:rsid w:val="36043D92"/>
    <w:rsid w:val="364879D6"/>
    <w:rsid w:val="371D762B"/>
    <w:rsid w:val="379D20C9"/>
    <w:rsid w:val="3F246FCA"/>
    <w:rsid w:val="412279DB"/>
    <w:rsid w:val="418173F2"/>
    <w:rsid w:val="44CB001B"/>
    <w:rsid w:val="49B254D7"/>
    <w:rsid w:val="49CB15D0"/>
    <w:rsid w:val="4DD442E4"/>
    <w:rsid w:val="4E891E30"/>
    <w:rsid w:val="4E895B47"/>
    <w:rsid w:val="540C56C8"/>
    <w:rsid w:val="58350F14"/>
    <w:rsid w:val="5A7F6BA4"/>
    <w:rsid w:val="5AEE1BE1"/>
    <w:rsid w:val="5CE84B28"/>
    <w:rsid w:val="60CD3679"/>
    <w:rsid w:val="680774BF"/>
    <w:rsid w:val="69501ABF"/>
    <w:rsid w:val="6A3E740A"/>
    <w:rsid w:val="6A8C69C0"/>
    <w:rsid w:val="6C5A7EBA"/>
    <w:rsid w:val="6C8459DC"/>
    <w:rsid w:val="6D6A79C8"/>
    <w:rsid w:val="711B61C7"/>
    <w:rsid w:val="725B386B"/>
    <w:rsid w:val="776142F8"/>
    <w:rsid w:val="77955078"/>
    <w:rsid w:val="79B766FC"/>
    <w:rsid w:val="79D37972"/>
    <w:rsid w:val="7D4E1024"/>
    <w:rsid w:val="7EDD3D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宋体"/>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3" w:firstLineChars="200"/>
      <w:jc w:val="both"/>
    </w:pPr>
    <w:rPr>
      <w:rFonts w:ascii="Times New Roman" w:hAnsi="Times New Roman" w:eastAsia="宋体" w:cs="Times New Roman"/>
      <w:kern w:val="2"/>
      <w:sz w:val="24"/>
      <w:szCs w:val="22"/>
      <w:lang w:val="en-US" w:eastAsia="zh-CN" w:bidi="ar-SA"/>
    </w:rPr>
  </w:style>
  <w:style w:type="paragraph" w:styleId="3">
    <w:name w:val="heading 1"/>
    <w:basedOn w:val="1"/>
    <w:next w:val="1"/>
    <w:link w:val="28"/>
    <w:qFormat/>
    <w:uiPriority w:val="0"/>
    <w:pPr>
      <w:keepNext/>
      <w:keepLines/>
      <w:spacing w:before="50" w:beforeLines="50" w:after="50" w:afterLines="50" w:line="579" w:lineRule="auto"/>
      <w:ind w:firstLine="0" w:firstLineChars="0"/>
      <w:jc w:val="center"/>
      <w:outlineLvl w:val="0"/>
    </w:pPr>
    <w:rPr>
      <w:rFonts w:ascii="Times New Roman" w:hAnsi="Times New Roman" w:eastAsia="黑体"/>
      <w:b/>
      <w:bCs/>
      <w:kern w:val="44"/>
      <w:sz w:val="36"/>
      <w:szCs w:val="44"/>
    </w:rPr>
  </w:style>
  <w:style w:type="paragraph" w:styleId="4">
    <w:name w:val="heading 2"/>
    <w:basedOn w:val="1"/>
    <w:next w:val="1"/>
    <w:semiHidden/>
    <w:unhideWhenUsed/>
    <w:qFormat/>
    <w:uiPriority w:val="0"/>
    <w:pPr>
      <w:keepNext/>
      <w:keepLines/>
      <w:spacing w:beforeLines="0" w:beforeAutospacing="0" w:afterLines="0" w:afterAutospacing="0" w:line="413" w:lineRule="auto"/>
      <w:ind w:firstLine="0" w:firstLineChars="0"/>
      <w:outlineLvl w:val="1"/>
    </w:pPr>
    <w:rPr>
      <w:rFonts w:ascii="Times New Roman" w:hAnsi="Times New Roman" w:eastAsia="宋体" w:cs="Times New Roman"/>
      <w:b/>
      <w:sz w:val="28"/>
    </w:rPr>
  </w:style>
  <w:style w:type="paragraph" w:styleId="5">
    <w:name w:val="heading 3"/>
    <w:basedOn w:val="1"/>
    <w:next w:val="1"/>
    <w:semiHidden/>
    <w:unhideWhenUsed/>
    <w:qFormat/>
    <w:uiPriority w:val="0"/>
    <w:pPr>
      <w:keepNext/>
      <w:keepLines/>
      <w:spacing w:beforeAutospacing="0" w:afterAutospacing="0" w:line="360" w:lineRule="auto"/>
      <w:ind w:firstLine="0" w:firstLineChars="0"/>
      <w:outlineLvl w:val="2"/>
    </w:pPr>
    <w:rPr>
      <w:rFonts w:ascii="Times New Roman" w:hAnsi="Times New Roman" w:eastAsia="仿宋" w:cs="Times New Roman"/>
      <w:b/>
      <w:sz w:val="28"/>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Block Text"/>
    <w:basedOn w:val="1"/>
    <w:qFormat/>
    <w:uiPriority w:val="0"/>
    <w:pPr>
      <w:autoSpaceDE w:val="0"/>
      <w:autoSpaceDN w:val="0"/>
      <w:adjustRightInd w:val="0"/>
      <w:spacing w:before="1" w:line="537" w:lineRule="exact"/>
      <w:ind w:left="88" w:right="6"/>
    </w:pPr>
    <w:rPr>
      <w:kern w:val="0"/>
      <w:sz w:val="28"/>
      <w:szCs w:val="20"/>
    </w:rPr>
  </w:style>
  <w:style w:type="paragraph" w:styleId="6">
    <w:name w:val="Normal Indent"/>
    <w:basedOn w:val="1"/>
    <w:qFormat/>
    <w:uiPriority w:val="0"/>
  </w:style>
  <w:style w:type="paragraph" w:styleId="7">
    <w:name w:val="caption"/>
    <w:basedOn w:val="1"/>
    <w:next w:val="1"/>
    <w:semiHidden/>
    <w:unhideWhenUsed/>
    <w:qFormat/>
    <w:uiPriority w:val="0"/>
    <w:pPr>
      <w:spacing w:line="240" w:lineRule="auto"/>
      <w:ind w:firstLine="0" w:firstLineChars="0"/>
      <w:jc w:val="center"/>
    </w:pPr>
    <w:rPr>
      <w:rFonts w:ascii="Times New Roman" w:hAnsi="Times New Roman" w:eastAsia="黑体" w:cstheme="majorBidi"/>
      <w:b/>
      <w:sz w:val="22"/>
      <w:szCs w:val="20"/>
    </w:rPr>
  </w:style>
  <w:style w:type="paragraph" w:styleId="8">
    <w:name w:val="Body Text"/>
    <w:basedOn w:val="1"/>
    <w:next w:val="9"/>
    <w:qFormat/>
    <w:uiPriority w:val="0"/>
    <w:pPr>
      <w:spacing w:after="120"/>
    </w:pPr>
  </w:style>
  <w:style w:type="paragraph" w:customStyle="1" w:styleId="9">
    <w:name w:val="Body Text 2_050de59c-084d-4175-9105-ef8c1c28e700"/>
    <w:basedOn w:val="1"/>
    <w:qFormat/>
    <w:uiPriority w:val="0"/>
    <w:pPr>
      <w:spacing w:after="120" w:line="480" w:lineRule="auto"/>
    </w:pPr>
  </w:style>
  <w:style w:type="paragraph" w:styleId="10">
    <w:name w:val="Body Text Indent"/>
    <w:basedOn w:val="1"/>
    <w:link w:val="25"/>
    <w:qFormat/>
    <w:uiPriority w:val="0"/>
    <w:pPr>
      <w:spacing w:line="240" w:lineRule="auto"/>
      <w:ind w:firstLine="0" w:firstLineChars="0"/>
      <w:jc w:val="center"/>
    </w:pPr>
    <w:rPr>
      <w:rFonts w:cs="华文新魏"/>
      <w:sz w:val="21"/>
      <w:szCs w:val="21"/>
    </w:rPr>
  </w:style>
  <w:style w:type="paragraph" w:styleId="11">
    <w:name w:val="Plain Text"/>
    <w:basedOn w:val="1"/>
    <w:qFormat/>
    <w:uiPriority w:val="0"/>
    <w:rPr>
      <w:rFonts w:ascii="宋体" w:hAnsi="Courier New" w:cs="Courier New"/>
      <w:sz w:val="21"/>
      <w:szCs w:val="21"/>
    </w:rPr>
  </w:style>
  <w:style w:type="paragraph" w:styleId="12">
    <w:name w:val="footer"/>
    <w:basedOn w:val="1"/>
    <w:qFormat/>
    <w:uiPriority w:val="0"/>
    <w:pPr>
      <w:tabs>
        <w:tab w:val="center" w:pos="4153"/>
        <w:tab w:val="right" w:pos="8306"/>
      </w:tabs>
      <w:snapToGrid w:val="0"/>
      <w:jc w:val="left"/>
    </w:pPr>
    <w:rPr>
      <w:sz w:val="18"/>
      <w:szCs w:val="18"/>
    </w:rPr>
  </w:style>
  <w:style w:type="paragraph" w:styleId="13">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0"/>
    <w:pPr>
      <w:tabs>
        <w:tab w:val="right" w:leader="dot" w:pos="8303"/>
      </w:tabs>
      <w:spacing w:before="50" w:beforeLines="50" w:after="50" w:afterLines="50" w:line="300" w:lineRule="auto"/>
    </w:pPr>
    <w:rPr>
      <w:rFonts w:ascii="Times New Roman" w:hAnsi="Times New Roman" w:eastAsia="黑体" w:cs="Times New Roman"/>
    </w:rPr>
  </w:style>
  <w:style w:type="paragraph" w:styleId="15">
    <w:name w:val="toc 2"/>
    <w:basedOn w:val="1"/>
    <w:next w:val="1"/>
    <w:qFormat/>
    <w:uiPriority w:val="0"/>
    <w:pPr>
      <w:ind w:left="420" w:leftChars="200"/>
    </w:pPr>
    <w:rPr>
      <w:rFonts w:ascii="Times New Roman" w:hAnsi="Times New Roman" w:eastAsia="黑体" w:cs="Times New Roman"/>
    </w:rPr>
  </w:style>
  <w:style w:type="paragraph" w:styleId="16">
    <w:name w:val="Body Text 2"/>
    <w:basedOn w:val="1"/>
    <w:qFormat/>
    <w:uiPriority w:val="0"/>
    <w:pPr>
      <w:spacing w:line="360" w:lineRule="auto"/>
      <w:jc w:val="left"/>
    </w:pPr>
    <w:rPr>
      <w:sz w:val="24"/>
    </w:rPr>
  </w:style>
  <w:style w:type="paragraph" w:styleId="17">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18">
    <w:name w:val="Body Text First Indent"/>
    <w:basedOn w:val="8"/>
    <w:unhideWhenUsed/>
    <w:qFormat/>
    <w:uiPriority w:val="99"/>
    <w:pPr>
      <w:ind w:firstLine="420" w:firstLineChars="100"/>
    </w:pPr>
  </w:style>
  <w:style w:type="paragraph" w:styleId="19">
    <w:name w:val="Body Text First Indent 2"/>
    <w:basedOn w:val="10"/>
    <w:next w:val="1"/>
    <w:qFormat/>
    <w:uiPriority w:val="0"/>
    <w:pPr>
      <w:widowControl w:val="0"/>
      <w:spacing w:after="120"/>
      <w:ind w:left="420" w:leftChars="200" w:firstLine="420" w:firstLineChars="200"/>
      <w:jc w:val="both"/>
    </w:pPr>
    <w:rPr>
      <w:rFonts w:ascii="Times New Roman" w:hAnsi="Times New Roman" w:eastAsia="宋体" w:cs="Times New Roman"/>
      <w:kern w:val="2"/>
      <w:sz w:val="28"/>
      <w:lang w:val="zh-CN" w:eastAsia="zh-CN" w:bidi="ar-SA"/>
    </w:rPr>
  </w:style>
  <w:style w:type="table" w:styleId="21">
    <w:name w:val="Table Grid"/>
    <w:basedOn w:val="20"/>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Strong"/>
    <w:basedOn w:val="22"/>
    <w:qFormat/>
    <w:uiPriority w:val="0"/>
    <w:rPr>
      <w:b/>
    </w:rPr>
  </w:style>
  <w:style w:type="character" w:styleId="24">
    <w:name w:val="page number"/>
    <w:basedOn w:val="22"/>
    <w:qFormat/>
    <w:uiPriority w:val="0"/>
  </w:style>
  <w:style w:type="character" w:customStyle="1" w:styleId="25">
    <w:name w:val="正文文本缩进 Char"/>
    <w:link w:val="10"/>
    <w:qFormat/>
    <w:uiPriority w:val="0"/>
    <w:rPr>
      <w:rFonts w:ascii="Times New Roman" w:hAnsi="Times New Roman" w:eastAsia="宋体" w:cs="华文新魏"/>
      <w:sz w:val="21"/>
      <w:szCs w:val="21"/>
    </w:rPr>
  </w:style>
  <w:style w:type="character" w:customStyle="1" w:styleId="26">
    <w:name w:val="标题 1 字符"/>
    <w:link w:val="3"/>
    <w:qFormat/>
    <w:uiPriority w:val="0"/>
    <w:rPr>
      <w:rFonts w:ascii="Times New Roman" w:hAnsi="Times New Roman" w:eastAsia="黑体" w:cs="Times New Roman"/>
      <w:b/>
      <w:bCs/>
      <w:kern w:val="44"/>
      <w:sz w:val="36"/>
      <w:szCs w:val="44"/>
    </w:rPr>
  </w:style>
  <w:style w:type="paragraph" w:customStyle="1" w:styleId="27">
    <w:name w:val="表格"/>
    <w:basedOn w:val="1"/>
    <w:qFormat/>
    <w:uiPriority w:val="0"/>
    <w:pPr>
      <w:keepNext/>
      <w:widowControl w:val="0"/>
      <w:adjustRightInd w:val="0"/>
      <w:spacing w:line="312" w:lineRule="atLeast"/>
      <w:jc w:val="center"/>
      <w:textAlignment w:val="baseline"/>
    </w:pPr>
    <w:rPr>
      <w:rFonts w:ascii="Times New Roman" w:hAnsi="Times New Roman" w:eastAsia="黑体"/>
      <w:b/>
      <w:sz w:val="22"/>
    </w:rPr>
  </w:style>
  <w:style w:type="character" w:customStyle="1" w:styleId="28">
    <w:name w:val="标题 1 Char"/>
    <w:link w:val="3"/>
    <w:qFormat/>
    <w:uiPriority w:val="0"/>
    <w:rPr>
      <w:rFonts w:ascii="Times New Roman" w:hAnsi="Times New Roman" w:eastAsia="黑体" w:cs="Times New Roman"/>
      <w:b/>
      <w:bCs/>
      <w:kern w:val="44"/>
      <w:sz w:val="36"/>
      <w:szCs w:val="44"/>
    </w:rPr>
  </w:style>
  <w:style w:type="paragraph" w:customStyle="1" w:styleId="29">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
    <w:name w:val="zl正文"/>
    <w:basedOn w:val="1"/>
    <w:qFormat/>
    <w:uiPriority w:val="0"/>
    <w:pPr>
      <w:spacing w:line="360" w:lineRule="auto"/>
      <w:ind w:firstLine="480" w:firstLineChars="200"/>
    </w:pPr>
    <w:rPr>
      <w:kern w:val="0"/>
      <w:sz w:val="24"/>
    </w:rPr>
  </w:style>
  <w:style w:type="paragraph" w:customStyle="1" w:styleId="31">
    <w:name w:val="文本正文"/>
    <w:basedOn w:val="1"/>
    <w:qFormat/>
    <w:uiPriority w:val="0"/>
    <w:pPr>
      <w:widowControl/>
      <w:spacing w:line="360" w:lineRule="auto"/>
      <w:ind w:firstLine="480" w:firstLineChars="200"/>
      <w:jc w:val="left"/>
    </w:pPr>
    <w:rPr>
      <w:sz w:val="24"/>
      <w:lang w:val="zh-CN" w:eastAsia="zh-CN"/>
    </w:rPr>
  </w:style>
  <w:style w:type="paragraph" w:customStyle="1" w:styleId="32">
    <w:name w:val="+正文"/>
    <w:basedOn w:val="1"/>
    <w:qFormat/>
    <w:uiPriority w:val="0"/>
    <w:pPr>
      <w:spacing w:line="360" w:lineRule="auto"/>
      <w:ind w:firstLine="200" w:firstLineChars="200"/>
    </w:pPr>
    <w:rPr>
      <w:sz w:val="24"/>
      <w:szCs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footer" Target="footer2.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jpeg"/><Relationship Id="rId44" Type="http://schemas.openxmlformats.org/officeDocument/2006/relationships/image" Target="media/image30.jpe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footer" Target="footer1.xml"/><Relationship Id="rId39" Type="http://schemas.openxmlformats.org/officeDocument/2006/relationships/image" Target="media/image25.jpeg"/><Relationship Id="rId38" Type="http://schemas.openxmlformats.org/officeDocument/2006/relationships/image" Target="media/image24.jpeg"/><Relationship Id="rId37" Type="http://schemas.openxmlformats.org/officeDocument/2006/relationships/image" Target="media/image23.jpeg"/><Relationship Id="rId36" Type="http://schemas.openxmlformats.org/officeDocument/2006/relationships/image" Target="media/image22.jpeg"/><Relationship Id="rId35" Type="http://schemas.openxmlformats.org/officeDocument/2006/relationships/image" Target="media/image21.jpeg"/><Relationship Id="rId34" Type="http://schemas.openxmlformats.org/officeDocument/2006/relationships/image" Target="media/image20.jpeg"/><Relationship Id="rId33" Type="http://schemas.openxmlformats.org/officeDocument/2006/relationships/image" Target="media/image19.jpeg"/><Relationship Id="rId32" Type="http://schemas.openxmlformats.org/officeDocument/2006/relationships/image" Target="media/image18.jpeg"/><Relationship Id="rId31" Type="http://schemas.openxmlformats.org/officeDocument/2006/relationships/image" Target="media/image17.jpeg"/><Relationship Id="rId30" Type="http://schemas.openxmlformats.org/officeDocument/2006/relationships/image" Target="media/image16.jpe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image" Target="media/image13.png"/><Relationship Id="rId26" Type="http://schemas.openxmlformats.org/officeDocument/2006/relationships/image" Target="media/image12.wmf"/><Relationship Id="rId25" Type="http://schemas.openxmlformats.org/officeDocument/2006/relationships/oleObject" Target="embeddings/oleObject3.bin"/><Relationship Id="rId24" Type="http://schemas.openxmlformats.org/officeDocument/2006/relationships/image" Target="media/image11.wmf"/><Relationship Id="rId23" Type="http://schemas.openxmlformats.org/officeDocument/2006/relationships/oleObject" Target="embeddings/oleObject2.bin"/><Relationship Id="rId22" Type="http://schemas.openxmlformats.org/officeDocument/2006/relationships/image" Target="media/image10.wmf"/><Relationship Id="rId21" Type="http://schemas.openxmlformats.org/officeDocument/2006/relationships/image" Target="media/image9.wmf"/><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wmf"/><Relationship Id="rId16" Type="http://schemas.openxmlformats.org/officeDocument/2006/relationships/oleObject" Target="embeddings/oleObject1.bin"/><Relationship Id="rId15" Type="http://schemas.openxmlformats.org/officeDocument/2006/relationships/image" Target="media/image4.pn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133</Pages>
  <Words>49177</Words>
  <Characters>54489</Characters>
  <Lines>0</Lines>
  <Paragraphs>0</Paragraphs>
  <TotalTime>10</TotalTime>
  <ScaleCrop>false</ScaleCrop>
  <LinksUpToDate>false</LinksUpToDate>
  <CharactersWithSpaces>55778</CharactersWithSpaces>
  <Application>WPS Office_11.1.0.10000_F1E327BC-269C-435d-A152-05C5408002CA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2020-11-13T07:46:00Z</dcterms:created>
  <dc:creator>✘✘</dc:creator>
  <cp:lastModifiedBy>✘✘</cp:lastModifiedBy>
  <cp:lastPrinted>2020-12-05T07:24:00Z</cp:lastPrinted>
  <dcterms:modified xsi:type="dcterms:W3CDTF">2020-12-10T07:11:25Z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2052-11.1.0.10000</vt:lpwstr>
  </property>
</Properties>
</file>