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附表2    地表水环境影响评价自查表</w:t>
      </w:r>
    </w:p>
    <w:tbl>
      <w:tblPr>
        <w:tblStyle w:val="7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389"/>
        <w:gridCol w:w="2121"/>
        <w:gridCol w:w="321"/>
        <w:gridCol w:w="1380"/>
        <w:gridCol w:w="572"/>
        <w:gridCol w:w="422"/>
        <w:gridCol w:w="286"/>
        <w:gridCol w:w="1187"/>
        <w:gridCol w:w="1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工作内容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影响识别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影响类型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水污染影响型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="Times New Roman" w:hAnsi="Times New Roman" w:cs="Times New Roman"/>
                <w:szCs w:val="21"/>
              </w:rPr>
              <w:t>；水文要素影响型</w:t>
            </w:r>
            <w:r>
              <w:rPr>
                <w:rFonts w:hint="eastAs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水环境保护目标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Cs w:val="21"/>
              </w:rPr>
              <w:t>饮用水水源保护区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☑</w:t>
            </w:r>
            <w:r>
              <w:rPr>
                <w:rFonts w:ascii="Times New Roman" w:hAnsi="Times New Roman" w:cs="Times New Roman"/>
                <w:szCs w:val="21"/>
              </w:rPr>
              <w:t>；饮用水取水口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；涉水的自然保护区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；涉水的风景名胜区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；重要湿地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；重点保护与珍稀水生生物的栖息地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；重要水生生物的自然产卵场及索饵场、越冬场和洄游通道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；天然渔场等渔业水体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；水产种质资源保护区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；其他</w:t>
            </w:r>
            <w:r>
              <w:rPr>
                <w:rFonts w:hint="eastAsia" w:ascii="MS Mincho" w:hAnsi="MS Mincho" w:eastAsia="宋体" w:cs="MS Mincho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影响途径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水污染影响型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直接排放□；间接排放□；其他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水温□；径流□；水域面积□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影响因子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持久性污染物□；有毒有害污染物□；非持久性污染物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pH</w:t>
            </w:r>
            <w:r>
              <w:rPr>
                <w:rFonts w:hint="eastAsia"/>
              </w:rPr>
              <w:t>值□；热污染□；富营养化□；其他</w:t>
            </w:r>
            <w:r>
              <w:rPr>
                <w:rFonts w:hint="eastAsia" w:ascii="Times New Roman" w:hAnsi="Times New Roman" w:cs="Times New Roman"/>
                <w:szCs w:val="21"/>
              </w:rPr>
              <w:t>□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水温□；水位（水深）□；流速□；流量□；其他□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评价等级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水污染影响型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一级</w:t>
            </w:r>
            <w:r>
              <w:rPr>
                <w:rFonts w:hint="eastAsia"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</w:rPr>
              <w:t>；二级</w:t>
            </w:r>
            <w:r>
              <w:rPr>
                <w:rFonts w:hint="eastAsia"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</w:rPr>
              <w:t>；三级A</w:t>
            </w:r>
            <w:r>
              <w:rPr>
                <w:rFonts w:hint="eastAsia"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</w:rPr>
              <w:t>；三级B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一级</w:t>
            </w:r>
            <w:r>
              <w:rPr>
                <w:rFonts w:hint="eastAsia"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</w:rPr>
              <w:t>；二级</w:t>
            </w:r>
            <w:r>
              <w:rPr>
                <w:rFonts w:hint="eastAsia" w:ascii="Times New Roman" w:hAnsi="Times New Roman" w:cs="Times New Roman"/>
              </w:rPr>
              <w:t>□</w:t>
            </w:r>
            <w:r>
              <w:rPr>
                <w:rFonts w:ascii="Times New Roman" w:hAnsi="Times New Roman" w:cs="Times New Roman"/>
              </w:rPr>
              <w:t>；三级</w:t>
            </w:r>
            <w:r>
              <w:rPr>
                <w:rFonts w:hint="eastAs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现状调查</w:t>
            </w: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区域污染源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调查项目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4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已建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；在建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；拟建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；其他</w:t>
            </w:r>
            <w:r>
              <w:rPr>
                <w:rFonts w:hint="eastAsia"/>
              </w:rPr>
              <w:t>□</w:t>
            </w:r>
          </w:p>
        </w:tc>
        <w:tc>
          <w:tcPr>
            <w:tcW w:w="19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拟替代的污染源</w:t>
            </w:r>
            <w:r>
              <w:rPr>
                <w:rFonts w:hint="eastAsia"/>
              </w:rPr>
              <w:t>□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排污许可证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；环评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；环保验收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；既有实测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；现场监测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；入河排放口数据</w:t>
            </w:r>
            <w:r>
              <w:rPr>
                <w:rFonts w:hint="eastAsia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</w:rPr>
              <w:t>；其他</w:t>
            </w:r>
            <w:r>
              <w:rPr>
                <w:rFonts w:hint="eastAs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受影响水体水环境质量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调查时期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丰水期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；平水期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；枯水期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；冰封期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cs="MS Mincho" w:asciiTheme="minorEastAsia" w:hAnsiTheme="minorEastAsia"/>
              </w:rPr>
              <w:t>；</w:t>
            </w:r>
            <w:r>
              <w:rPr>
                <w:rFonts w:hint="eastAsia"/>
              </w:rPr>
              <w:t>春季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；夏季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；秋季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；冬季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生态环境保护主管部门□；补充监测□；其他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区域水资源开发利用状况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未开发□；开发</w:t>
            </w:r>
            <w:r>
              <w:rPr>
                <w:rFonts w:ascii="Times New Roman" w:hAnsi="Times New Roman" w:cs="Times New Roman"/>
              </w:rPr>
              <w:t>量40%</w:t>
            </w:r>
            <w:r>
              <w:rPr>
                <w:rFonts w:hint="eastAsia"/>
              </w:rPr>
              <w:t>以下□；开</w:t>
            </w:r>
            <w:r>
              <w:rPr>
                <w:rFonts w:ascii="Times New Roman" w:hAnsi="Times New Roman" w:cs="Times New Roman"/>
              </w:rPr>
              <w:t>发量40%</w:t>
            </w:r>
            <w:r>
              <w:rPr>
                <w:rFonts w:hint="eastAsia"/>
              </w:rPr>
              <w:t>以上□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水文情势调查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调查时期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丰水期□；平水期□；枯水期□；冰封期□</w:t>
            </w:r>
            <w:r>
              <w:rPr>
                <w:rFonts w:hint="eastAsia" w:cs="MS Mincho" w:asciiTheme="minorEastAsia" w:hAnsiTheme="minorEastAsia"/>
              </w:rPr>
              <w:t>；</w:t>
            </w:r>
            <w:r>
              <w:rPr>
                <w:rFonts w:hint="eastAsia"/>
              </w:rPr>
              <w:t>春季□；夏季□；秋季□；冬季□</w:t>
            </w:r>
          </w:p>
        </w:tc>
        <w:tc>
          <w:tcPr>
            <w:tcW w:w="307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水行政主管部门□；补充监测□；其他□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补充监测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监测时期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监测因子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丰水期□；平水期□；枯水期□；冰封期□春季□；夏季□；秋季□；冬季□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现状评价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评价范围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河流：长度（）</w:t>
            </w:r>
            <w:r>
              <w:rPr>
                <w:rFonts w:ascii="Times New Roman" w:hAnsi="Times New Roman" w:cs="Times New Roman"/>
              </w:rPr>
              <w:t>km</w:t>
            </w:r>
            <w:r>
              <w:rPr>
                <w:rFonts w:hint="eastAsia"/>
              </w:rPr>
              <w:t>；湖库、河口及近岸海域：面积（</w:t>
            </w:r>
            <w:r>
              <w:rPr>
                <w:rFonts w:ascii="Times New Roman" w:hAnsi="Times New Roman" w:cs="Times New Roman"/>
              </w:rPr>
              <w:t>）km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评价因子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</w:rPr>
              <w:t>p</w:t>
            </w:r>
            <w:r>
              <w:rPr>
                <w:rFonts w:ascii="Times New Roman" w:hAnsi="Times New Roman" w:cs="Times New Roman"/>
                <w:szCs w:val="21"/>
              </w:rPr>
              <w:t>H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COD</w:t>
            </w:r>
            <w:r>
              <w:rPr>
                <w:rFonts w:ascii="Times New Roman" w:cs="Times New Roman"/>
                <w:szCs w:val="21"/>
              </w:rPr>
              <w:t>、氨氮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评价标准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河流、湖库、河口：Ⅰ类□；Ⅱ类□；Ⅲ类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/>
              </w:rPr>
              <w:t>；Ⅳ类□；Ⅴ类□</w:t>
            </w:r>
          </w:p>
          <w:p>
            <w:pPr>
              <w:jc w:val="center"/>
            </w:pPr>
            <w:r>
              <w:rPr>
                <w:rFonts w:hint="eastAsia"/>
              </w:rPr>
              <w:t>近岸海域：第一类□；第二类□；第三类□；第四类□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评价时期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丰水期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；平水期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；枯水期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；冰封期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cs="MS Mincho" w:asciiTheme="minorEastAsia" w:hAnsiTheme="minorEastAsia"/>
              </w:rPr>
              <w:t>；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春季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；夏季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；秋季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；冬季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评价结论</w:t>
            </w:r>
          </w:p>
        </w:tc>
        <w:tc>
          <w:tcPr>
            <w:tcW w:w="5102" w:type="dxa"/>
            <w:gridSpan w:val="6"/>
            <w:vAlign w:val="center"/>
          </w:tcPr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水环境功能区或水功能区、近岸海域环境功能区水质达标状况：达标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；不达标□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水环境控制单元或断面水质达标状况：达标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；不达标□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水环境保护目标质量状况：达标</w:t>
            </w:r>
            <w:r>
              <w:rPr>
                <w:rFonts w:hint="eastAsia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；不达标□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对照断面、控制断面等代表性断面的水质状况：达标□；不达标□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底泥污染评价□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水资源与开发利用程度及其水文情势评价□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水环境质量回顾评价□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流域（区域）水资源（包括水能资源）与开发利用总体状况、生态流量管理要求与现状满足程度、建设项目占用水域空间的水流状况与河湖演变状况□</w:t>
            </w:r>
          </w:p>
          <w:p>
            <w:pPr>
              <w:ind w:firstLine="420" w:firstLineChars="2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依托污水处理设施稳定达标排放评价□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达标区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不达标区□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影响预测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预测范围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河流：长度（）km；湖库、河口及近岸海域：面积（）km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预测因子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预测时期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丰水期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；平水期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；枯水期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；冰封期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□；</w:t>
            </w:r>
            <w:r>
              <w:rPr>
                <w:rFonts w:ascii="Times New Roman" w:hAnsi="Times New Roman"/>
                <w:szCs w:val="21"/>
              </w:rPr>
              <w:t>春季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；夏季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；秋季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；冬季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设计水文条件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预测情景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建设期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 xml:space="preserve">；生产运行期 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 xml:space="preserve">；服务期满后 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正常工况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；非正常工况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；污染控制和减缓措施方案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；区（流）域环境质量改善目标要求情景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预测方法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数值解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：解析解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；其他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□；</w:t>
            </w:r>
            <w:r>
              <w:rPr>
                <w:rFonts w:ascii="Times New Roman" w:hAnsi="Times New Roman"/>
                <w:szCs w:val="21"/>
              </w:rPr>
              <w:t>导则推荐模式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：其他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影响评价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水污染控制和水环境影响减缓措施有效性评价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区（流）域水环境质量改善目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；替代削减源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水环境影响评价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排放口混合区外满足水环境管理要求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水环境功能区或水功能区、近岸海域环境功能区水质达标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满足水环境保护目标水域水环境质量要求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水环境控制单元或断面水质达标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满足重点水污染物排放总量控制指标要求，重点行业建设项目，主要污染物排放满足等量或减量替代要求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满足区（流）域水环境质量改善目标要求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水文要素影响型建设项目同时应包括水文情势变化评价、主要水文特征值影响评价、生态流量符合性评价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对于新设或调整入河（湖库、近岸海域）排放口的建设项目，应包括排放口设置的环境合理性评价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  <w:p>
            <w:pPr>
              <w:ind w:firstLine="420" w:firstLineChars="200"/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满足生态保护红线、水环境质量底线、资源利用上线和环境准入清单管理要求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污染源排放量核算</w:t>
            </w: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污染物名称</w:t>
            </w:r>
          </w:p>
        </w:tc>
        <w:tc>
          <w:tcPr>
            <w:tcW w:w="298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排放量（t</w:t>
            </w:r>
            <w:r>
              <w:rPr>
                <w:rFonts w:ascii="Times New Roman" w:hAnsi="Times New Roman"/>
                <w:szCs w:val="21"/>
              </w:rPr>
              <w:t>/a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排放浓度/（m</w:t>
            </w:r>
            <w:r>
              <w:rPr>
                <w:rFonts w:ascii="Times New Roman" w:hAnsi="Times New Roman"/>
                <w:szCs w:val="21"/>
              </w:rPr>
              <w:t>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  <w:r>
              <w:rPr>
                <w:rFonts w:ascii="Times New Roman" w:hAnsi="Times New Roman"/>
                <w:szCs w:val="21"/>
              </w:rPr>
              <w:t>OD</w:t>
            </w:r>
          </w:p>
        </w:tc>
        <w:tc>
          <w:tcPr>
            <w:tcW w:w="298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/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氨氮</w:t>
            </w:r>
          </w:p>
        </w:tc>
        <w:tc>
          <w:tcPr>
            <w:tcW w:w="298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/</w:t>
            </w:r>
          </w:p>
        </w:tc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替代源排放情况</w:t>
            </w: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污染源名称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排污许可证编号</w:t>
            </w:r>
          </w:p>
        </w:tc>
        <w:tc>
          <w:tcPr>
            <w:tcW w:w="128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污染物名称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排放量（t</w:t>
            </w:r>
            <w:r>
              <w:rPr>
                <w:rFonts w:ascii="Times New Roman" w:hAnsi="Times New Roman"/>
                <w:szCs w:val="21"/>
              </w:rPr>
              <w:t>/a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排放浓度/（m</w:t>
            </w:r>
            <w:r>
              <w:rPr>
                <w:rFonts w:ascii="Times New Roman" w:hAnsi="Times New Roman"/>
                <w:szCs w:val="21"/>
              </w:rPr>
              <w:t>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生态流量确定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生态流量：一般水期（）m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/s；鱼类繁殖期（）m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/s；其他（）m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/s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防治措施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环保措施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污水处理设施</w:t>
            </w: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☑</w:t>
            </w:r>
            <w:r>
              <w:rPr>
                <w:rFonts w:ascii="Times New Roman" w:hAnsi="Times New Roman"/>
                <w:szCs w:val="21"/>
              </w:rPr>
              <w:t>；水文减缓设施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；生态流量保障设施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；区域削减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依托其他工程措施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；其他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监测计划</w:t>
            </w: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269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环境质量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监测方式</w:t>
            </w:r>
          </w:p>
        </w:tc>
        <w:tc>
          <w:tcPr>
            <w:tcW w:w="269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Theme="majorEastAsia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手动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>；自动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>；无监测</w:t>
            </w: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☑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Theme="majorEastAsia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手动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>；自动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□</w:t>
            </w:r>
            <w:r>
              <w:rPr>
                <w:rFonts w:hint="eastAsia" w:ascii="Times New Roman" w:hAnsi="Times New Roman"/>
                <w:szCs w:val="21"/>
              </w:rPr>
              <w:t>；无监测</w:t>
            </w: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监测点位</w:t>
            </w:r>
          </w:p>
        </w:tc>
        <w:tc>
          <w:tcPr>
            <w:tcW w:w="269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2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监测因子</w:t>
            </w:r>
          </w:p>
        </w:tc>
        <w:tc>
          <w:tcPr>
            <w:tcW w:w="269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污染物排放清单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评价结论</w:t>
            </w:r>
          </w:p>
        </w:tc>
        <w:tc>
          <w:tcPr>
            <w:tcW w:w="747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可以接受</w:t>
            </w:r>
            <w:r>
              <w:rPr>
                <w:rFonts w:hint="eastAsia" w:ascii="MS Mincho" w:hAnsi="MS Mincho" w:eastAsia="MS Mincho" w:cs="MS Mincho"/>
              </w:rPr>
              <w:t>☑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；不可以接受□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注：“□”为勾选项，可打√；“（）”为内容填写项；“备注”为其他补充内容。</w:t>
            </w:r>
          </w:p>
        </w:tc>
      </w:tr>
    </w:tbl>
    <w:p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oto Sans CJK JP Regular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8920701"/>
    <w:rsid w:val="0000707D"/>
    <w:rsid w:val="00072E01"/>
    <w:rsid w:val="000925CD"/>
    <w:rsid w:val="000C0A1E"/>
    <w:rsid w:val="000D08B5"/>
    <w:rsid w:val="00111382"/>
    <w:rsid w:val="00146AA2"/>
    <w:rsid w:val="001709E8"/>
    <w:rsid w:val="00183861"/>
    <w:rsid w:val="00236B09"/>
    <w:rsid w:val="0025791D"/>
    <w:rsid w:val="00271F2E"/>
    <w:rsid w:val="002A0BAC"/>
    <w:rsid w:val="002A6C9A"/>
    <w:rsid w:val="00344A4E"/>
    <w:rsid w:val="00360069"/>
    <w:rsid w:val="003D6139"/>
    <w:rsid w:val="003F5692"/>
    <w:rsid w:val="00474E17"/>
    <w:rsid w:val="00484BA0"/>
    <w:rsid w:val="004F5933"/>
    <w:rsid w:val="00501275"/>
    <w:rsid w:val="00565251"/>
    <w:rsid w:val="00583179"/>
    <w:rsid w:val="005A0DFD"/>
    <w:rsid w:val="00637492"/>
    <w:rsid w:val="00674CFA"/>
    <w:rsid w:val="006A19E0"/>
    <w:rsid w:val="006B2D55"/>
    <w:rsid w:val="007004CF"/>
    <w:rsid w:val="007272BE"/>
    <w:rsid w:val="00756684"/>
    <w:rsid w:val="00764D00"/>
    <w:rsid w:val="007717DB"/>
    <w:rsid w:val="007A2FC9"/>
    <w:rsid w:val="007C794A"/>
    <w:rsid w:val="007E17D0"/>
    <w:rsid w:val="008703E7"/>
    <w:rsid w:val="00964688"/>
    <w:rsid w:val="009A34CA"/>
    <w:rsid w:val="009B0268"/>
    <w:rsid w:val="009D5F06"/>
    <w:rsid w:val="00A735EC"/>
    <w:rsid w:val="00A87584"/>
    <w:rsid w:val="00A927F4"/>
    <w:rsid w:val="00AD6F53"/>
    <w:rsid w:val="00BC552D"/>
    <w:rsid w:val="00BD2254"/>
    <w:rsid w:val="00BD54BF"/>
    <w:rsid w:val="00CA2013"/>
    <w:rsid w:val="00CE1A33"/>
    <w:rsid w:val="00D1611C"/>
    <w:rsid w:val="00D52852"/>
    <w:rsid w:val="00D84FB5"/>
    <w:rsid w:val="00DC3D16"/>
    <w:rsid w:val="00DD5E02"/>
    <w:rsid w:val="00DF0D35"/>
    <w:rsid w:val="00E3384F"/>
    <w:rsid w:val="00FA385C"/>
    <w:rsid w:val="00FD6F79"/>
    <w:rsid w:val="00FE0F18"/>
    <w:rsid w:val="019A2B6C"/>
    <w:rsid w:val="01A60089"/>
    <w:rsid w:val="024144C9"/>
    <w:rsid w:val="02A653E9"/>
    <w:rsid w:val="02DA009E"/>
    <w:rsid w:val="02E15FBC"/>
    <w:rsid w:val="031E4149"/>
    <w:rsid w:val="033B7151"/>
    <w:rsid w:val="042D1AAA"/>
    <w:rsid w:val="051E27CD"/>
    <w:rsid w:val="05307D87"/>
    <w:rsid w:val="053652A9"/>
    <w:rsid w:val="06031996"/>
    <w:rsid w:val="065F09A8"/>
    <w:rsid w:val="068906E1"/>
    <w:rsid w:val="07846A2F"/>
    <w:rsid w:val="07B70DFE"/>
    <w:rsid w:val="082877FB"/>
    <w:rsid w:val="08552021"/>
    <w:rsid w:val="08615A03"/>
    <w:rsid w:val="088008FA"/>
    <w:rsid w:val="088A1EBC"/>
    <w:rsid w:val="08FB23B2"/>
    <w:rsid w:val="091C7466"/>
    <w:rsid w:val="09567BDD"/>
    <w:rsid w:val="09700F63"/>
    <w:rsid w:val="09C857CD"/>
    <w:rsid w:val="09E5033C"/>
    <w:rsid w:val="0A984BEA"/>
    <w:rsid w:val="0C10412A"/>
    <w:rsid w:val="0C2947F9"/>
    <w:rsid w:val="0D4F699D"/>
    <w:rsid w:val="0E4365E9"/>
    <w:rsid w:val="0F3F3089"/>
    <w:rsid w:val="0F847377"/>
    <w:rsid w:val="0FDA444F"/>
    <w:rsid w:val="109905C4"/>
    <w:rsid w:val="11470CAE"/>
    <w:rsid w:val="1164174F"/>
    <w:rsid w:val="12092E9A"/>
    <w:rsid w:val="1288662E"/>
    <w:rsid w:val="12EE5442"/>
    <w:rsid w:val="13BF7D83"/>
    <w:rsid w:val="13C041CF"/>
    <w:rsid w:val="14006B63"/>
    <w:rsid w:val="141F5ABC"/>
    <w:rsid w:val="14295AF2"/>
    <w:rsid w:val="14460C5A"/>
    <w:rsid w:val="150A72F0"/>
    <w:rsid w:val="158915B6"/>
    <w:rsid w:val="15905BC1"/>
    <w:rsid w:val="1691702A"/>
    <w:rsid w:val="17053584"/>
    <w:rsid w:val="17D07467"/>
    <w:rsid w:val="18FF6DF0"/>
    <w:rsid w:val="19010C3D"/>
    <w:rsid w:val="19190848"/>
    <w:rsid w:val="19195C1A"/>
    <w:rsid w:val="19783FA7"/>
    <w:rsid w:val="197B5CE8"/>
    <w:rsid w:val="1A5620F0"/>
    <w:rsid w:val="1A9903D4"/>
    <w:rsid w:val="1B130C0B"/>
    <w:rsid w:val="1B314ECF"/>
    <w:rsid w:val="1B4423C4"/>
    <w:rsid w:val="1BC129F7"/>
    <w:rsid w:val="1C206D90"/>
    <w:rsid w:val="1C8102BA"/>
    <w:rsid w:val="1C8F3E8C"/>
    <w:rsid w:val="1C982DC8"/>
    <w:rsid w:val="1CFB269D"/>
    <w:rsid w:val="1D6D30F0"/>
    <w:rsid w:val="1D912E5E"/>
    <w:rsid w:val="1E3E525C"/>
    <w:rsid w:val="1E510DF0"/>
    <w:rsid w:val="1E7F3A6E"/>
    <w:rsid w:val="1EC634FD"/>
    <w:rsid w:val="1EDF5987"/>
    <w:rsid w:val="1F724895"/>
    <w:rsid w:val="20A04541"/>
    <w:rsid w:val="20CD20E9"/>
    <w:rsid w:val="215310CC"/>
    <w:rsid w:val="218D4840"/>
    <w:rsid w:val="21DB2D9B"/>
    <w:rsid w:val="21EE33A7"/>
    <w:rsid w:val="22207909"/>
    <w:rsid w:val="22F834FB"/>
    <w:rsid w:val="233219FB"/>
    <w:rsid w:val="23D0179C"/>
    <w:rsid w:val="24810E66"/>
    <w:rsid w:val="24F559AD"/>
    <w:rsid w:val="255B4027"/>
    <w:rsid w:val="256B47EA"/>
    <w:rsid w:val="25E56C3C"/>
    <w:rsid w:val="25EE3AFF"/>
    <w:rsid w:val="265D32FB"/>
    <w:rsid w:val="268F134E"/>
    <w:rsid w:val="27753BAF"/>
    <w:rsid w:val="27A67860"/>
    <w:rsid w:val="27B07231"/>
    <w:rsid w:val="28041EAF"/>
    <w:rsid w:val="2809796E"/>
    <w:rsid w:val="281D4B90"/>
    <w:rsid w:val="292F1F53"/>
    <w:rsid w:val="29610A86"/>
    <w:rsid w:val="29A525EF"/>
    <w:rsid w:val="2A057707"/>
    <w:rsid w:val="2A710341"/>
    <w:rsid w:val="2B105420"/>
    <w:rsid w:val="2B642039"/>
    <w:rsid w:val="2B846C70"/>
    <w:rsid w:val="2BC77515"/>
    <w:rsid w:val="2C771B4F"/>
    <w:rsid w:val="2CC650C5"/>
    <w:rsid w:val="2CF606CE"/>
    <w:rsid w:val="2DE3734F"/>
    <w:rsid w:val="2F016AD9"/>
    <w:rsid w:val="304A73D1"/>
    <w:rsid w:val="314B5307"/>
    <w:rsid w:val="31AC2EA5"/>
    <w:rsid w:val="31D650D5"/>
    <w:rsid w:val="32324C21"/>
    <w:rsid w:val="335372E8"/>
    <w:rsid w:val="33F11C95"/>
    <w:rsid w:val="33FF5E74"/>
    <w:rsid w:val="343539AD"/>
    <w:rsid w:val="354F47F2"/>
    <w:rsid w:val="357E48A5"/>
    <w:rsid w:val="35F51D00"/>
    <w:rsid w:val="3750619A"/>
    <w:rsid w:val="377D4B6F"/>
    <w:rsid w:val="378608C6"/>
    <w:rsid w:val="37A668BE"/>
    <w:rsid w:val="384D02FB"/>
    <w:rsid w:val="38920701"/>
    <w:rsid w:val="393C07CE"/>
    <w:rsid w:val="39D34531"/>
    <w:rsid w:val="39ED2F55"/>
    <w:rsid w:val="3A177921"/>
    <w:rsid w:val="3AA97E95"/>
    <w:rsid w:val="3B0C065F"/>
    <w:rsid w:val="3B3B6997"/>
    <w:rsid w:val="3C200F42"/>
    <w:rsid w:val="3C4C41E5"/>
    <w:rsid w:val="3C686B1C"/>
    <w:rsid w:val="3C89174D"/>
    <w:rsid w:val="3CA85410"/>
    <w:rsid w:val="3CFC22DF"/>
    <w:rsid w:val="3D2D407B"/>
    <w:rsid w:val="3FC240DE"/>
    <w:rsid w:val="3FE759D5"/>
    <w:rsid w:val="400F29F3"/>
    <w:rsid w:val="40A31807"/>
    <w:rsid w:val="40AC3875"/>
    <w:rsid w:val="40FE2979"/>
    <w:rsid w:val="41133285"/>
    <w:rsid w:val="415605D4"/>
    <w:rsid w:val="41700EEC"/>
    <w:rsid w:val="418506BE"/>
    <w:rsid w:val="42A22FDC"/>
    <w:rsid w:val="42BD0831"/>
    <w:rsid w:val="42DE021F"/>
    <w:rsid w:val="432F3332"/>
    <w:rsid w:val="43C36D39"/>
    <w:rsid w:val="449561D3"/>
    <w:rsid w:val="44D25865"/>
    <w:rsid w:val="44D73D5C"/>
    <w:rsid w:val="44E66178"/>
    <w:rsid w:val="44E851BB"/>
    <w:rsid w:val="452B3CAC"/>
    <w:rsid w:val="45340312"/>
    <w:rsid w:val="45DE0465"/>
    <w:rsid w:val="460E35B2"/>
    <w:rsid w:val="46575E9E"/>
    <w:rsid w:val="46B24EA6"/>
    <w:rsid w:val="47285791"/>
    <w:rsid w:val="47370B0E"/>
    <w:rsid w:val="48E6038E"/>
    <w:rsid w:val="4913290E"/>
    <w:rsid w:val="495C73B8"/>
    <w:rsid w:val="49681208"/>
    <w:rsid w:val="4A913FEB"/>
    <w:rsid w:val="4B3F308C"/>
    <w:rsid w:val="4BCB2998"/>
    <w:rsid w:val="4C066862"/>
    <w:rsid w:val="4C626970"/>
    <w:rsid w:val="4C6672B7"/>
    <w:rsid w:val="4CE07C86"/>
    <w:rsid w:val="4D8152A6"/>
    <w:rsid w:val="4DD07FDD"/>
    <w:rsid w:val="4E817F1E"/>
    <w:rsid w:val="4EB971E0"/>
    <w:rsid w:val="4EDC5EFF"/>
    <w:rsid w:val="4EED39E8"/>
    <w:rsid w:val="4F0B4988"/>
    <w:rsid w:val="50170F0C"/>
    <w:rsid w:val="505B1D02"/>
    <w:rsid w:val="505F3AA9"/>
    <w:rsid w:val="51603364"/>
    <w:rsid w:val="51893444"/>
    <w:rsid w:val="523D2AA3"/>
    <w:rsid w:val="52AC3297"/>
    <w:rsid w:val="52B03ABE"/>
    <w:rsid w:val="53235AD6"/>
    <w:rsid w:val="53AA47DD"/>
    <w:rsid w:val="546B1677"/>
    <w:rsid w:val="54C7052D"/>
    <w:rsid w:val="54D3108A"/>
    <w:rsid w:val="55352823"/>
    <w:rsid w:val="55631B33"/>
    <w:rsid w:val="55915D86"/>
    <w:rsid w:val="559B6D93"/>
    <w:rsid w:val="55DD3427"/>
    <w:rsid w:val="565A42BC"/>
    <w:rsid w:val="56773E05"/>
    <w:rsid w:val="56A83E2C"/>
    <w:rsid w:val="56B260A6"/>
    <w:rsid w:val="56D85F19"/>
    <w:rsid w:val="586A4D0F"/>
    <w:rsid w:val="588A0B8E"/>
    <w:rsid w:val="589D4F6E"/>
    <w:rsid w:val="58BB2BE4"/>
    <w:rsid w:val="597758D4"/>
    <w:rsid w:val="597A7D5A"/>
    <w:rsid w:val="598F3012"/>
    <w:rsid w:val="59C717A8"/>
    <w:rsid w:val="59F75550"/>
    <w:rsid w:val="5A017797"/>
    <w:rsid w:val="5A3C01EA"/>
    <w:rsid w:val="5A5F2E3F"/>
    <w:rsid w:val="5A785827"/>
    <w:rsid w:val="5AD22C88"/>
    <w:rsid w:val="5B242884"/>
    <w:rsid w:val="5BD47102"/>
    <w:rsid w:val="5C91165A"/>
    <w:rsid w:val="5CB475A6"/>
    <w:rsid w:val="5DFE30EC"/>
    <w:rsid w:val="5E146CB0"/>
    <w:rsid w:val="5F0E4A3C"/>
    <w:rsid w:val="5FBA6245"/>
    <w:rsid w:val="5FE73F9F"/>
    <w:rsid w:val="5FF66947"/>
    <w:rsid w:val="603F2B17"/>
    <w:rsid w:val="61821717"/>
    <w:rsid w:val="61B5668F"/>
    <w:rsid w:val="61B764F5"/>
    <w:rsid w:val="61C527B0"/>
    <w:rsid w:val="626B4987"/>
    <w:rsid w:val="63045213"/>
    <w:rsid w:val="63A17D02"/>
    <w:rsid w:val="63DE22AE"/>
    <w:rsid w:val="6442704C"/>
    <w:rsid w:val="65D165D6"/>
    <w:rsid w:val="65F803FC"/>
    <w:rsid w:val="660324A6"/>
    <w:rsid w:val="66255972"/>
    <w:rsid w:val="662B42CD"/>
    <w:rsid w:val="66771836"/>
    <w:rsid w:val="6738079C"/>
    <w:rsid w:val="677100F1"/>
    <w:rsid w:val="67CB33BD"/>
    <w:rsid w:val="681A1EDE"/>
    <w:rsid w:val="695A5DDA"/>
    <w:rsid w:val="69745792"/>
    <w:rsid w:val="6A01458B"/>
    <w:rsid w:val="6A064187"/>
    <w:rsid w:val="6BC0650C"/>
    <w:rsid w:val="6C3D17A2"/>
    <w:rsid w:val="6D7B6284"/>
    <w:rsid w:val="6DDD67A0"/>
    <w:rsid w:val="6E5D25CB"/>
    <w:rsid w:val="6E61677C"/>
    <w:rsid w:val="6E714EA9"/>
    <w:rsid w:val="6EC1001A"/>
    <w:rsid w:val="6F03602C"/>
    <w:rsid w:val="6F666DAC"/>
    <w:rsid w:val="6F7A302A"/>
    <w:rsid w:val="6FC5537D"/>
    <w:rsid w:val="6FDE620D"/>
    <w:rsid w:val="709D18A1"/>
    <w:rsid w:val="70F51D88"/>
    <w:rsid w:val="713F43CE"/>
    <w:rsid w:val="72584897"/>
    <w:rsid w:val="725C073F"/>
    <w:rsid w:val="72EB3131"/>
    <w:rsid w:val="737B3956"/>
    <w:rsid w:val="73C74596"/>
    <w:rsid w:val="73C94819"/>
    <w:rsid w:val="740C131C"/>
    <w:rsid w:val="741F5D88"/>
    <w:rsid w:val="74652946"/>
    <w:rsid w:val="74677FEA"/>
    <w:rsid w:val="74976AF1"/>
    <w:rsid w:val="749A293C"/>
    <w:rsid w:val="74DF10EC"/>
    <w:rsid w:val="751B2424"/>
    <w:rsid w:val="763D5972"/>
    <w:rsid w:val="77906233"/>
    <w:rsid w:val="77F63024"/>
    <w:rsid w:val="78E20305"/>
    <w:rsid w:val="790B73C6"/>
    <w:rsid w:val="79E1187D"/>
    <w:rsid w:val="79F60CE3"/>
    <w:rsid w:val="7B270223"/>
    <w:rsid w:val="7B2D5E2B"/>
    <w:rsid w:val="7BE03740"/>
    <w:rsid w:val="7C925F45"/>
    <w:rsid w:val="7CB273E7"/>
    <w:rsid w:val="7D6B0F58"/>
    <w:rsid w:val="7E157B14"/>
    <w:rsid w:val="7E310349"/>
    <w:rsid w:val="7F4C7BEA"/>
    <w:rsid w:val="7FC667A5"/>
    <w:rsid w:val="7FFD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1"/>
    <w:pPr>
      <w:autoSpaceDE w:val="0"/>
      <w:autoSpaceDN w:val="0"/>
      <w:jc w:val="left"/>
    </w:pPr>
    <w:rPr>
      <w:rFonts w:ascii="Noto Sans CJK JP Regular" w:hAnsi="Noto Sans CJK JP Regular" w:eastAsia="Noto Sans CJK JP Regular" w:cs="Noto Sans CJK JP Regular"/>
      <w:kern w:val="0"/>
      <w:sz w:val="24"/>
      <w:lang w:eastAsia="en-US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正文文本 字符"/>
    <w:basedOn w:val="5"/>
    <w:link w:val="2"/>
    <w:qFormat/>
    <w:uiPriority w:val="1"/>
    <w:rPr>
      <w:rFonts w:ascii="Noto Sans CJK JP Regular" w:hAnsi="Noto Sans CJK JP Regular" w:eastAsia="Noto Sans CJK JP Regular" w:cs="Noto Sans CJK JP Regular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313</Words>
  <Characters>1788</Characters>
  <Lines>14</Lines>
  <Paragraphs>4</Paragraphs>
  <TotalTime>67</TotalTime>
  <ScaleCrop>false</ScaleCrop>
  <LinksUpToDate>false</LinksUpToDate>
  <CharactersWithSpaces>2097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2019-03-08T07:07:00Z</dcterms:created>
  <dc:creator>W文昊</dc:creator>
  <cp:lastModifiedBy>lenovo</cp:lastModifiedBy>
  <dcterms:modified xsi:type="dcterms:W3CDTF">2020-03-14T11:14:57Z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