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/>
        </w:rPr>
        <w:t>附表</w:t>
      </w:r>
      <w:r>
        <w:t xml:space="preserve">  </w:t>
      </w:r>
      <w:r>
        <w:rPr>
          <w:rFonts w:hint="eastAsia"/>
        </w:rPr>
        <w:t>建设项目大气环境影响评价自查表</w:t>
      </w:r>
    </w:p>
    <w:tbl>
      <w:tblPr>
        <w:tblStyle w:val="8"/>
        <w:tblW w:w="8336" w:type="dxa"/>
        <w:tblInd w:w="-15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4"/>
        <w:gridCol w:w="1555"/>
        <w:gridCol w:w="899"/>
        <w:gridCol w:w="346"/>
        <w:gridCol w:w="105"/>
        <w:gridCol w:w="241"/>
        <w:gridCol w:w="387"/>
        <w:gridCol w:w="353"/>
        <w:gridCol w:w="244"/>
        <w:gridCol w:w="204"/>
        <w:gridCol w:w="261"/>
        <w:gridCol w:w="596"/>
        <w:gridCol w:w="167"/>
        <w:gridCol w:w="587"/>
        <w:gridCol w:w="157"/>
        <w:gridCol w:w="217"/>
        <w:gridCol w:w="448"/>
        <w:gridCol w:w="665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2459" w:type="dxa"/>
            <w:gridSpan w:val="2"/>
            <w:tcBorders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工作内容</w:t>
            </w:r>
          </w:p>
        </w:tc>
        <w:tc>
          <w:tcPr>
            <w:tcW w:w="5877" w:type="dxa"/>
            <w:gridSpan w:val="16"/>
            <w:tcBorders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自查项目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904" w:type="dxa"/>
            <w:vMerge w:val="restart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评价等级与范围</w:t>
            </w: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评价等级</w:t>
            </w:r>
          </w:p>
        </w:tc>
        <w:tc>
          <w:tcPr>
            <w:tcW w:w="2331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一级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2059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二级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52"/>
            </w:r>
          </w:p>
        </w:tc>
        <w:tc>
          <w:tcPr>
            <w:tcW w:w="1487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三级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评价范围</w:t>
            </w:r>
          </w:p>
        </w:tc>
        <w:tc>
          <w:tcPr>
            <w:tcW w:w="2331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边长=50km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2059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边长 5～50km□</w:t>
            </w:r>
          </w:p>
        </w:tc>
        <w:tc>
          <w:tcPr>
            <w:tcW w:w="1487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边长=5 km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52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" w:hRule="atLeast"/>
        </w:trPr>
        <w:tc>
          <w:tcPr>
            <w:tcW w:w="904" w:type="dxa"/>
            <w:vMerge w:val="restart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评价因子</w:t>
            </w: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SO2 +NOx 排放量</w:t>
            </w:r>
          </w:p>
        </w:tc>
        <w:tc>
          <w:tcPr>
            <w:tcW w:w="124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≥ 2000t/a□</w:t>
            </w:r>
          </w:p>
        </w:tc>
        <w:tc>
          <w:tcPr>
            <w:tcW w:w="3145" w:type="dxa"/>
            <w:gridSpan w:val="10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 ~ 2000t/a□</w:t>
            </w:r>
          </w:p>
        </w:tc>
        <w:tc>
          <w:tcPr>
            <w:tcW w:w="1487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＜500 t/a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52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评价因子</w:t>
            </w:r>
          </w:p>
        </w:tc>
        <w:tc>
          <w:tcPr>
            <w:tcW w:w="3040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基本污染物 (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>颗粒物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其他污染物 (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 xml:space="preserve">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837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包括二次PM2.5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不包括二次PM2.5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52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" w:hRule="atLeast"/>
        </w:trPr>
        <w:tc>
          <w:tcPr>
            <w:tcW w:w="904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评价标准</w:t>
            </w: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评价标准</w:t>
            </w:r>
          </w:p>
        </w:tc>
        <w:tc>
          <w:tcPr>
            <w:tcW w:w="1978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国家标准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52"/>
            </w:r>
          </w:p>
        </w:tc>
        <w:tc>
          <w:tcPr>
            <w:tcW w:w="1062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地方标准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52"/>
            </w:r>
          </w:p>
        </w:tc>
        <w:tc>
          <w:tcPr>
            <w:tcW w:w="1724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附录 D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111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其他标准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904" w:type="dxa"/>
            <w:vMerge w:val="restart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现状评价</w:t>
            </w: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环境功能区</w:t>
            </w:r>
          </w:p>
        </w:tc>
        <w:tc>
          <w:tcPr>
            <w:tcW w:w="2331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一类区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2059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二类区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52"/>
            </w:r>
          </w:p>
        </w:tc>
        <w:tc>
          <w:tcPr>
            <w:tcW w:w="1487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一类区和二类区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评价基准年</w:t>
            </w:r>
          </w:p>
        </w:tc>
        <w:tc>
          <w:tcPr>
            <w:tcW w:w="5877" w:type="dxa"/>
            <w:gridSpan w:val="16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（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201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）年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环境空气质量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现状调查数据来源</w:t>
            </w:r>
          </w:p>
        </w:tc>
        <w:tc>
          <w:tcPr>
            <w:tcW w:w="2331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长期例行监测数据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52"/>
            </w:r>
          </w:p>
        </w:tc>
        <w:tc>
          <w:tcPr>
            <w:tcW w:w="2059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主管部门发布的数据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1487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现状补充监测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现状评价</w:t>
            </w:r>
          </w:p>
        </w:tc>
        <w:tc>
          <w:tcPr>
            <w:tcW w:w="3040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达标区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2837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不达标区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52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</w:trPr>
        <w:tc>
          <w:tcPr>
            <w:tcW w:w="904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污染源调查</w:t>
            </w: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调查内容</w:t>
            </w:r>
          </w:p>
        </w:tc>
        <w:tc>
          <w:tcPr>
            <w:tcW w:w="1978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本项目正常排放源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52"/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本项目非正常排放源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现有污染源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1062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拟替代的污染源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1724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其他在建、拟建项目污染源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111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区域污染源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904" w:type="dxa"/>
            <w:vMerge w:val="restart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大气环境影响预测与 评价</w:t>
            </w: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预测模型</w:t>
            </w:r>
          </w:p>
        </w:tc>
        <w:tc>
          <w:tcPr>
            <w:tcW w:w="8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AERMOD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692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ADMS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984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AUSTAL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2000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106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EDMS/AEDT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75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CALPUFF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822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网格模型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其他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预测范围</w:t>
            </w:r>
          </w:p>
        </w:tc>
        <w:tc>
          <w:tcPr>
            <w:tcW w:w="1591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边长≥ 50km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2799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边长 5～50km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1487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边长 = 5 km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预测因子</w:t>
            </w:r>
          </w:p>
        </w:tc>
        <w:tc>
          <w:tcPr>
            <w:tcW w:w="3040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预测因子(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837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包括二次PM2.5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不包括二次PM2.5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正常排放短期浓度贡献值</w:t>
            </w:r>
          </w:p>
        </w:tc>
        <w:tc>
          <w:tcPr>
            <w:tcW w:w="3040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本项目最大占标率≤100%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2837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本项目最大占标率＞100%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正常排放年均浓度贡献值</w:t>
            </w:r>
          </w:p>
        </w:tc>
        <w:tc>
          <w:tcPr>
            <w:tcW w:w="8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一类区</w:t>
            </w:r>
          </w:p>
        </w:tc>
        <w:tc>
          <w:tcPr>
            <w:tcW w:w="2141" w:type="dxa"/>
            <w:gridSpan w:val="8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本项目最大占标率≤10%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2837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本项目最大标率＞10%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vMerge w:val="continue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二类区</w:t>
            </w:r>
          </w:p>
        </w:tc>
        <w:tc>
          <w:tcPr>
            <w:tcW w:w="2141" w:type="dxa"/>
            <w:gridSpan w:val="8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本项目最大占标率≤30%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2837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本项目最大标率＞30%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非正常排放 1h 浓</w:t>
            </w:r>
          </w:p>
          <w:p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度贡献值</w:t>
            </w:r>
          </w:p>
        </w:tc>
        <w:tc>
          <w:tcPr>
            <w:tcW w:w="135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非正常持续时长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（ ）h</w:t>
            </w:r>
          </w:p>
        </w:tc>
        <w:tc>
          <w:tcPr>
            <w:tcW w:w="2453" w:type="dxa"/>
            <w:gridSpan w:val="8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非正常占标率≤100%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2074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非正常占标率＞100%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保证率日平均浓度和年平均浓度叠加值</w:t>
            </w:r>
          </w:p>
        </w:tc>
        <w:tc>
          <w:tcPr>
            <w:tcW w:w="2779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叠加达标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3098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叠加不达标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区域环境质量的整体变化情况</w:t>
            </w:r>
          </w:p>
        </w:tc>
        <w:tc>
          <w:tcPr>
            <w:tcW w:w="2779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k  ≤-20%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3098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k  ＞-20%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904" w:type="dxa"/>
            <w:vMerge w:val="restart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环境监测计划</w:t>
            </w: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污染源监测</w:t>
            </w:r>
          </w:p>
        </w:tc>
        <w:tc>
          <w:tcPr>
            <w:tcW w:w="2575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监测因子：（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>颗粒物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eastAsia="zh-CN"/>
              </w:rPr>
              <w:t>、甲醛、非甲烷总烃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）</w:t>
            </w:r>
          </w:p>
        </w:tc>
        <w:tc>
          <w:tcPr>
            <w:tcW w:w="2189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有组织废气监测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52"/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无组织废气监测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52"/>
            </w:r>
          </w:p>
        </w:tc>
        <w:tc>
          <w:tcPr>
            <w:tcW w:w="111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无监测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环境质量监测</w:t>
            </w:r>
          </w:p>
        </w:tc>
        <w:tc>
          <w:tcPr>
            <w:tcW w:w="2575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监测因子：（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>
              <w:rPr>
                <w:rFonts w:ascii="Times New Roman" w:hAnsi="Times New Roman" w:cs="Times New Roman"/>
                <w:sz w:val="18"/>
                <w:szCs w:val="18"/>
              </w:rPr>
              <w:t>）</w:t>
            </w:r>
          </w:p>
        </w:tc>
        <w:tc>
          <w:tcPr>
            <w:tcW w:w="2189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监测点位数（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>
              <w:rPr>
                <w:rFonts w:ascii="Times New Roman" w:hAnsi="Times New Roman" w:cs="Times New Roman"/>
                <w:sz w:val="18"/>
                <w:szCs w:val="18"/>
              </w:rPr>
              <w:t>）</w:t>
            </w:r>
          </w:p>
        </w:tc>
        <w:tc>
          <w:tcPr>
            <w:tcW w:w="111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无监测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52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904" w:type="dxa"/>
            <w:vMerge w:val="restart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评价结论</w:t>
            </w: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环境影响</w:t>
            </w:r>
          </w:p>
        </w:tc>
        <w:tc>
          <w:tcPr>
            <w:tcW w:w="5877" w:type="dxa"/>
            <w:gridSpan w:val="16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可以接受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52"/>
            </w: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不可以接受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大气环境防护距离</w:t>
            </w:r>
          </w:p>
        </w:tc>
        <w:tc>
          <w:tcPr>
            <w:tcW w:w="5877" w:type="dxa"/>
            <w:gridSpan w:val="16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距（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>
              <w:rPr>
                <w:rFonts w:ascii="Times New Roman" w:hAnsi="Times New Roman" w:cs="Times New Roman"/>
                <w:sz w:val="18"/>
                <w:szCs w:val="18"/>
              </w:rPr>
              <w:t>）厂界最远（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）m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污染源年排放量</w:t>
            </w:r>
          </w:p>
        </w:tc>
        <w:tc>
          <w:tcPr>
            <w:tcW w:w="1591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SO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:（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0.0014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）t/a</w:t>
            </w:r>
          </w:p>
        </w:tc>
        <w:tc>
          <w:tcPr>
            <w:tcW w:w="1449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NOx:（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0.01397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18"/>
                <w:szCs w:val="18"/>
              </w:rPr>
              <w:t>）t/a</w:t>
            </w:r>
          </w:p>
        </w:tc>
        <w:tc>
          <w:tcPr>
            <w:tcW w:w="1507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颗粒物: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（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0.3281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）t/a</w:t>
            </w:r>
          </w:p>
        </w:tc>
        <w:tc>
          <w:tcPr>
            <w:tcW w:w="133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VOCs: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（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0.24381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）t/a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8336" w:type="dxa"/>
            <w:gridSpan w:val="18"/>
            <w:tcBorders>
              <w:top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注：“□” 为勾选项 ，填“√” ；“（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>
              <w:rPr>
                <w:rFonts w:ascii="Times New Roman" w:hAnsi="Times New Roman" w:cs="Times New Roman"/>
                <w:sz w:val="18"/>
                <w:szCs w:val="18"/>
              </w:rPr>
              <w:t>）”  为内容填写项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D1176"/>
    <w:rsid w:val="00172A27"/>
    <w:rsid w:val="00174CB7"/>
    <w:rsid w:val="0034194F"/>
    <w:rsid w:val="00394694"/>
    <w:rsid w:val="00396C4A"/>
    <w:rsid w:val="003B4CF8"/>
    <w:rsid w:val="00625AFC"/>
    <w:rsid w:val="0068325E"/>
    <w:rsid w:val="006D3D31"/>
    <w:rsid w:val="00AB4635"/>
    <w:rsid w:val="00B02800"/>
    <w:rsid w:val="00B23979"/>
    <w:rsid w:val="00C27C3A"/>
    <w:rsid w:val="00C351B9"/>
    <w:rsid w:val="00C62D8B"/>
    <w:rsid w:val="00DD7A93"/>
    <w:rsid w:val="00DE01B0"/>
    <w:rsid w:val="00DF36F9"/>
    <w:rsid w:val="00DF7A03"/>
    <w:rsid w:val="00E05C20"/>
    <w:rsid w:val="0D3468F9"/>
    <w:rsid w:val="15627B6B"/>
    <w:rsid w:val="203B1583"/>
    <w:rsid w:val="21A1134F"/>
    <w:rsid w:val="28802028"/>
    <w:rsid w:val="2AE16ABB"/>
    <w:rsid w:val="345369A3"/>
    <w:rsid w:val="39BB35CA"/>
    <w:rsid w:val="3A9575BE"/>
    <w:rsid w:val="3E4C2CE2"/>
    <w:rsid w:val="4042101B"/>
    <w:rsid w:val="435907F9"/>
    <w:rsid w:val="45260E8B"/>
    <w:rsid w:val="4B0D5F05"/>
    <w:rsid w:val="4FA64F41"/>
    <w:rsid w:val="53284CC4"/>
    <w:rsid w:val="59917F20"/>
    <w:rsid w:val="5BD006E7"/>
    <w:rsid w:val="7284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0"/>
    <w:pPr>
      <w:spacing w:afterLines="50" w:line="710" w:lineRule="exact"/>
      <w:ind w:left="1134"/>
      <w:outlineLvl w:val="0"/>
    </w:pPr>
    <w:rPr>
      <w:rFonts w:ascii="微软雅黑" w:hAnsi="微软雅黑" w:cs="微软雅黑"/>
      <w:b/>
      <w:bCs/>
      <w:sz w:val="44"/>
      <w:szCs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ind w:left="1395" w:hanging="476"/>
      <w:outlineLvl w:val="1"/>
    </w:pPr>
    <w:rPr>
      <w:rFonts w:ascii="微软雅黑" w:hAnsi="微软雅黑" w:cs="微软雅黑"/>
      <w:b/>
      <w:bCs/>
      <w:sz w:val="32"/>
      <w:szCs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ind w:left="1134" w:hanging="668"/>
      <w:outlineLvl w:val="2"/>
    </w:pPr>
    <w:rPr>
      <w:rFonts w:ascii="微软雅黑" w:hAnsi="微软雅黑" w:cs="微软雅黑"/>
      <w:b/>
      <w:bCs/>
      <w:sz w:val="24"/>
      <w:szCs w:val="2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sz w:val="21"/>
      <w:szCs w:val="21"/>
    </w:rPr>
  </w:style>
  <w:style w:type="paragraph" w:styleId="6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7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0">
    <w:name w:val="Table Paragraph"/>
    <w:basedOn w:val="1"/>
    <w:qFormat/>
    <w:uiPriority w:val="1"/>
  </w:style>
  <w:style w:type="character" w:customStyle="1" w:styleId="11">
    <w:name w:val="页眉 Char"/>
    <w:basedOn w:val="9"/>
    <w:link w:val="7"/>
    <w:qFormat/>
    <w:uiPriority w:val="0"/>
    <w:rPr>
      <w:rFonts w:ascii="宋体" w:hAnsi="宋体" w:eastAsia="宋体" w:cs="宋体"/>
      <w:sz w:val="18"/>
      <w:szCs w:val="18"/>
      <w:lang w:val="zh-CN" w:bidi="zh-CN"/>
    </w:rPr>
  </w:style>
  <w:style w:type="character" w:customStyle="1" w:styleId="12">
    <w:name w:val="页脚 Char"/>
    <w:basedOn w:val="9"/>
    <w:link w:val="6"/>
    <w:qFormat/>
    <w:uiPriority w:val="0"/>
    <w:rPr>
      <w:rFonts w:ascii="宋体" w:hAnsi="宋体" w:eastAsia="宋体" w:cs="宋体"/>
      <w:sz w:val="18"/>
      <w:szCs w:val="18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Kingsoft</Company>
  <Pages>1</Pages>
  <Words>162</Words>
  <Characters>926</Characters>
  <Lines>7</Lines>
  <Paragraphs>2</Paragraphs>
  <TotalTime>24</TotalTime>
  <ScaleCrop>false</ScaleCrop>
  <LinksUpToDate>false</LinksUpToDate>
  <CharactersWithSpaces>1086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余玺</dc:creator>
  <cp:lastModifiedBy>Administrator</cp:lastModifiedBy>
  <dcterms:modified xsi:type="dcterms:W3CDTF">2020-04-17T06:50:21Z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