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outlineLvl w:val="0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关于平顶山市利国源铁矿磁选有限责任公司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outlineLvl w:val="0"/>
        <w:rPr>
          <w:rFonts w:hint="eastAsia" w:ascii="仿宋" w:hAnsi="仿宋" w:eastAsia="仿宋" w:cs="仿宋"/>
          <w:b/>
          <w:bCs w:val="0"/>
          <w:color w:val="auto"/>
          <w:kern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鲁山磁选厂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年产100万吨机制砂项目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outlineLvl w:val="0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color w:val="333333"/>
          <w:sz w:val="36"/>
          <w:szCs w:val="36"/>
        </w:rPr>
        <w:t>环境影响报告</w:t>
      </w:r>
      <w:r>
        <w:rPr>
          <w:rFonts w:hint="eastAsia" w:ascii="仿宋" w:hAnsi="仿宋" w:eastAsia="仿宋" w:cs="仿宋"/>
          <w:b/>
          <w:bCs w:val="0"/>
          <w:color w:val="333333"/>
          <w:sz w:val="36"/>
          <w:szCs w:val="36"/>
          <w:lang w:eastAsia="zh-CN"/>
        </w:rPr>
        <w:t>表</w:t>
      </w:r>
      <w:r>
        <w:rPr>
          <w:rFonts w:hint="eastAsia" w:ascii="仿宋" w:hAnsi="仿宋" w:eastAsia="仿宋" w:cs="仿宋"/>
          <w:b/>
          <w:bCs w:val="0"/>
          <w:color w:val="333333"/>
          <w:sz w:val="36"/>
          <w:szCs w:val="36"/>
        </w:rPr>
        <w:t>的批复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color w:val="262626"/>
          <w:sz w:val="32"/>
          <w:szCs w:val="32"/>
          <w:lang w:eastAsia="zh-CN"/>
        </w:rPr>
        <w:t>鲁环然表</w:t>
      </w:r>
      <w:r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  <w:t>[2020] 04号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平顶山市利国源铁矿磁选有限责任公司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鲁山磁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厂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         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  <w:t>你公司（统一社会信用代码：91410423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  <w:lang w:val="en-US" w:eastAsia="zh-CN"/>
        </w:rPr>
        <w:t>7571147042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  <w:t>）上报的由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  <w:lang w:eastAsia="zh-CN"/>
        </w:rPr>
        <w:t>河南金环环境影响评价有限公司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  <w:t>编制完成的《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平顶山市利国源铁矿磁选有限责任公司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鲁山磁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厂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年产100万吨机制砂项目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  <w:t>环境影响报告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  <w:t>（报批版）》（以下简称《报告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  <w:t>》）收悉，并已在我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  <w:lang w:eastAsia="zh-CN"/>
        </w:rPr>
        <w:t>县政府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  <w:t>网站公示期满。根据《中华人民共和国环境保护法》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  <w:t>《中华人民共和国行政许可法》《中华人民共和国环境影响评价法》《建设项目环境保护管理条例》等法律法规规定，经研究，批复如下：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262626"/>
          <w:sz w:val="28"/>
          <w:szCs w:val="28"/>
        </w:rPr>
      </w:pPr>
      <w:r>
        <w:rPr>
          <w:rFonts w:hint="eastAsia" w:ascii="仿宋" w:hAnsi="仿宋" w:eastAsia="仿宋" w:cs="仿宋"/>
          <w:color w:val="262626"/>
          <w:sz w:val="28"/>
          <w:szCs w:val="28"/>
        </w:rPr>
        <w:t>一、《报告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color w:val="262626"/>
          <w:sz w:val="28"/>
          <w:szCs w:val="28"/>
        </w:rPr>
        <w:t>》内容符合国家有关法律法规要求和建设项目环境管理规定，评价结论可信。我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局</w:t>
      </w:r>
      <w:r>
        <w:rPr>
          <w:rFonts w:hint="eastAsia" w:ascii="仿宋" w:hAnsi="仿宋" w:eastAsia="仿宋" w:cs="仿宋"/>
          <w:color w:val="262626"/>
          <w:sz w:val="28"/>
          <w:szCs w:val="28"/>
        </w:rPr>
        <w:t>批准该《报告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color w:val="262626"/>
          <w:sz w:val="28"/>
          <w:szCs w:val="28"/>
        </w:rPr>
        <w:t>》，原则同意你公司按照《报告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color w:val="262626"/>
          <w:sz w:val="28"/>
          <w:szCs w:val="28"/>
        </w:rPr>
        <w:t>》所列项目的性质、规模、地点、环境保护对策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并严格按照规划</w:t>
      </w:r>
      <w:r>
        <w:rPr>
          <w:rFonts w:hint="eastAsia" w:ascii="仿宋" w:hAnsi="仿宋" w:eastAsia="仿宋" w:cs="仿宋"/>
          <w:color w:val="262626"/>
          <w:sz w:val="28"/>
          <w:szCs w:val="28"/>
        </w:rPr>
        <w:t>进行项目建设。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262626"/>
          <w:sz w:val="28"/>
          <w:szCs w:val="28"/>
        </w:rPr>
      </w:pPr>
      <w:r>
        <w:rPr>
          <w:rFonts w:hint="eastAsia" w:ascii="仿宋" w:hAnsi="仿宋" w:eastAsia="仿宋" w:cs="仿宋"/>
          <w:color w:val="262626"/>
          <w:sz w:val="28"/>
          <w:szCs w:val="28"/>
        </w:rPr>
        <w:t>二、你公司应做好建设项目环境信息公开工作，并接受相关方的咨询。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262626"/>
          <w:sz w:val="28"/>
          <w:szCs w:val="28"/>
        </w:rPr>
        <w:t>三、你公司应全面落实《报告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color w:val="262626"/>
          <w:sz w:val="28"/>
          <w:szCs w:val="28"/>
        </w:rPr>
        <w:t>》提出的各项环境保护措施，确保各项污染物达标排放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并重点做好以下工作：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废气防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治</w:t>
      </w:r>
      <w:r>
        <w:rPr>
          <w:rFonts w:hint="eastAsia" w:ascii="仿宋" w:hAnsi="仿宋" w:eastAsia="仿宋" w:cs="仿宋"/>
          <w:sz w:val="28"/>
          <w:szCs w:val="28"/>
        </w:rPr>
        <w:t>措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施：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本项目应严格执行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eastAsia="zh-CN"/>
        </w:rPr>
        <w:t>《关于印发河南省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2020年大气、水、土壤污染防治攻坚战实施方案的通知》（豫环攻坚办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u w:val="none"/>
        </w:rPr>
        <w:t>〔20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u w:val="none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u w:val="none"/>
        </w:rPr>
        <w:t>〕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u w:val="none"/>
          <w:lang w:val="en-US" w:eastAsia="zh-CN"/>
        </w:rPr>
        <w:t>7号）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、《平顶山市2019年大气污染防治攻坚战实施方案》和《鲁山县2019年大气污染防治攻坚战实施方案》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要求和环境影响报告表中确定的各项大气污染防治措施。确保各项大气污染物达标排放。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废水防治措施：生活污水排入厂区现有化粪池收集后由定期掏取用于农田施肥，不外排。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生产废水、洗砂废水、车辆冲洗废水经沉淀后循环使用，不外排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固体废物防治措施：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营运期产生的固体废物、除尘器收尘和车间沉降颗粒物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</w:rPr>
        <w:t>收集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lang w:eastAsia="zh-CN"/>
        </w:rPr>
        <w:t>及洗砂过程中产生的底泥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</w:rPr>
        <w:t>经压滤机处理后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lang w:eastAsia="zh-CN"/>
        </w:rPr>
        <w:t>通过全封闭的皮带输送廊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</w:rPr>
        <w:t>运至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lang w:eastAsia="zh-CN"/>
        </w:rPr>
        <w:t>滤渣暂存池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lang w:val="en-US" w:eastAsia="zh-CN"/>
        </w:rPr>
        <w:t>进行暂存，评价要求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lang w:eastAsia="zh-CN"/>
        </w:rPr>
        <w:t>滤渣暂存池上方建设罩棚，并做到防渗、防雨、防溢流、及时清运，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lang w:val="en-US" w:eastAsia="zh-CN"/>
        </w:rPr>
        <w:t>最终外售给制砖厂作为生产原料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；生活垃圾运至垃圾中转站统一处理；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设置1个专用密闭容器贮存并存放在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u w:val="none"/>
          <w:lang w:eastAsia="zh-CN"/>
        </w:rPr>
        <w:t>利国源鲁山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u w:val="none"/>
        </w:rPr>
        <w:t>磁选厂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现有危废暂存间（5m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vertAlign w:val="superscript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）内，交由有资质的单位转移处置。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>噪声防治措施：对产生高噪声的主要设备采取基础减震、隔音等措施后，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：加强设备维护保养，确保设备正常运行，避免设备带病运行，</w:t>
      </w:r>
      <w:r>
        <w:rPr>
          <w:rFonts w:hint="eastAsia" w:ascii="仿宋" w:hAnsi="仿宋" w:eastAsia="仿宋" w:cs="仿宋"/>
          <w:sz w:val="28"/>
          <w:szCs w:val="28"/>
        </w:rPr>
        <w:t>噪声达标排放。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262626"/>
          <w:sz w:val="28"/>
          <w:szCs w:val="28"/>
        </w:rPr>
      </w:pPr>
      <w:r>
        <w:rPr>
          <w:rFonts w:hint="eastAsia" w:ascii="仿宋" w:hAnsi="仿宋" w:eastAsia="仿宋" w:cs="仿宋"/>
          <w:color w:val="262626"/>
          <w:sz w:val="28"/>
          <w:szCs w:val="28"/>
        </w:rPr>
        <w:t>四、如果今后国家或我省颁布新的标准，你公司应按新标准执行。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五、项目建成及时组织竣工环境保护验收，未经验收或验收不合格，不得正式投入运营。如需对本项目环评批复的有关内容进行调整，必须以书面形式向我局报告，并按规定办理相关手续。该项目由鲁山县环境监察大队负责日常环境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经办人：刘国杰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2020年 5月7日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222C7"/>
    <w:rsid w:val="00432BB8"/>
    <w:rsid w:val="0DA0190F"/>
    <w:rsid w:val="120D4FC1"/>
    <w:rsid w:val="167F79AC"/>
    <w:rsid w:val="2E5F5FD2"/>
    <w:rsid w:val="2EEF07E6"/>
    <w:rsid w:val="36862BBF"/>
    <w:rsid w:val="3873007D"/>
    <w:rsid w:val="39D72FF5"/>
    <w:rsid w:val="3DA43D88"/>
    <w:rsid w:val="42BA1757"/>
    <w:rsid w:val="43955271"/>
    <w:rsid w:val="505133C3"/>
    <w:rsid w:val="522D29E5"/>
    <w:rsid w:val="55890C11"/>
    <w:rsid w:val="576C4F75"/>
    <w:rsid w:val="5A6222C7"/>
    <w:rsid w:val="671B6183"/>
    <w:rsid w:val="6D535020"/>
    <w:rsid w:val="74A54984"/>
    <w:rsid w:val="7AF7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after="120" w:line="240" w:lineRule="auto"/>
      <w:ind w:left="420" w:leftChars="200" w:firstLine="420"/>
    </w:pPr>
    <w:rPr>
      <w:rFonts w:hint="default" w:ascii="Times New Roman" w:hAnsi="Times New Roman" w:eastAsia="宋体"/>
      <w:sz w:val="21"/>
    </w:rPr>
  </w:style>
  <w:style w:type="paragraph" w:styleId="4">
    <w:name w:val="Normal Indent"/>
    <w:basedOn w:val="1"/>
    <w:qFormat/>
    <w:uiPriority w:val="0"/>
    <w:rPr>
      <w:kern w:val="0"/>
      <w:sz w:val="28"/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u w:val="none"/>
    </w:rPr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color w:val="333333"/>
      <w:u w:val="none"/>
    </w:rPr>
  </w:style>
  <w:style w:type="character" w:styleId="16">
    <w:name w:val="HTML Code"/>
    <w:basedOn w:val="9"/>
    <w:qFormat/>
    <w:uiPriority w:val="0"/>
    <w:rPr>
      <w:rFonts w:ascii="Courier New" w:hAnsi="Courier New"/>
      <w:sz w:val="20"/>
    </w:rPr>
  </w:style>
  <w:style w:type="character" w:styleId="17">
    <w:name w:val="HTML Cite"/>
    <w:basedOn w:val="9"/>
    <w:qFormat/>
    <w:uiPriority w:val="0"/>
  </w:style>
  <w:style w:type="character" w:customStyle="1" w:styleId="18">
    <w:name w:val="bsharetext"/>
    <w:basedOn w:val="9"/>
    <w:qFormat/>
    <w:uiPriority w:val="0"/>
  </w:style>
  <w:style w:type="character" w:customStyle="1" w:styleId="19">
    <w:name w:val="first-child"/>
    <w:basedOn w:val="9"/>
    <w:qFormat/>
    <w:uiPriority w:val="0"/>
    <w:rPr>
      <w:shd w:val="clear" w:fill="E0F0FF"/>
    </w:rPr>
  </w:style>
  <w:style w:type="character" w:customStyle="1" w:styleId="20">
    <w:name w:val="nth-child(2)"/>
    <w:basedOn w:val="9"/>
    <w:qFormat/>
    <w:uiPriority w:val="0"/>
  </w:style>
  <w:style w:type="character" w:customStyle="1" w:styleId="21">
    <w:name w:val="nth-child(3)"/>
    <w:basedOn w:val="9"/>
    <w:qFormat/>
    <w:uiPriority w:val="0"/>
  </w:style>
  <w:style w:type="character" w:customStyle="1" w:styleId="22">
    <w:name w:val="hover29"/>
    <w:basedOn w:val="9"/>
    <w:qFormat/>
    <w:uiPriority w:val="0"/>
    <w:rPr>
      <w:u w:val="single"/>
    </w:rPr>
  </w:style>
  <w:style w:type="paragraph" w:customStyle="1" w:styleId="23">
    <w:name w:val="样式 规划正文 + 仿宋_GB2312 三号 首行缩进:  2 字符 行距: 单倍行距"/>
    <w:basedOn w:val="1"/>
    <w:qFormat/>
    <w:uiPriority w:val="0"/>
    <w:pPr>
      <w:ind w:firstLine="560" w:firstLineChars="200"/>
    </w:pPr>
    <w:rPr>
      <w:rFonts w:ascii="仿宋_GB2312" w:eastAsia="仿宋_GB2312"/>
      <w:sz w:val="28"/>
      <w:szCs w:val="28"/>
    </w:rPr>
  </w:style>
  <w:style w:type="paragraph" w:customStyle="1" w:styleId="24">
    <w:name w:val="00"/>
    <w:basedOn w:val="1"/>
    <w:qFormat/>
    <w:uiPriority w:val="0"/>
    <w:pPr>
      <w:spacing w:beforeLines="0" w:afterLines="0" w:line="520" w:lineRule="exact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2018-10-18T02:13:00Z</dcterms:created>
  <dc:creator>Administrator</dc:creator>
  <cp:lastModifiedBy>李永军</cp:lastModifiedBy>
  <cp:lastPrinted>2020-05-07T23:54:00Z</cp:lastPrinted>
  <dcterms:modified xsi:type="dcterms:W3CDTF">2020-05-08T00:32:33Z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