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  <w:lang w:val="en-US" w:eastAsia="zh-CN"/>
        </w:rPr>
        <w:t>[2020] 06号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关于河南省鲁山县兴盛矿业有限公司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年处理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120万吨废石综合利用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的批复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河南省鲁山县兴盛矿业有限公司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你公司（统一社会信用代码：91410423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val="en-US" w:eastAsia="zh-CN"/>
        </w:rPr>
        <w:t>172076992U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）上报的由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eastAsia="zh-CN"/>
        </w:rPr>
        <w:t>河南金环环境影响评价有限公司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编制完成的《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河南省鲁山县兴盛矿业有限公司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120万吨废石综合利用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32"/>
          <w:szCs w:val="32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sz w:val="32"/>
          <w:szCs w:val="32"/>
        </w:rPr>
        <w:t>一、《报告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批准该《报告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进行项目建设。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sz w:val="32"/>
          <w:szCs w:val="32"/>
        </w:rPr>
        <w:t>二、你公司应做好建设项目环境信息公开工作，并接受相关方的咨询。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</w:rPr>
        <w:t>三、你公司应全面落实《报告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32"/>
          <w:szCs w:val="32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并重点做好以下工作：</w:t>
      </w:r>
    </w:p>
    <w:p>
      <w:pPr>
        <w:pStyle w:val="6"/>
        <w:keepNext w:val="0"/>
        <w:keepLines w:val="0"/>
        <w:pageBreakBefore w:val="0"/>
        <w:tabs>
          <w:tab w:val="left" w:pos="-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废气防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本项目应严格执行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zh-CN"/>
        </w:rPr>
        <w:t>《平顶山市污染防治攻坚战领导小组办公室关于印发平顶山市2020年大气、水、土壤污染防治攻坚战实施方案的通知》（平攻坚办〔2020〕16号）、《平顶山市环境污染防治攻坚战三年行动实施方案（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2018-2020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zh-CN"/>
        </w:rPr>
        <w:t>）》（平政〔2018〕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27号）和《鲁山县2020年大气污染防治攻坚战实施方案》（鲁攻坚办〔2020〕7号）相关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要求和环境影响报告表中确定的各项大气污染防治措施，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满足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《大气污染物综合排放标准》</w:t>
      </w:r>
      <w:r>
        <w:rPr>
          <w:rFonts w:hint="eastAsia" w:ascii="仿宋" w:hAnsi="仿宋" w:eastAsia="仿宋" w:cs="仿宋"/>
          <w:sz w:val="32"/>
          <w:szCs w:val="32"/>
        </w:rPr>
        <w:t>（GB16297-1996）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表 </w:t>
      </w:r>
      <w:r>
        <w:rPr>
          <w:rFonts w:hint="eastAsia" w:ascii="仿宋" w:hAnsi="仿宋" w:eastAsia="仿宋" w:cs="仿宋"/>
          <w:sz w:val="32"/>
          <w:szCs w:val="32"/>
        </w:rPr>
        <w:t>2二级标准要求；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确保各项大气污染物达标排放。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废水防治措施：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</w:rPr>
        <w:t>生活污水进入厂区化粪池收集处理后收集于暂存池定期清掏肥田，不外排；车辆</w:t>
      </w:r>
      <w:r>
        <w:rPr>
          <w:rFonts w:hint="eastAsia" w:ascii="仿宋" w:hAnsi="仿宋" w:eastAsia="仿宋" w:cs="仿宋"/>
          <w:kern w:val="0"/>
          <w:sz w:val="32"/>
          <w:szCs w:val="32"/>
        </w:rPr>
        <w:t>清洗废水沉淀后回用于车轮清洗，不外排；洗砂废水经厂区废水循环利用系统沉淀后循环利用，不外排。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固体废物防治措施：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营运期产生的固体废物、除尘器收尘和车间沉降颗粒物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收集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及洗砂过程中产生的底泥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经压滤机处理后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通过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运营期产生固体废物为生活垃圾、洗砂废水底泥、沉淀池底泥及废机油。其中生活垃圾由垃圾箱收集运至垃圾中转站；袋式除尘器收集的粉尘、洗沙废水底泥、车辆冲洗沉淀池底泥运至矿区排土场，用于矿区回填覆土；废机油暂存于危废暂存间，交由有资质单位进行处理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噪声防治措施：项目运营期间噪声源主要为破碎机、筛分机、球磨机等生产设备的噪声。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经采取车间隔声、基础减震等降噪措施后，全厂各厂界噪声满足《工业企业厂界环境噪声排放标准》（GB12348-2008）2类标准要求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262626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sz w:val="32"/>
          <w:szCs w:val="32"/>
        </w:rPr>
        <w:t>四、如果今后国家或我省颁布新的标准，你公司应按新标准执行。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经办人：刘国杰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2020年9月18日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DA0190F"/>
    <w:rsid w:val="0F1F620B"/>
    <w:rsid w:val="120D4FC1"/>
    <w:rsid w:val="167F79AC"/>
    <w:rsid w:val="1C855F39"/>
    <w:rsid w:val="22DD0CF4"/>
    <w:rsid w:val="2E5F5FD2"/>
    <w:rsid w:val="2EEF07E6"/>
    <w:rsid w:val="36862BBF"/>
    <w:rsid w:val="3873007D"/>
    <w:rsid w:val="39D72FF5"/>
    <w:rsid w:val="3DA43D88"/>
    <w:rsid w:val="42BA1757"/>
    <w:rsid w:val="43955271"/>
    <w:rsid w:val="505133C3"/>
    <w:rsid w:val="522D29E5"/>
    <w:rsid w:val="55890C11"/>
    <w:rsid w:val="576C4F75"/>
    <w:rsid w:val="58233BD9"/>
    <w:rsid w:val="5A6222C7"/>
    <w:rsid w:val="671B6183"/>
    <w:rsid w:val="6D535020"/>
    <w:rsid w:val="74A54984"/>
    <w:rsid w:val="7AF76DAE"/>
    <w:rsid w:val="7CB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u w:val="none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first-child"/>
    <w:basedOn w:val="10"/>
    <w:qFormat/>
    <w:uiPriority w:val="0"/>
    <w:rPr>
      <w:shd w:val="clear" w:fill="E0F0FF"/>
    </w:rPr>
  </w:style>
  <w:style w:type="character" w:customStyle="1" w:styleId="21">
    <w:name w:val="nth-child(2)"/>
    <w:basedOn w:val="10"/>
    <w:qFormat/>
    <w:uiPriority w:val="0"/>
  </w:style>
  <w:style w:type="character" w:customStyle="1" w:styleId="22">
    <w:name w:val="nth-child(3)"/>
    <w:basedOn w:val="10"/>
    <w:qFormat/>
    <w:uiPriority w:val="0"/>
  </w:style>
  <w:style w:type="character" w:customStyle="1" w:styleId="23">
    <w:name w:val="hover29"/>
    <w:basedOn w:val="10"/>
    <w:qFormat/>
    <w:uiPriority w:val="0"/>
    <w:rPr>
      <w:u w:val="single"/>
    </w:rPr>
  </w:style>
  <w:style w:type="paragraph" w:customStyle="1" w:styleId="24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5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Administrator</cp:lastModifiedBy>
  <cp:lastPrinted>2020-09-17T08:33:01Z</cp:lastPrinted>
  <dcterms:modified xsi:type="dcterms:W3CDTF">2020-09-17T23:52:59Z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