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 w:hAnsi="仿宋" w:eastAsia="仿宋" w:cs="仿宋"/>
          <w:sz w:val="28"/>
          <w:szCs w:val="28"/>
          <w:lang w:val="en-US" w:eastAsia="zh-CN"/>
        </w:rPr>
      </w:pPr>
    </w:p>
    <w:p>
      <w:pPr>
        <w:pStyle w:val="4"/>
        <w:rPr>
          <w:rFonts w:hint="eastAsia" w:ascii="仿宋" w:hAnsi="仿宋" w:eastAsia="仿宋" w:cs="仿宋"/>
          <w:sz w:val="28"/>
          <w:szCs w:val="28"/>
          <w:lang w:val="en-US" w:eastAsia="zh-CN"/>
        </w:rPr>
      </w:pPr>
    </w:p>
    <w:p>
      <w:pPr>
        <w:pStyle w:val="4"/>
        <w:rPr>
          <w:rFonts w:hint="eastAsia" w:ascii="仿宋" w:hAnsi="仿宋" w:eastAsia="仿宋" w:cs="仿宋"/>
          <w:sz w:val="28"/>
          <w:szCs w:val="28"/>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2570" w:firstLineChars="800"/>
        <w:jc w:val="both"/>
        <w:rPr>
          <w:rFonts w:hint="eastAsia" w:asciiTheme="majorEastAsia" w:hAnsiTheme="majorEastAsia" w:eastAsiaTheme="majorEastAsia" w:cstheme="majorEastAsia"/>
          <w:b/>
          <w:bCs/>
          <w:color w:val="262626"/>
          <w:sz w:val="44"/>
          <w:szCs w:val="44"/>
          <w:lang w:val="en-US" w:eastAsia="zh-CN"/>
        </w:rPr>
      </w:pPr>
      <w:r>
        <w:rPr>
          <w:rFonts w:hint="eastAsia" w:asciiTheme="majorEastAsia" w:hAnsiTheme="majorEastAsia" w:eastAsiaTheme="majorEastAsia" w:cstheme="majorEastAsia"/>
          <w:b/>
          <w:bCs/>
          <w:color w:val="262626"/>
          <w:sz w:val="32"/>
          <w:szCs w:val="32"/>
          <w:lang w:eastAsia="zh-CN"/>
        </w:rPr>
        <w:t>鲁环然表</w:t>
      </w:r>
      <w:r>
        <w:rPr>
          <w:rFonts w:hint="eastAsia" w:asciiTheme="majorEastAsia" w:hAnsiTheme="majorEastAsia" w:eastAsiaTheme="majorEastAsia" w:cstheme="majorEastAsia"/>
          <w:b/>
          <w:bCs/>
          <w:color w:val="262626"/>
          <w:sz w:val="32"/>
          <w:szCs w:val="32"/>
          <w:lang w:val="en-US" w:eastAsia="zh-CN"/>
        </w:rPr>
        <w:t>[2020] 08号</w:t>
      </w:r>
    </w:p>
    <w:p>
      <w:pPr>
        <w:jc w:val="center"/>
        <w:rPr>
          <w:rFonts w:hint="eastAsia" w:ascii="宋体" w:hAnsi="宋体" w:eastAsia="宋体" w:cs="宋体"/>
          <w:b/>
          <w:bCs/>
          <w:sz w:val="36"/>
          <w:szCs w:val="36"/>
        </w:rPr>
      </w:pPr>
      <w:r>
        <w:rPr>
          <w:rFonts w:hint="eastAsia" w:ascii="宋体" w:hAnsi="宋体" w:eastAsia="宋体" w:cs="宋体"/>
          <w:b/>
          <w:bCs w:val="0"/>
          <w:color w:val="333333"/>
          <w:sz w:val="36"/>
          <w:szCs w:val="36"/>
        </w:rPr>
        <w:t>关于</w:t>
      </w:r>
      <w:r>
        <w:rPr>
          <w:rFonts w:hint="eastAsia" w:ascii="宋体" w:hAnsi="宋体" w:eastAsia="宋体" w:cs="宋体"/>
          <w:b/>
          <w:bCs/>
          <w:sz w:val="36"/>
          <w:szCs w:val="36"/>
        </w:rPr>
        <w:t>南阳澳瑞得新型建材有限公司</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rPr>
        <w:t>鲁山金沟铁矿废矿石综合利用项目</w:t>
      </w:r>
      <w:r>
        <w:rPr>
          <w:rFonts w:hint="eastAsia" w:ascii="宋体" w:hAnsi="宋体" w:eastAsia="宋体" w:cs="宋体"/>
          <w:b/>
          <w:bCs/>
          <w:sz w:val="36"/>
          <w:szCs w:val="36"/>
          <w:lang w:eastAsia="zh-CN"/>
        </w:rPr>
        <w:t>建设</w:t>
      </w:r>
      <w:r>
        <w:rPr>
          <w:rFonts w:hint="eastAsia" w:ascii="宋体" w:hAnsi="宋体" w:eastAsia="宋体" w:cs="宋体"/>
          <w:b/>
          <w:bCs/>
          <w:color w:val="333333"/>
          <w:kern w:val="44"/>
          <w:sz w:val="36"/>
          <w:szCs w:val="36"/>
          <w:lang w:val="en-US" w:eastAsia="zh-CN" w:bidi="ar-SA"/>
        </w:rPr>
        <w:t>项目</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b/>
          <w:bCs/>
          <w:color w:val="333333"/>
          <w:sz w:val="36"/>
          <w:szCs w:val="36"/>
        </w:rPr>
      </w:pPr>
      <w:r>
        <w:rPr>
          <w:rFonts w:hint="eastAsia" w:ascii="宋体" w:hAnsi="宋体" w:eastAsia="宋体" w:cs="宋体"/>
          <w:b/>
          <w:bCs/>
          <w:color w:val="333333"/>
          <w:sz w:val="36"/>
          <w:szCs w:val="36"/>
        </w:rPr>
        <w:t>环境影响报告</w:t>
      </w:r>
      <w:r>
        <w:rPr>
          <w:rFonts w:hint="eastAsia" w:ascii="宋体" w:hAnsi="宋体" w:eastAsia="宋体" w:cs="宋体"/>
          <w:b/>
          <w:bCs/>
          <w:color w:val="333333"/>
          <w:sz w:val="36"/>
          <w:szCs w:val="36"/>
          <w:lang w:val="en-US" w:eastAsia="zh-CN"/>
        </w:rPr>
        <w:t>表的批复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eastAsia" w:ascii="仿宋" w:hAnsi="仿宋" w:eastAsia="仿宋" w:cs="仿宋"/>
          <w:color w:val="262626"/>
          <w:sz w:val="32"/>
          <w:szCs w:val="32"/>
          <w:lang w:val="en-US" w:eastAsia="zh-CN"/>
        </w:rPr>
      </w:pPr>
      <w:r>
        <w:rPr>
          <w:rFonts w:hint="eastAsia" w:ascii="仿宋" w:hAnsi="仿宋" w:eastAsia="仿宋" w:cs="仿宋"/>
          <w:color w:val="262626"/>
          <w:sz w:val="32"/>
          <w:szCs w:val="32"/>
          <w:lang w:val="en-US" w:eastAsia="zh-CN"/>
        </w:rPr>
        <w:t xml:space="preserve">                              </w:t>
      </w:r>
    </w:p>
    <w:p>
      <w:pPr>
        <w:jc w:val="both"/>
        <w:rPr>
          <w:rFonts w:hint="eastAsia" w:ascii="仿宋" w:hAnsi="仿宋" w:eastAsia="仿宋" w:cs="仿宋"/>
          <w:color w:val="333333"/>
          <w:sz w:val="28"/>
          <w:szCs w:val="28"/>
          <w:lang w:val="en-US" w:eastAsia="zh-CN"/>
        </w:rPr>
      </w:pPr>
      <w:r>
        <w:rPr>
          <w:rFonts w:hint="eastAsia" w:ascii="仿宋" w:hAnsi="仿宋" w:eastAsia="仿宋" w:cs="仿宋"/>
          <w:b/>
          <w:bCs w:val="0"/>
          <w:color w:val="333333"/>
          <w:sz w:val="28"/>
          <w:szCs w:val="28"/>
          <w:lang w:eastAsia="zh-CN"/>
        </w:rPr>
        <w:t>南阳澳瑞得新型建材有限公司鲁山金沟铁矿</w:t>
      </w:r>
      <w:r>
        <w:rPr>
          <w:rFonts w:hint="eastAsia" w:ascii="仿宋" w:hAnsi="仿宋" w:eastAsia="仿宋" w:cs="仿宋"/>
          <w:color w:val="333333"/>
          <w:sz w:val="28"/>
          <w:szCs w:val="28"/>
          <w:lang w:val="en-US" w:eastAsia="zh-CN"/>
        </w:rPr>
        <w:t xml:space="preserve"> ：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outlineLvl w:val="0"/>
        <w:rPr>
          <w:rFonts w:hint="eastAsia" w:ascii="仿宋" w:hAnsi="仿宋" w:eastAsia="仿宋" w:cs="仿宋"/>
          <w:i w:val="0"/>
          <w:caps w:val="0"/>
          <w:color w:val="262626"/>
          <w:spacing w:val="0"/>
          <w:sz w:val="28"/>
          <w:szCs w:val="28"/>
        </w:rPr>
      </w:pPr>
      <w:r>
        <w:rPr>
          <w:rFonts w:hint="eastAsia" w:ascii="仿宋" w:hAnsi="仿宋" w:eastAsia="仿宋" w:cs="仿宋"/>
          <w:i w:val="0"/>
          <w:caps w:val="0"/>
          <w:color w:val="262626"/>
          <w:spacing w:val="0"/>
          <w:sz w:val="28"/>
          <w:szCs w:val="28"/>
        </w:rPr>
        <w:t> </w:t>
      </w:r>
      <w:r>
        <w:rPr>
          <w:rFonts w:hint="eastAsia" w:ascii="仿宋" w:hAnsi="仿宋" w:eastAsia="仿宋" w:cs="仿宋"/>
          <w:i w:val="0"/>
          <w:caps w:val="0"/>
          <w:color w:val="262626"/>
          <w:spacing w:val="0"/>
          <w:sz w:val="28"/>
          <w:szCs w:val="28"/>
          <w:lang w:val="en-US" w:eastAsia="zh-CN"/>
        </w:rPr>
        <w:t xml:space="preserve">   </w:t>
      </w:r>
      <w:r>
        <w:rPr>
          <w:rFonts w:hint="eastAsia" w:ascii="仿宋" w:hAnsi="仿宋" w:eastAsia="仿宋" w:cs="仿宋"/>
          <w:b w:val="0"/>
          <w:bCs/>
          <w:color w:val="262626"/>
          <w:sz w:val="28"/>
          <w:szCs w:val="28"/>
        </w:rPr>
        <w:t>你公司（统一社会信用代码：914104235569031766）上报的由</w:t>
      </w:r>
      <w:r>
        <w:rPr>
          <w:rFonts w:hint="eastAsia" w:ascii="仿宋" w:hAnsi="仿宋" w:eastAsia="仿宋" w:cs="仿宋"/>
          <w:b w:val="0"/>
          <w:bCs/>
          <w:color w:val="262626"/>
          <w:sz w:val="28"/>
          <w:szCs w:val="28"/>
          <w:lang w:eastAsia="zh-CN"/>
        </w:rPr>
        <w:t>河南慧之扬环保科技有限公司</w:t>
      </w:r>
      <w:r>
        <w:rPr>
          <w:rFonts w:hint="eastAsia" w:ascii="仿宋" w:hAnsi="仿宋" w:eastAsia="仿宋" w:cs="仿宋"/>
          <w:b w:val="0"/>
          <w:bCs/>
          <w:color w:val="262626"/>
          <w:sz w:val="28"/>
          <w:szCs w:val="28"/>
        </w:rPr>
        <w:t>编制完成的《</w:t>
      </w:r>
      <w:r>
        <w:rPr>
          <w:rFonts w:hint="eastAsia" w:ascii="仿宋" w:hAnsi="仿宋" w:eastAsia="仿宋" w:cs="仿宋"/>
          <w:b w:val="0"/>
          <w:bCs/>
          <w:color w:val="333333"/>
          <w:sz w:val="28"/>
          <w:szCs w:val="28"/>
          <w:lang w:eastAsia="zh-CN"/>
        </w:rPr>
        <w:t>南阳澳瑞得新型建材有限公司鲁山金沟铁矿废矿石综合利用项目建设项目</w:t>
      </w:r>
      <w:r>
        <w:rPr>
          <w:rFonts w:hint="eastAsia" w:ascii="仿宋" w:hAnsi="仿宋" w:eastAsia="仿宋" w:cs="仿宋"/>
          <w:b w:val="0"/>
          <w:bCs/>
          <w:color w:val="262626"/>
          <w:sz w:val="28"/>
          <w:szCs w:val="28"/>
        </w:rPr>
        <w:t>环境影响报告</w:t>
      </w:r>
      <w:r>
        <w:rPr>
          <w:rFonts w:hint="eastAsia" w:ascii="仿宋" w:hAnsi="仿宋" w:eastAsia="仿宋" w:cs="仿宋"/>
          <w:b w:val="0"/>
          <w:bCs/>
          <w:color w:val="262626"/>
          <w:sz w:val="28"/>
          <w:szCs w:val="28"/>
          <w:lang w:eastAsia="zh-CN"/>
        </w:rPr>
        <w:t>表</w:t>
      </w:r>
      <w:r>
        <w:rPr>
          <w:rFonts w:hint="eastAsia" w:ascii="仿宋" w:hAnsi="仿宋" w:eastAsia="仿宋" w:cs="仿宋"/>
          <w:b w:val="0"/>
          <w:bCs/>
          <w:color w:val="262626"/>
          <w:sz w:val="28"/>
          <w:szCs w:val="28"/>
        </w:rPr>
        <w:t>（报批版）》（以下简称《报告</w:t>
      </w:r>
      <w:r>
        <w:rPr>
          <w:rFonts w:hint="eastAsia" w:ascii="仿宋" w:hAnsi="仿宋" w:eastAsia="仿宋" w:cs="仿宋"/>
          <w:b w:val="0"/>
          <w:bCs/>
          <w:color w:val="262626"/>
          <w:sz w:val="28"/>
          <w:szCs w:val="28"/>
          <w:lang w:eastAsia="zh-CN"/>
        </w:rPr>
        <w:t>表</w:t>
      </w:r>
      <w:r>
        <w:rPr>
          <w:rFonts w:hint="eastAsia" w:ascii="仿宋" w:hAnsi="仿宋" w:eastAsia="仿宋" w:cs="仿宋"/>
          <w:b w:val="0"/>
          <w:bCs/>
          <w:color w:val="262626"/>
          <w:sz w:val="28"/>
          <w:szCs w:val="28"/>
        </w:rPr>
        <w:t>》）收悉，并已在我</w:t>
      </w:r>
      <w:r>
        <w:rPr>
          <w:rFonts w:hint="eastAsia" w:ascii="仿宋" w:hAnsi="仿宋" w:eastAsia="仿宋" w:cs="仿宋"/>
          <w:b w:val="0"/>
          <w:bCs/>
          <w:color w:val="262626"/>
          <w:sz w:val="28"/>
          <w:szCs w:val="28"/>
          <w:lang w:eastAsia="zh-CN"/>
        </w:rPr>
        <w:t>县政府</w:t>
      </w:r>
      <w:r>
        <w:rPr>
          <w:rFonts w:hint="eastAsia" w:ascii="仿宋" w:hAnsi="仿宋" w:eastAsia="仿宋" w:cs="仿宋"/>
          <w:b w:val="0"/>
          <w:bCs/>
          <w:color w:val="262626"/>
          <w:sz w:val="28"/>
          <w:szCs w:val="28"/>
        </w:rPr>
        <w:t>网站公示期满。根据《中华人民共和国环境保护法》</w:t>
      </w:r>
      <w:r>
        <w:rPr>
          <w:rFonts w:hint="eastAsia" w:ascii="仿宋" w:hAnsi="仿宋" w:eastAsia="仿宋" w:cs="仿宋"/>
          <w:b w:val="0"/>
          <w:bCs/>
          <w:color w:val="262626"/>
          <w:sz w:val="28"/>
          <w:szCs w:val="28"/>
          <w:lang w:eastAsia="zh-CN"/>
        </w:rPr>
        <w:t>、</w:t>
      </w:r>
      <w:r>
        <w:rPr>
          <w:rFonts w:hint="eastAsia" w:ascii="仿宋" w:hAnsi="仿宋" w:eastAsia="仿宋" w:cs="仿宋"/>
          <w:b w:val="0"/>
          <w:bCs/>
          <w:color w:val="262626"/>
          <w:sz w:val="28"/>
          <w:szCs w:val="28"/>
        </w:rPr>
        <w:t>《中华人民共和国行政许可法》《中华人民共和国环境影响评价法》《建设项目环境保护管理条例》等法律法规规定，经研究，批复如下：</w:t>
      </w:r>
    </w:p>
    <w:p>
      <w:pPr>
        <w:keepNext w:val="0"/>
        <w:keepLines w:val="0"/>
        <w:pageBreakBefore w:val="0"/>
        <w:kinsoku/>
        <w:wordWrap/>
        <w:overflowPunct/>
        <w:topLinePunct w:val="0"/>
        <w:autoSpaceDE/>
        <w:autoSpaceDN/>
        <w:bidi w:val="0"/>
        <w:adjustRightInd/>
        <w:snapToGrid/>
        <w:spacing w:line="400" w:lineRule="exact"/>
        <w:ind w:firstLine="548" w:firstLineChars="196"/>
        <w:rPr>
          <w:rFonts w:hint="eastAsia" w:ascii="仿宋" w:hAnsi="仿宋" w:eastAsia="仿宋" w:cs="仿宋"/>
          <w:sz w:val="28"/>
          <w:szCs w:val="28"/>
          <w:lang w:eastAsia="zh-CN"/>
        </w:rPr>
      </w:pPr>
      <w:r>
        <w:rPr>
          <w:rFonts w:hint="eastAsia" w:ascii="仿宋" w:hAnsi="仿宋" w:eastAsia="仿宋" w:cs="仿宋"/>
          <w:sz w:val="28"/>
          <w:szCs w:val="28"/>
          <w:lang w:eastAsia="zh-CN"/>
        </w:rPr>
        <w:t>一、该项目</w:t>
      </w:r>
      <w:r>
        <w:rPr>
          <w:rFonts w:hint="eastAsia" w:ascii="仿宋" w:hAnsi="仿宋" w:eastAsia="仿宋" w:cs="仿宋"/>
          <w:sz w:val="28"/>
          <w:szCs w:val="28"/>
        </w:rPr>
        <w:t>位于平顶山市鲁山县</w:t>
      </w:r>
      <w:r>
        <w:rPr>
          <w:rFonts w:hint="eastAsia" w:ascii="仿宋" w:hAnsi="仿宋" w:eastAsia="仿宋" w:cs="仿宋"/>
          <w:sz w:val="28"/>
          <w:szCs w:val="28"/>
          <w:lang w:eastAsia="zh-CN"/>
        </w:rPr>
        <w:t>熊背乡宝山村</w:t>
      </w:r>
      <w:r>
        <w:rPr>
          <w:rFonts w:hint="eastAsia" w:ascii="仿宋" w:hAnsi="仿宋" w:eastAsia="仿宋" w:cs="仿宋"/>
          <w:sz w:val="28"/>
          <w:szCs w:val="28"/>
        </w:rPr>
        <w:t>。</w:t>
      </w:r>
      <w:r>
        <w:rPr>
          <w:rFonts w:hint="eastAsia" w:ascii="仿宋" w:hAnsi="仿宋" w:eastAsia="仿宋" w:cs="仿宋"/>
          <w:sz w:val="28"/>
          <w:szCs w:val="28"/>
          <w:lang w:eastAsia="zh-CN"/>
        </w:rPr>
        <w:t>利用在铁矿开采、选矿过程中产生的废石为原料，建设一条废石加工生产线。生产规模：年生产石子</w:t>
      </w:r>
      <w:r>
        <w:rPr>
          <w:rFonts w:hint="eastAsia" w:ascii="仿宋" w:hAnsi="仿宋" w:eastAsia="仿宋" w:cs="仿宋"/>
          <w:sz w:val="28"/>
          <w:szCs w:val="28"/>
          <w:lang w:val="en-US" w:eastAsia="zh-CN"/>
        </w:rPr>
        <w:t>100万吨。生产工艺：</w:t>
      </w:r>
      <w:r>
        <w:rPr>
          <w:rFonts w:hint="eastAsia" w:ascii="仿宋" w:hAnsi="仿宋" w:eastAsia="仿宋" w:cs="仿宋"/>
          <w:sz w:val="28"/>
          <w:szCs w:val="28"/>
          <w:lang w:val="zh-CN"/>
        </w:rPr>
        <w:t>原料—破碎—筛分—成品；主要设备：</w:t>
      </w:r>
      <w:r>
        <w:rPr>
          <w:rFonts w:hint="eastAsia" w:ascii="仿宋" w:hAnsi="仿宋" w:eastAsia="仿宋" w:cs="仿宋"/>
          <w:sz w:val="28"/>
          <w:szCs w:val="28"/>
          <w:lang w:val="en-US" w:eastAsia="zh-CN"/>
        </w:rPr>
        <w:t>1台颚式破碎机、3台圆锥式破碎机、3台振动筛、皮带运输机、袋式除尘器等，</w:t>
      </w:r>
      <w:r>
        <w:rPr>
          <w:rFonts w:hint="eastAsia" w:ascii="仿宋" w:hAnsi="仿宋" w:eastAsia="仿宋" w:cs="仿宋"/>
          <w:sz w:val="28"/>
          <w:szCs w:val="28"/>
        </w:rPr>
        <w:t>总投资</w:t>
      </w:r>
      <w:r>
        <w:rPr>
          <w:rFonts w:hint="eastAsia" w:ascii="仿宋" w:hAnsi="仿宋" w:eastAsia="仿宋" w:cs="仿宋"/>
          <w:sz w:val="28"/>
          <w:szCs w:val="28"/>
          <w:lang w:val="en-US" w:eastAsia="zh-CN"/>
        </w:rPr>
        <w:t>500</w:t>
      </w:r>
      <w:r>
        <w:rPr>
          <w:rFonts w:hint="eastAsia" w:ascii="仿宋" w:hAnsi="仿宋" w:eastAsia="仿宋" w:cs="仿宋"/>
          <w:sz w:val="28"/>
          <w:szCs w:val="28"/>
        </w:rPr>
        <w:t>万元</w:t>
      </w:r>
      <w:r>
        <w:rPr>
          <w:rFonts w:hint="eastAsia" w:ascii="仿宋" w:hAnsi="仿宋" w:eastAsia="仿宋" w:cs="仿宋"/>
          <w:sz w:val="28"/>
          <w:szCs w:val="28"/>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560" w:firstLineChars="200"/>
        <w:rPr>
          <w:rFonts w:hint="eastAsia" w:ascii="仿宋" w:hAnsi="仿宋" w:eastAsia="仿宋" w:cs="仿宋"/>
          <w:i w:val="0"/>
          <w:caps w:val="0"/>
          <w:color w:val="262626"/>
          <w:spacing w:val="0"/>
          <w:sz w:val="28"/>
          <w:szCs w:val="28"/>
        </w:rPr>
      </w:pPr>
      <w:r>
        <w:rPr>
          <w:rFonts w:hint="eastAsia" w:ascii="仿宋" w:hAnsi="仿宋" w:eastAsia="仿宋" w:cs="仿宋"/>
          <w:sz w:val="28"/>
          <w:szCs w:val="28"/>
        </w:rPr>
        <w:t>二、项目符合当前国家产业政策和相关规划</w:t>
      </w:r>
      <w:r>
        <w:rPr>
          <w:rFonts w:hint="eastAsia" w:ascii="仿宋" w:hAnsi="仿宋" w:eastAsia="仿宋" w:cs="仿宋"/>
          <w:sz w:val="28"/>
          <w:szCs w:val="28"/>
          <w:lang w:eastAsia="zh-CN"/>
        </w:rPr>
        <w:t>。</w:t>
      </w:r>
      <w:r>
        <w:rPr>
          <w:rFonts w:hint="eastAsia" w:ascii="仿宋" w:hAnsi="仿宋" w:eastAsia="仿宋" w:cs="仿宋"/>
          <w:sz w:val="28"/>
          <w:szCs w:val="28"/>
        </w:rPr>
        <w:t>该《报告表》</w:t>
      </w:r>
      <w:r>
        <w:rPr>
          <w:rFonts w:hint="eastAsia" w:ascii="仿宋" w:hAnsi="仿宋" w:eastAsia="仿宋" w:cs="仿宋"/>
          <w:sz w:val="28"/>
          <w:szCs w:val="28"/>
          <w:lang w:eastAsia="zh-CN"/>
        </w:rPr>
        <w:t>评价模式正确，评价重点突出</w:t>
      </w:r>
      <w:r>
        <w:rPr>
          <w:rFonts w:hint="eastAsia" w:ascii="仿宋" w:hAnsi="仿宋" w:eastAsia="仿宋" w:cs="仿宋"/>
          <w:sz w:val="28"/>
          <w:szCs w:val="28"/>
        </w:rPr>
        <w:t>，</w:t>
      </w:r>
      <w:r>
        <w:rPr>
          <w:rFonts w:hint="eastAsia" w:ascii="仿宋" w:hAnsi="仿宋" w:eastAsia="仿宋" w:cs="仿宋"/>
          <w:i w:val="0"/>
          <w:caps w:val="0"/>
          <w:color w:val="262626"/>
          <w:spacing w:val="0"/>
          <w:sz w:val="28"/>
          <w:szCs w:val="28"/>
        </w:rPr>
        <w:t>提出的</w:t>
      </w:r>
      <w:r>
        <w:rPr>
          <w:rFonts w:hint="eastAsia" w:ascii="仿宋" w:hAnsi="仿宋" w:eastAsia="仿宋" w:cs="仿宋"/>
          <w:i w:val="0"/>
          <w:caps w:val="0"/>
          <w:color w:val="262626"/>
          <w:spacing w:val="0"/>
          <w:sz w:val="28"/>
          <w:szCs w:val="28"/>
          <w:lang w:eastAsia="zh-CN"/>
        </w:rPr>
        <w:t>不良环境的预防、控制或减缓的</w:t>
      </w:r>
      <w:r>
        <w:rPr>
          <w:rFonts w:hint="eastAsia" w:ascii="仿宋" w:hAnsi="仿宋" w:eastAsia="仿宋" w:cs="仿宋"/>
          <w:i w:val="0"/>
          <w:caps w:val="0"/>
          <w:color w:val="262626"/>
          <w:spacing w:val="0"/>
          <w:sz w:val="28"/>
          <w:szCs w:val="28"/>
        </w:rPr>
        <w:t>各项生态保护及污染防治措施</w:t>
      </w:r>
      <w:r>
        <w:rPr>
          <w:rFonts w:hint="eastAsia" w:ascii="仿宋" w:hAnsi="仿宋" w:eastAsia="仿宋" w:cs="仿宋"/>
          <w:i w:val="0"/>
          <w:caps w:val="0"/>
          <w:color w:val="262626"/>
          <w:spacing w:val="0"/>
          <w:sz w:val="28"/>
          <w:szCs w:val="28"/>
          <w:lang w:eastAsia="zh-CN"/>
        </w:rPr>
        <w:t>可行</w:t>
      </w:r>
      <w:r>
        <w:rPr>
          <w:rFonts w:hint="eastAsia" w:ascii="仿宋" w:hAnsi="仿宋" w:eastAsia="仿宋" w:cs="仿宋"/>
          <w:i w:val="0"/>
          <w:caps w:val="0"/>
          <w:color w:val="262626"/>
          <w:spacing w:val="0"/>
          <w:sz w:val="28"/>
          <w:szCs w:val="28"/>
        </w:rPr>
        <w:t>。我</w:t>
      </w:r>
      <w:r>
        <w:rPr>
          <w:rFonts w:hint="eastAsia" w:ascii="仿宋" w:hAnsi="仿宋" w:eastAsia="仿宋" w:cs="仿宋"/>
          <w:i w:val="0"/>
          <w:caps w:val="0"/>
          <w:color w:val="262626"/>
          <w:spacing w:val="0"/>
          <w:sz w:val="28"/>
          <w:szCs w:val="28"/>
          <w:lang w:eastAsia="zh-CN"/>
        </w:rPr>
        <w:t>局</w:t>
      </w:r>
      <w:r>
        <w:rPr>
          <w:rFonts w:hint="eastAsia" w:ascii="仿宋" w:hAnsi="仿宋" w:eastAsia="仿宋" w:cs="仿宋"/>
          <w:i w:val="0"/>
          <w:caps w:val="0"/>
          <w:color w:val="262626"/>
          <w:spacing w:val="0"/>
          <w:sz w:val="28"/>
          <w:szCs w:val="28"/>
        </w:rPr>
        <w:t>原则同意你公司按照《报告</w:t>
      </w:r>
      <w:r>
        <w:rPr>
          <w:rFonts w:hint="eastAsia" w:ascii="仿宋" w:hAnsi="仿宋" w:eastAsia="仿宋" w:cs="仿宋"/>
          <w:i w:val="0"/>
          <w:caps w:val="0"/>
          <w:color w:val="262626"/>
          <w:spacing w:val="0"/>
          <w:sz w:val="28"/>
          <w:szCs w:val="28"/>
          <w:lang w:eastAsia="zh-CN"/>
        </w:rPr>
        <w:t>表</w:t>
      </w:r>
      <w:r>
        <w:rPr>
          <w:rFonts w:hint="eastAsia" w:ascii="仿宋" w:hAnsi="仿宋" w:eastAsia="仿宋" w:cs="仿宋"/>
          <w:i w:val="0"/>
          <w:caps w:val="0"/>
          <w:color w:val="262626"/>
          <w:spacing w:val="0"/>
          <w:sz w:val="28"/>
          <w:szCs w:val="28"/>
        </w:rPr>
        <w:t>》中所列建设项目的性质、规模、工艺、地点和环境保护对策措施进行建设。</w:t>
      </w:r>
    </w:p>
    <w:p>
      <w:pPr>
        <w:keepNext w:val="0"/>
        <w:keepLines w:val="0"/>
        <w:pageBreakBefore w:val="0"/>
        <w:widowControl w:val="0"/>
        <w:tabs>
          <w:tab w:val="left" w:pos="0"/>
        </w:tabs>
        <w:kinsoku/>
        <w:wordWrap/>
        <w:overflowPunct/>
        <w:topLinePunct w:val="0"/>
        <w:autoSpaceDE/>
        <w:autoSpaceDN/>
        <w:bidi w:val="0"/>
        <w:adjustRightInd/>
        <w:snapToGrid/>
        <w:spacing w:line="400" w:lineRule="exact"/>
        <w:ind w:left="0" w:leftChars="0" w:right="199" w:rightChars="95"/>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shd w:val="clear" w:color="auto" w:fill="FFFFFF"/>
        </w:rPr>
        <w:t xml:space="preserve">    </w:t>
      </w:r>
      <w:r>
        <w:rPr>
          <w:rFonts w:hint="eastAsia" w:ascii="仿宋" w:hAnsi="仿宋" w:eastAsia="仿宋" w:cs="仿宋"/>
          <w:sz w:val="28"/>
          <w:szCs w:val="28"/>
        </w:rPr>
        <w:t>三、</w:t>
      </w:r>
      <w:r>
        <w:rPr>
          <w:rFonts w:hint="eastAsia" w:ascii="仿宋" w:hAnsi="仿宋" w:eastAsia="仿宋" w:cs="仿宋"/>
          <w:color w:val="000000"/>
          <w:sz w:val="28"/>
          <w:szCs w:val="28"/>
          <w:shd w:val="clear" w:color="auto" w:fill="FFFFFF"/>
        </w:rPr>
        <w:t>项目在建设及运营中应全面落实《报告表》提出的各项环境保护措施，并重点做好以下工作：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280" w:firstLineChars="100"/>
        <w:rPr>
          <w:rFonts w:hint="eastAsia" w:ascii="仿宋" w:hAnsi="仿宋" w:eastAsia="仿宋" w:cs="仿宋"/>
          <w:i w:val="0"/>
          <w:caps w:val="0"/>
          <w:color w:val="262626"/>
          <w:spacing w:val="0"/>
          <w:sz w:val="28"/>
          <w:szCs w:val="28"/>
        </w:rPr>
      </w:pPr>
      <w:r>
        <w:rPr>
          <w:rFonts w:hint="eastAsia" w:ascii="仿宋" w:hAnsi="仿宋" w:eastAsia="仿宋" w:cs="仿宋"/>
          <w:i w:val="0"/>
          <w:caps w:val="0"/>
          <w:color w:val="262626"/>
          <w:spacing w:val="0"/>
          <w:sz w:val="28"/>
          <w:szCs w:val="28"/>
        </w:rPr>
        <w:t> </w:t>
      </w:r>
      <w:r>
        <w:rPr>
          <w:rFonts w:hint="eastAsia" w:ascii="仿宋" w:hAnsi="仿宋" w:eastAsia="仿宋" w:cs="仿宋"/>
          <w:i w:val="0"/>
          <w:caps w:val="0"/>
          <w:color w:val="262626"/>
          <w:spacing w:val="0"/>
          <w:sz w:val="28"/>
          <w:szCs w:val="28"/>
          <w:lang w:eastAsia="zh-CN"/>
        </w:rPr>
        <w:t>一、大气污染防治措施：</w:t>
      </w:r>
      <w:r>
        <w:rPr>
          <w:rFonts w:hint="eastAsia" w:ascii="仿宋" w:hAnsi="仿宋" w:eastAsia="仿宋" w:cs="仿宋"/>
          <w:i w:val="0"/>
          <w:caps w:val="0"/>
          <w:color w:val="262626"/>
          <w:spacing w:val="0"/>
          <w:sz w:val="28"/>
          <w:szCs w:val="28"/>
        </w:rPr>
        <w:t> </w:t>
      </w:r>
    </w:p>
    <w:p>
      <w:pPr>
        <w:keepNext w:val="0"/>
        <w:keepLines w:val="0"/>
        <w:pageBreakBefore w:val="0"/>
        <w:kinsoku/>
        <w:wordWrap/>
        <w:overflowPunct/>
        <w:topLinePunct w:val="0"/>
        <w:autoSpaceDE/>
        <w:autoSpaceDN/>
        <w:bidi w:val="0"/>
        <w:adjustRightInd w:val="0"/>
        <w:snapToGrid/>
        <w:spacing w:line="400" w:lineRule="exact"/>
        <w:ind w:firstLine="560" w:firstLineChars="200"/>
        <w:rPr>
          <w:rFonts w:hint="eastAsia" w:ascii="仿宋" w:hAnsi="仿宋" w:eastAsia="仿宋" w:cs="仿宋"/>
          <w:b w:val="0"/>
          <w:bCs w:val="0"/>
          <w:sz w:val="28"/>
          <w:szCs w:val="28"/>
          <w:u w:val="none"/>
          <w:lang w:eastAsia="zh-CN"/>
        </w:rPr>
      </w:pPr>
      <w:r>
        <w:rPr>
          <w:rFonts w:hint="eastAsia" w:ascii="仿宋" w:hAnsi="仿宋" w:eastAsia="仿宋" w:cs="仿宋"/>
          <w:i w:val="0"/>
          <w:caps w:val="0"/>
          <w:color w:val="262626"/>
          <w:spacing w:val="0"/>
          <w:sz w:val="28"/>
          <w:szCs w:val="28"/>
        </w:rPr>
        <w:t>（一）</w:t>
      </w:r>
      <w:r>
        <w:rPr>
          <w:rFonts w:hint="eastAsia" w:ascii="仿宋" w:hAnsi="仿宋" w:eastAsia="仿宋" w:cs="仿宋"/>
          <w:bCs/>
          <w:snapToGrid w:val="0"/>
          <w:kern w:val="0"/>
          <w:sz w:val="28"/>
          <w:szCs w:val="28"/>
        </w:rPr>
        <w:t>施工过程中必须做到“六个百分之百”；施工现场配备一辆洒水车，对道路场区进行洒水降尘；对其裸露土地进行临时绿化或者铺装，采取围挡降尘措施。</w:t>
      </w:r>
      <w:r>
        <w:rPr>
          <w:rFonts w:hint="eastAsia" w:ascii="仿宋" w:hAnsi="仿宋" w:eastAsia="仿宋" w:cs="仿宋"/>
          <w:bCs/>
          <w:sz w:val="28"/>
          <w:szCs w:val="28"/>
        </w:rPr>
        <w:t xml:space="preserve"> </w:t>
      </w:r>
      <w:r>
        <w:rPr>
          <w:rFonts w:hint="eastAsia" w:ascii="仿宋" w:hAnsi="仿宋" w:eastAsia="仿宋" w:cs="仿宋"/>
          <w:bCs/>
          <w:sz w:val="28"/>
          <w:szCs w:val="28"/>
          <w:lang w:eastAsia="zh-CN"/>
        </w:rPr>
        <w:t>满足</w:t>
      </w:r>
      <w:r>
        <w:rPr>
          <w:rFonts w:hint="eastAsia" w:ascii="仿宋" w:hAnsi="仿宋" w:eastAsia="仿宋" w:cs="仿宋"/>
          <w:bCs/>
          <w:kern w:val="0"/>
          <w:sz w:val="28"/>
          <w:szCs w:val="28"/>
        </w:rPr>
        <w:t>《大气污染物综合排放标准》无组织排放要求</w:t>
      </w:r>
      <w:r>
        <w:rPr>
          <w:rFonts w:hint="eastAsia" w:ascii="仿宋" w:hAnsi="仿宋" w:eastAsia="仿宋" w:cs="仿宋"/>
          <w:bCs/>
          <w:kern w:val="0"/>
          <w:sz w:val="28"/>
          <w:szCs w:val="28"/>
          <w:lang w:eastAsia="zh-CN"/>
        </w:rPr>
        <w:t>。</w:t>
      </w:r>
      <w:r>
        <w:rPr>
          <w:rFonts w:hint="eastAsia" w:ascii="仿宋" w:hAnsi="仿宋" w:eastAsia="仿宋" w:cs="仿宋"/>
          <w:kern w:val="0"/>
          <w:sz w:val="28"/>
          <w:szCs w:val="28"/>
          <w:lang w:val="en-US" w:eastAsia="zh-CN"/>
        </w:rPr>
        <w:t>本项目</w:t>
      </w:r>
      <w:r>
        <w:rPr>
          <w:rFonts w:hint="eastAsia" w:ascii="仿宋" w:hAnsi="仿宋" w:eastAsia="仿宋" w:cs="仿宋"/>
          <w:kern w:val="0"/>
          <w:sz w:val="28"/>
          <w:szCs w:val="28"/>
          <w:lang w:eastAsia="zh-CN"/>
        </w:rPr>
        <w:t>鄂式破碎机、圆锥式破碎机、</w:t>
      </w:r>
      <w:r>
        <w:rPr>
          <w:rFonts w:hint="eastAsia" w:ascii="仿宋" w:hAnsi="仿宋" w:eastAsia="仿宋" w:cs="仿宋"/>
          <w:kern w:val="0"/>
          <w:sz w:val="28"/>
          <w:szCs w:val="28"/>
          <w:lang w:val="en-US" w:eastAsia="zh-CN"/>
        </w:rPr>
        <w:t>3#振动筛</w:t>
      </w:r>
      <w:r>
        <w:rPr>
          <w:rFonts w:hint="eastAsia" w:ascii="仿宋" w:hAnsi="仿宋" w:eastAsia="仿宋" w:cs="仿宋"/>
          <w:kern w:val="0"/>
          <w:sz w:val="28"/>
          <w:szCs w:val="28"/>
        </w:rPr>
        <w:t>进料口、出料口分别设置集气罩进行收尘，收集后废气通过一座布袋除尘器（1#）处理后由一座15m高排气筒（P1）排放</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1#、2#</w:t>
      </w:r>
      <w:r>
        <w:rPr>
          <w:rFonts w:hint="eastAsia" w:ascii="仿宋" w:hAnsi="仿宋" w:eastAsia="仿宋" w:cs="仿宋"/>
          <w:kern w:val="0"/>
          <w:sz w:val="28"/>
          <w:szCs w:val="28"/>
        </w:rPr>
        <w:t>振动筛进料口、出料口分别设置集气罩进行收尘，收集后废气通过一座布袋除尘器（2#）处理后由一座15m高排气筒（P2）排放</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经预测，废气有组织排放均</w:t>
      </w:r>
      <w:r>
        <w:rPr>
          <w:rFonts w:hint="eastAsia" w:ascii="仿宋" w:hAnsi="仿宋" w:eastAsia="仿宋" w:cs="仿宋"/>
          <w:color w:val="000000"/>
          <w:sz w:val="28"/>
          <w:szCs w:val="28"/>
        </w:rPr>
        <w:t>满足《大气污染物综合排放标准》（GB16279-1996）表2中二级排放标准。</w:t>
      </w:r>
    </w:p>
    <w:p>
      <w:pPr>
        <w:keepNext w:val="0"/>
        <w:keepLines w:val="0"/>
        <w:pageBreakBefore w:val="0"/>
        <w:kinsoku/>
        <w:wordWrap/>
        <w:overflowPunct/>
        <w:topLinePunct w:val="0"/>
        <w:autoSpaceDE/>
        <w:autoSpaceDN/>
        <w:bidi w:val="0"/>
        <w:adjustRightInd/>
        <w:snapToGrid/>
        <w:spacing w:line="400" w:lineRule="exact"/>
        <w:ind w:firstLine="48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）水污染防治措施</w:t>
      </w:r>
    </w:p>
    <w:p>
      <w:pPr>
        <w:keepNext w:val="0"/>
        <w:keepLines w:val="0"/>
        <w:pageBreakBefore w:val="0"/>
        <w:kinsoku/>
        <w:wordWrap/>
        <w:overflowPunct/>
        <w:topLinePunct w:val="0"/>
        <w:autoSpaceDE/>
        <w:autoSpaceDN/>
        <w:bidi w:val="0"/>
        <w:snapToGrid/>
        <w:spacing w:line="400" w:lineRule="exact"/>
        <w:ind w:firstLine="560" w:firstLineChars="200"/>
        <w:rPr>
          <w:rFonts w:hint="eastAsia" w:ascii="仿宋" w:hAnsi="仿宋" w:eastAsia="仿宋" w:cs="仿宋"/>
          <w:spacing w:val="6"/>
          <w:sz w:val="28"/>
          <w:szCs w:val="28"/>
        </w:rPr>
      </w:pPr>
      <w:r>
        <w:rPr>
          <w:rFonts w:hint="eastAsia" w:ascii="仿宋" w:hAnsi="仿宋" w:eastAsia="仿宋" w:cs="仿宋"/>
          <w:bCs/>
          <w:sz w:val="28"/>
          <w:szCs w:val="28"/>
          <w:lang w:eastAsia="zh-CN"/>
        </w:rPr>
        <w:t>生产过程中</w:t>
      </w:r>
      <w:r>
        <w:rPr>
          <w:rFonts w:hint="eastAsia" w:ascii="仿宋" w:hAnsi="仿宋" w:eastAsia="仿宋" w:cs="仿宋"/>
          <w:bCs/>
          <w:sz w:val="28"/>
          <w:szCs w:val="28"/>
        </w:rPr>
        <w:t>车辆冲洗废水经沉淀池沉淀后循环使用不外排；生活污水排入化粪池</w:t>
      </w:r>
      <w:r>
        <w:rPr>
          <w:rFonts w:hint="eastAsia" w:ascii="仿宋" w:hAnsi="仿宋" w:eastAsia="仿宋" w:cs="仿宋"/>
          <w:bCs/>
          <w:sz w:val="28"/>
          <w:szCs w:val="28"/>
          <w:lang w:val="en-US" w:eastAsia="zh-CN"/>
        </w:rPr>
        <w:t>处理后</w:t>
      </w:r>
      <w:r>
        <w:rPr>
          <w:rFonts w:hint="eastAsia" w:ascii="仿宋" w:hAnsi="仿宋" w:eastAsia="仿宋" w:cs="仿宋"/>
          <w:bCs/>
          <w:sz w:val="28"/>
          <w:szCs w:val="28"/>
        </w:rPr>
        <w:t>，定期清运肥田，不外排。</w:t>
      </w:r>
    </w:p>
    <w:p>
      <w:pPr>
        <w:keepNext w:val="0"/>
        <w:keepLines w:val="0"/>
        <w:pageBreakBefore w:val="0"/>
        <w:kinsoku/>
        <w:wordWrap/>
        <w:overflowPunct/>
        <w:topLinePunct w:val="0"/>
        <w:autoSpaceDE/>
        <w:autoSpaceDN/>
        <w:bidi w:val="0"/>
        <w:adjustRightInd/>
        <w:snapToGrid/>
        <w:spacing w:line="400" w:lineRule="exact"/>
        <w:ind w:firstLine="482"/>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三</w:t>
      </w:r>
      <w:r>
        <w:rPr>
          <w:rFonts w:hint="eastAsia" w:ascii="仿宋" w:hAnsi="仿宋" w:eastAsia="仿宋" w:cs="仿宋"/>
          <w:sz w:val="28"/>
          <w:szCs w:val="28"/>
        </w:rPr>
        <w:t>）噪声污染防治措施</w:t>
      </w:r>
    </w:p>
    <w:p>
      <w:pPr>
        <w:pStyle w:val="26"/>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rPr>
      </w:pPr>
      <w:r>
        <w:rPr>
          <w:rFonts w:hint="eastAsia" w:ascii="仿宋" w:hAnsi="仿宋" w:eastAsia="仿宋" w:cs="仿宋"/>
          <w:snapToGrid w:val="0"/>
          <w:kern w:val="0"/>
          <w:sz w:val="28"/>
          <w:szCs w:val="28"/>
        </w:rPr>
        <w:t>通过基础减振、厂房隔声和距离衰减后，</w:t>
      </w:r>
      <w:r>
        <w:rPr>
          <w:rFonts w:hint="eastAsia" w:ascii="仿宋" w:hAnsi="仿宋" w:eastAsia="仿宋" w:cs="仿宋"/>
          <w:sz w:val="28"/>
          <w:szCs w:val="28"/>
        </w:rPr>
        <w:t>各厂界运行期噪声均满足《工业企业厂界环境噪声排放标准》（GB12348-2008）2类标准要求。</w:t>
      </w:r>
      <w:r>
        <w:rPr>
          <w:rFonts w:hint="eastAsia" w:ascii="仿宋" w:hAnsi="仿宋" w:eastAsia="仿宋" w:cs="仿宋"/>
          <w:sz w:val="28"/>
          <w:szCs w:val="28"/>
        </w:rPr>
        <w:t>最大程度地减少施工机械对周围居民的影响。</w:t>
      </w:r>
    </w:p>
    <w:p>
      <w:pPr>
        <w:keepNext w:val="0"/>
        <w:keepLines w:val="0"/>
        <w:pageBreakBefore w:val="0"/>
        <w:kinsoku/>
        <w:wordWrap/>
        <w:overflowPunct/>
        <w:topLinePunct w:val="0"/>
        <w:autoSpaceDE/>
        <w:autoSpaceDN/>
        <w:bidi w:val="0"/>
        <w:adjustRightInd/>
        <w:snapToGrid/>
        <w:spacing w:line="400" w:lineRule="exact"/>
        <w:ind w:firstLine="482"/>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四</w:t>
      </w:r>
      <w:r>
        <w:rPr>
          <w:rFonts w:hint="eastAsia" w:ascii="仿宋" w:hAnsi="仿宋" w:eastAsia="仿宋" w:cs="仿宋"/>
          <w:sz w:val="28"/>
          <w:szCs w:val="28"/>
        </w:rPr>
        <w:t>）固体废弃物污染防治措施</w:t>
      </w:r>
    </w:p>
    <w:p>
      <w:pPr>
        <w:keepNext w:val="0"/>
        <w:keepLines w:val="0"/>
        <w:pageBreakBefore w:val="0"/>
        <w:kinsoku/>
        <w:wordWrap/>
        <w:overflowPunct/>
        <w:topLinePunct w:val="0"/>
        <w:autoSpaceDE/>
        <w:autoSpaceDN/>
        <w:bidi w:val="0"/>
        <w:snapToGrid/>
        <w:spacing w:line="400" w:lineRule="exact"/>
        <w:ind w:firstLine="560" w:firstLineChars="200"/>
        <w:rPr>
          <w:rFonts w:hint="eastAsia" w:ascii="仿宋" w:hAnsi="仿宋" w:eastAsia="仿宋" w:cs="仿宋"/>
          <w:snapToGrid w:val="0"/>
          <w:kern w:val="0"/>
          <w:sz w:val="28"/>
          <w:szCs w:val="28"/>
        </w:rPr>
      </w:pPr>
      <w:r>
        <w:rPr>
          <w:rFonts w:hint="eastAsia" w:ascii="仿宋" w:hAnsi="仿宋" w:eastAsia="仿宋" w:cs="仿宋"/>
          <w:sz w:val="28"/>
          <w:szCs w:val="28"/>
        </w:rPr>
        <w:t>除尘器收集粉尘作为产品外售；项目生活垃圾集中收集后</w:t>
      </w:r>
      <w:r>
        <w:rPr>
          <w:rFonts w:hint="eastAsia" w:ascii="仿宋" w:hAnsi="仿宋" w:eastAsia="仿宋" w:cs="仿宋"/>
          <w:sz w:val="28"/>
          <w:szCs w:val="28"/>
          <w:lang w:val="en-US" w:eastAsia="zh-CN"/>
        </w:rPr>
        <w:t>由当地环卫部分统一清运</w:t>
      </w:r>
      <w:r>
        <w:rPr>
          <w:rFonts w:hint="eastAsia" w:ascii="仿宋" w:hAnsi="仿宋" w:eastAsia="仿宋" w:cs="仿宋"/>
          <w:bCs/>
          <w:sz w:val="28"/>
          <w:szCs w:val="28"/>
        </w:rPr>
        <w:t>，集中处置。</w:t>
      </w:r>
    </w:p>
    <w:p>
      <w:pPr>
        <w:keepNext w:val="0"/>
        <w:keepLines w:val="0"/>
        <w:pageBreakBefore w:val="0"/>
        <w:kinsoku/>
        <w:wordWrap/>
        <w:overflowPunct/>
        <w:topLinePunct w:val="0"/>
        <w:autoSpaceDE/>
        <w:autoSpaceDN/>
        <w:bidi w:val="0"/>
        <w:adjustRightInd/>
        <w:snapToGrid/>
        <w:spacing w:line="400" w:lineRule="exact"/>
        <w:ind w:firstLine="480"/>
        <w:rPr>
          <w:rFonts w:hint="eastAsia" w:ascii="仿宋" w:hAnsi="仿宋" w:eastAsia="仿宋" w:cs="仿宋"/>
          <w:sz w:val="28"/>
          <w:szCs w:val="28"/>
          <w:lang w:eastAsia="zh-CN"/>
        </w:rPr>
      </w:pPr>
      <w:r>
        <w:rPr>
          <w:rFonts w:hint="eastAsia" w:ascii="仿宋" w:hAnsi="仿宋" w:eastAsia="仿宋" w:cs="仿宋"/>
          <w:sz w:val="28"/>
          <w:szCs w:val="28"/>
        </w:rPr>
        <w:t>（</w:t>
      </w:r>
      <w:r>
        <w:rPr>
          <w:rFonts w:hint="eastAsia" w:ascii="仿宋" w:hAnsi="仿宋" w:eastAsia="仿宋" w:cs="仿宋"/>
          <w:sz w:val="28"/>
          <w:szCs w:val="28"/>
          <w:lang w:eastAsia="zh-CN"/>
        </w:rPr>
        <w:t>五</w:t>
      </w:r>
      <w:r>
        <w:rPr>
          <w:rFonts w:hint="eastAsia" w:ascii="仿宋" w:hAnsi="仿宋" w:eastAsia="仿宋" w:cs="仿宋"/>
          <w:sz w:val="28"/>
          <w:szCs w:val="28"/>
        </w:rPr>
        <w:t>）生态</w:t>
      </w:r>
      <w:r>
        <w:rPr>
          <w:rFonts w:hint="eastAsia" w:ascii="仿宋" w:hAnsi="仿宋" w:eastAsia="仿宋" w:cs="仿宋"/>
          <w:sz w:val="28"/>
          <w:szCs w:val="28"/>
          <w:lang w:eastAsia="zh-CN"/>
        </w:rPr>
        <w:t>恢复</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b w:val="0"/>
          <w:bCs w:val="0"/>
          <w:sz w:val="28"/>
          <w:szCs w:val="28"/>
          <w:u w:val="none"/>
          <w:lang w:eastAsia="zh-CN"/>
        </w:rPr>
      </w:pPr>
      <w:r>
        <w:rPr>
          <w:rFonts w:hint="eastAsia" w:ascii="仿宋" w:hAnsi="仿宋" w:eastAsia="仿宋" w:cs="仿宋"/>
          <w:b w:val="0"/>
          <w:bCs w:val="0"/>
          <w:i w:val="0"/>
          <w:caps w:val="0"/>
          <w:color w:val="262626"/>
          <w:spacing w:val="0"/>
          <w:sz w:val="28"/>
          <w:szCs w:val="28"/>
          <w:u w:val="none"/>
        </w:rPr>
        <w:t>加强生态保护，落实各项生态恢复措施。</w:t>
      </w:r>
      <w:r>
        <w:rPr>
          <w:rFonts w:hint="eastAsia" w:ascii="仿宋" w:hAnsi="仿宋" w:eastAsia="仿宋" w:cs="仿宋"/>
          <w:b w:val="0"/>
          <w:bCs w:val="0"/>
          <w:i w:val="0"/>
          <w:caps w:val="0"/>
          <w:color w:val="262626"/>
          <w:spacing w:val="0"/>
          <w:sz w:val="28"/>
          <w:szCs w:val="28"/>
          <w:u w:val="none"/>
          <w:lang w:eastAsia="zh-CN"/>
        </w:rPr>
        <w:t>废石堆场采用</w:t>
      </w:r>
      <w:r>
        <w:rPr>
          <w:rFonts w:hint="eastAsia" w:ascii="仿宋" w:hAnsi="仿宋" w:eastAsia="仿宋" w:cs="仿宋"/>
          <w:b w:val="0"/>
          <w:bCs w:val="0"/>
          <w:color w:val="auto"/>
          <w:sz w:val="28"/>
          <w:szCs w:val="28"/>
          <w:u w:val="none"/>
          <w:lang w:eastAsia="zh-CN"/>
        </w:rPr>
        <w:t>台阶开采、开采后采坑底部，表层覆土</w:t>
      </w:r>
      <w:r>
        <w:rPr>
          <w:rFonts w:hint="eastAsia" w:ascii="仿宋" w:hAnsi="仿宋" w:eastAsia="仿宋" w:cs="仿宋"/>
          <w:b w:val="0"/>
          <w:bCs w:val="0"/>
          <w:color w:val="auto"/>
          <w:sz w:val="28"/>
          <w:szCs w:val="28"/>
          <w:u w:val="none"/>
          <w:lang w:val="en-US" w:eastAsia="zh-CN"/>
        </w:rPr>
        <w:t>30cm，种植绿草树木。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560" w:firstLineChars="200"/>
        <w:textAlignment w:val="auto"/>
        <w:rPr>
          <w:rFonts w:hint="eastAsia" w:ascii="仿宋" w:hAnsi="仿宋" w:eastAsia="仿宋" w:cs="仿宋"/>
          <w:color w:val="262626"/>
          <w:sz w:val="28"/>
          <w:szCs w:val="28"/>
          <w:lang w:eastAsia="zh-CN"/>
        </w:rPr>
      </w:pPr>
      <w:r>
        <w:rPr>
          <w:rFonts w:hint="eastAsia" w:ascii="仿宋" w:hAnsi="仿宋" w:eastAsia="仿宋" w:cs="仿宋"/>
          <w:color w:val="262626"/>
          <w:sz w:val="28"/>
          <w:szCs w:val="28"/>
          <w:lang w:eastAsia="zh-CN"/>
        </w:rPr>
        <w:t>四、项目建成及时组织竣工环境保护验收，未经验收或验收不合格，不得正式投入运营。如需对本项目环评批复的有关内容进行调整，必须以书面形式向我局报告，并按规定办理相关手续。该项目由鲁山县环境监察大队负责日常环境管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p>
    <w:p>
      <w:pPr>
        <w:pStyle w:val="4"/>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8"/>
          <w:szCs w:val="28"/>
          <w:lang w:val="en-US" w:eastAsia="zh-CN"/>
        </w:rPr>
      </w:pPr>
    </w:p>
    <w:p>
      <w:pPr>
        <w:pStyle w:val="4"/>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sz w:val="28"/>
          <w:szCs w:val="28"/>
          <w:lang w:val="en-US" w:eastAsia="zh-CN"/>
        </w:rPr>
      </w:pPr>
    </w:p>
    <w:p>
      <w:pPr>
        <w:pStyle w:val="4"/>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经办人：刘国杰</w:t>
      </w:r>
      <w:bookmarkStart w:id="0" w:name="_GoBack"/>
      <w:bookmarkEnd w:id="0"/>
    </w:p>
    <w:p>
      <w:pPr>
        <w:pStyle w:val="4"/>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lang w:val="en-US" w:eastAsia="zh-CN"/>
        </w:rPr>
      </w:pPr>
    </w:p>
    <w:p>
      <w:pPr>
        <w:pStyle w:val="4"/>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2020年9月18日</w:t>
      </w:r>
    </w:p>
    <w:p>
      <w:pPr>
        <w:pStyle w:val="4"/>
        <w:rPr>
          <w:rFonts w:hint="eastAsia" w:ascii="仿宋" w:hAnsi="仿宋" w:eastAsia="仿宋" w:cs="仿宋"/>
          <w:sz w:val="28"/>
          <w:szCs w:val="28"/>
          <w:lang w:val="en-US" w:eastAsia="zh-CN"/>
        </w:rPr>
      </w:pPr>
    </w:p>
    <w:p>
      <w:pPr>
        <w:pStyle w:val="4"/>
        <w:keepNext w:val="0"/>
        <w:keepLines w:val="0"/>
        <w:pageBreakBefore w:val="0"/>
        <w:kinsoku/>
        <w:wordWrap/>
        <w:overflowPunct/>
        <w:topLinePunct w:val="0"/>
        <w:autoSpaceDE/>
        <w:autoSpaceDN/>
        <w:bidi w:val="0"/>
        <w:spacing w:line="400" w:lineRule="exact"/>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222C7"/>
    <w:rsid w:val="00432BB8"/>
    <w:rsid w:val="08631AA8"/>
    <w:rsid w:val="120D4FC1"/>
    <w:rsid w:val="162A01B2"/>
    <w:rsid w:val="167F79AC"/>
    <w:rsid w:val="2E5F5FD2"/>
    <w:rsid w:val="36862BBF"/>
    <w:rsid w:val="39D72FF5"/>
    <w:rsid w:val="3DA43D88"/>
    <w:rsid w:val="43955271"/>
    <w:rsid w:val="4FB93D47"/>
    <w:rsid w:val="505133C3"/>
    <w:rsid w:val="522D29E5"/>
    <w:rsid w:val="55890C11"/>
    <w:rsid w:val="5A6222C7"/>
    <w:rsid w:val="671B6183"/>
    <w:rsid w:val="6D535020"/>
    <w:rsid w:val="74A54984"/>
    <w:rsid w:val="76577D24"/>
    <w:rsid w:val="7AF76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20" w:after="20"/>
      <w:jc w:val="center"/>
    </w:pPr>
    <w:rPr>
      <w:sz w:val="24"/>
      <w:szCs w:val="20"/>
    </w:rPr>
  </w:style>
  <w:style w:type="paragraph" w:styleId="4">
    <w:name w:val="Normal Indent"/>
    <w:basedOn w:val="1"/>
    <w:qFormat/>
    <w:uiPriority w:val="0"/>
    <w:rPr>
      <w:kern w:val="0"/>
      <w:sz w:val="28"/>
      <w:szCs w:val="20"/>
    </w:rPr>
  </w:style>
  <w:style w:type="paragraph" w:styleId="5">
    <w:name w:val="Body Text Indent"/>
    <w:basedOn w:val="1"/>
    <w:qFormat/>
    <w:uiPriority w:val="0"/>
    <w:pPr>
      <w:spacing w:after="120"/>
      <w:ind w:left="420" w:leftChars="200"/>
    </w:pPr>
  </w:style>
  <w:style w:type="paragraph" w:styleId="6">
    <w:name w:val="Block Text"/>
    <w:basedOn w:val="1"/>
    <w:qFormat/>
    <w:uiPriority w:val="0"/>
    <w:pPr>
      <w:spacing w:line="480" w:lineRule="exact"/>
      <w:ind w:left="57" w:right="57" w:firstLine="573"/>
      <w:jc w:val="left"/>
    </w:pPr>
    <w:rPr>
      <w:rFonts w:ascii="宋体"/>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1"/>
    <w:next w:val="1"/>
    <w:qFormat/>
    <w:uiPriority w:val="0"/>
    <w:pPr>
      <w:spacing w:after="120" w:line="240" w:lineRule="auto"/>
      <w:ind w:left="420" w:leftChars="200" w:firstLine="420"/>
    </w:pPr>
    <w:rPr>
      <w:rFonts w:hint="default" w:ascii="Times New Roman" w:hAnsi="Times New Roman" w:eastAsia="宋体"/>
      <w:sz w:val="21"/>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u w:val="none"/>
    </w:rPr>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Variable"/>
    <w:basedOn w:val="11"/>
    <w:qFormat/>
    <w:uiPriority w:val="0"/>
  </w:style>
  <w:style w:type="character" w:styleId="17">
    <w:name w:val="Hyperlink"/>
    <w:basedOn w:val="11"/>
    <w:qFormat/>
    <w:uiPriority w:val="0"/>
    <w:rPr>
      <w:color w:val="333333"/>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bsharetext"/>
    <w:basedOn w:val="11"/>
    <w:qFormat/>
    <w:uiPriority w:val="0"/>
  </w:style>
  <w:style w:type="character" w:customStyle="1" w:styleId="21">
    <w:name w:val="first-child"/>
    <w:basedOn w:val="11"/>
    <w:qFormat/>
    <w:uiPriority w:val="0"/>
    <w:rPr>
      <w:shd w:val="clear" w:fill="E0F0FF"/>
    </w:rPr>
  </w:style>
  <w:style w:type="character" w:customStyle="1" w:styleId="22">
    <w:name w:val="nth-child(2)"/>
    <w:basedOn w:val="11"/>
    <w:qFormat/>
    <w:uiPriority w:val="0"/>
  </w:style>
  <w:style w:type="character" w:customStyle="1" w:styleId="23">
    <w:name w:val="nth-child(3)"/>
    <w:basedOn w:val="11"/>
    <w:qFormat/>
    <w:uiPriority w:val="0"/>
  </w:style>
  <w:style w:type="character" w:customStyle="1" w:styleId="24">
    <w:name w:val="hover29"/>
    <w:basedOn w:val="11"/>
    <w:qFormat/>
    <w:uiPriority w:val="0"/>
    <w:rPr>
      <w:u w:val="single"/>
    </w:rPr>
  </w:style>
  <w:style w:type="paragraph" w:customStyle="1" w:styleId="25">
    <w:name w:val="样式 规划正文 + 仿宋_GB2312 三号 首行缩进:  2 字符 行距: 单倍行距"/>
    <w:basedOn w:val="1"/>
    <w:qFormat/>
    <w:uiPriority w:val="0"/>
    <w:pPr>
      <w:ind w:firstLine="560" w:firstLineChars="200"/>
    </w:pPr>
    <w:rPr>
      <w:rFonts w:ascii="仿宋_GB2312" w:eastAsia="仿宋_GB2312"/>
      <w:sz w:val="28"/>
      <w:szCs w:val="28"/>
    </w:rPr>
  </w:style>
  <w:style w:type="paragraph" w:customStyle="1" w:styleId="26">
    <w:name w:val="00"/>
    <w:basedOn w:val="1"/>
    <w:qFormat/>
    <w:uiPriority w:val="0"/>
    <w:pPr>
      <w:spacing w:beforeLines="0" w:afterLines="0" w:line="520" w:lineRule="exac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2018-10-18T02:13:00Z</dcterms:created>
  <dc:creator>Administrator</dc:creator>
  <cp:lastModifiedBy>Administrator</cp:lastModifiedBy>
  <cp:lastPrinted>2020-04-13T07:01:00Z</cp:lastPrinted>
  <dcterms:modified xsi:type="dcterms:W3CDTF">2020-09-18T00:53:36Z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