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2570" w:firstLineChars="800"/>
        <w:jc w:val="both"/>
        <w:rPr>
          <w:rFonts w:hint="eastAsia" w:asciiTheme="majorEastAsia" w:hAnsiTheme="majorEastAsia" w:eastAsiaTheme="majorEastAsia" w:cstheme="majorEastAsia"/>
          <w:b/>
          <w:bCs/>
          <w:color w:val="26262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  <w:t>[2020] 07号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平顶山市汇邦矿业有限公司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鲁山县梁洼镇半坡羊村废弃矿坑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环境综合治理项目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color w:val="26262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的批复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平顶山市汇邦矿业有限公司：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你公司（统一社会信用代码：91410423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val="en-US" w:eastAsia="zh-CN"/>
        </w:rPr>
        <w:t>MA47Y0DT6Y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）上报的由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南金环环境影响评价有限公司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8"/>
          <w:szCs w:val="28"/>
          <w:lang w:eastAsia="zh-CN"/>
        </w:rPr>
        <w:t>鲁山县梁洼镇半坡羊村废弃矿坑环境综合治理项目建设项目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该项目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治理区位于平顶山市鲁山县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梁洼镇半坡羊村，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治理区总面积约7.81hm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，工程建设内容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为：分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台阶削方放坡工程、坑塘水面工程、覆土工程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防护工程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、挡土保水岸墙工程、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绿化工程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管护工程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等八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部分。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投资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1100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二、项目符合当前国家产业政策和相关规划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该《报告表》格式规范，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提出的各项生态保护及污染防治措施后，环境不利影响能够得到缓解和控制。我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原则同意你公司按照《报告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》中所列建设项目的性质、规模、工艺、地点和环境保护对策措施进行建设。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199" w:rightChars="95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项目在建设及运营中应全面落实《报告表》提出的各项环境保护措施，并重点做好以下工作：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0" w:firstLineChars="1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bdr w:val="none" w:color="auto" w:sz="0" w:space="0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bdr w:val="none" w:color="auto" w:sz="0" w:space="0"/>
          <w:lang w:eastAsia="zh-CN"/>
        </w:rPr>
        <w:t>一、施工期大气污染防治措施：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bdr w:val="none" w:color="auto" w:sz="0" w:space="0"/>
        </w:rPr>
        <w:t>（一）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bdr w:val="none" w:color="auto" w:sz="0" w:space="0"/>
          <w:lang w:eastAsia="zh-CN"/>
        </w:rPr>
        <w:t>施工工地开工前必须做到“六个到位”；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施工现场必须做到 “ 八个百分百 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设置洒水车对运输道路进行定期洒水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出入口设置洗车平台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对进出车辆进行清洗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同时要求文明装卸物料，运输物料的车辆应限速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不得超载，并采取遮盖、密闭措施，减少沿途抛洒。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目周围及运输沿线环境敏感点应满足《环境空气质量标准》（GB 3095-2012）二级标准要求。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）水污染防治措施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设置旱厕，生活污水经隔油、沉淀处理后用于场地和道路降尘，不外排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治理区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设置简易沉淀池，施工废水经沉淀池处理后回用于施工现场，综合利用，不外排；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完善施工场地内临时排水系统，并在施工场地四周设截水沟防止雨水直接进入周边水体；合理安排施工进度，尽可能减少裸土面积，减少含砂雨水径流的产生量。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）噪声污染防治措施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单位必须严格执行《建筑施工场界环境噪声排放标准》（GB12523-2011），采用低噪音设备，采取各种机械消声减振、设立隔声屏障。同时在白天施工时应避开居民的午休时间，并要求夜间不允许高噪声设备工作，最大程度地减少施工机械对周围居民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）固体废弃物污染防治措施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生活垃圾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施工人员生活垃圾收集后及时送当地垃圾中转站，最终进入鲁山县生活垃圾填埋场进行卫生填埋。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边坡修整及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坑塘水面修整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产生的土石方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理区内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产生的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石由政府主管部门按照政府主管部门相关政策妥善处置。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）生态环境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加强生态保护，落实各项生态恢复措施。建设期严格控制施工占地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范围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，施工结束后及时对施工扰动区域进行植被恢复；表土临时堆场底部采用装土编织袋挡护，四周开挖排水沟，顶部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加盖苫布，减少大风造成的施工扬尘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62626"/>
          <w:spacing w:val="0"/>
          <w:sz w:val="28"/>
          <w:szCs w:val="28"/>
          <w:u w:val="none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防止水土流失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26262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62626"/>
          <w:sz w:val="28"/>
          <w:szCs w:val="28"/>
          <w:lang w:eastAsia="zh-CN"/>
        </w:rPr>
        <w:t>四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经办人：刘国杰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2020年9月18日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631AA8"/>
    <w:rsid w:val="120D4FC1"/>
    <w:rsid w:val="167F79AC"/>
    <w:rsid w:val="2E5F5FD2"/>
    <w:rsid w:val="36862BBF"/>
    <w:rsid w:val="39D72FF5"/>
    <w:rsid w:val="3DA43D88"/>
    <w:rsid w:val="43955271"/>
    <w:rsid w:val="4FB93D47"/>
    <w:rsid w:val="505133C3"/>
    <w:rsid w:val="522D29E5"/>
    <w:rsid w:val="55890C11"/>
    <w:rsid w:val="5A6222C7"/>
    <w:rsid w:val="671B6183"/>
    <w:rsid w:val="6D535020"/>
    <w:rsid w:val="74A54984"/>
    <w:rsid w:val="76577D2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80" w:lineRule="exact"/>
      <w:ind w:left="57" w:right="57" w:firstLine="573"/>
      <w:jc w:val="left"/>
    </w:pPr>
    <w:rPr>
      <w:rFonts w:ascii="宋体"/>
      <w:sz w:val="24"/>
    </w:r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u w:val="none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first-child"/>
    <w:basedOn w:val="10"/>
    <w:qFormat/>
    <w:uiPriority w:val="0"/>
    <w:rPr>
      <w:shd w:val="clear" w:fill="E0F0FF"/>
    </w:rPr>
  </w:style>
  <w:style w:type="character" w:customStyle="1" w:styleId="21">
    <w:name w:val="nth-child(2)"/>
    <w:basedOn w:val="10"/>
    <w:qFormat/>
    <w:uiPriority w:val="0"/>
  </w:style>
  <w:style w:type="character" w:customStyle="1" w:styleId="22">
    <w:name w:val="nth-child(3)"/>
    <w:basedOn w:val="10"/>
    <w:qFormat/>
    <w:uiPriority w:val="0"/>
  </w:style>
  <w:style w:type="character" w:customStyle="1" w:styleId="23">
    <w:name w:val="hover29"/>
    <w:basedOn w:val="10"/>
    <w:qFormat/>
    <w:uiPriority w:val="0"/>
    <w:rPr>
      <w:u w:val="single"/>
    </w:rPr>
  </w:style>
  <w:style w:type="paragraph" w:customStyle="1" w:styleId="24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5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Administrator</cp:lastModifiedBy>
  <cp:lastPrinted>2020-04-13T07:01:00Z</cp:lastPrinted>
  <dcterms:modified xsi:type="dcterms:W3CDTF">2020-09-17T10:30:27Z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