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eastAsia" w:ascii="黑体" w:hAnsi="黑体" w:eastAsia="黑体" w:cs="黑体"/>
          <w:sz w:val="52"/>
          <w:szCs w:val="52"/>
          <w:lang w:eastAsia="zh-CN"/>
        </w:rPr>
      </w:pPr>
    </w:p>
    <w:p>
      <w:pPr>
        <w:ind w:left="0" w:leftChars="0" w:firstLine="0" w:firstLineChars="0"/>
        <w:jc w:val="center"/>
        <w:rPr>
          <w:rFonts w:hint="eastAsia" w:ascii="黑体" w:hAnsi="黑体" w:eastAsia="黑体" w:cs="黑体"/>
          <w:sz w:val="52"/>
          <w:szCs w:val="52"/>
          <w:lang w:eastAsia="zh-CN"/>
        </w:rPr>
      </w:pPr>
    </w:p>
    <w:p>
      <w:pPr>
        <w:ind w:left="0" w:leftChars="0" w:firstLine="0" w:firstLineChars="0"/>
        <w:jc w:val="center"/>
        <w:rPr>
          <w:rFonts w:hint="eastAsia"/>
          <w:lang w:eastAsia="zh-CN"/>
        </w:rPr>
      </w:pPr>
      <w:r>
        <w:rPr>
          <w:rFonts w:hint="eastAsia" w:ascii="黑体" w:hAnsi="黑体" w:eastAsia="黑体" w:cs="黑体"/>
          <w:sz w:val="52"/>
          <w:szCs w:val="52"/>
          <w:lang w:eastAsia="zh-CN"/>
        </w:rPr>
        <w:t>建设项目环境影响报告表</w:t>
      </w:r>
    </w:p>
    <w:p>
      <w:pPr>
        <w:ind w:left="0" w:leftChars="0" w:firstLine="0" w:firstLineChars="0"/>
        <w:jc w:val="center"/>
        <w:rPr>
          <w:rFonts w:hint="eastAsia"/>
          <w:sz w:val="28"/>
          <w:szCs w:val="28"/>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pStyle w:val="2"/>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ind w:left="2240" w:leftChars="0" w:hanging="2240" w:hangingChars="800"/>
        <w:jc w:val="left"/>
        <w:textAlignment w:val="auto"/>
        <w:rPr>
          <w:rFonts w:hint="default"/>
          <w:sz w:val="28"/>
          <w:szCs w:val="28"/>
          <w:u w:val="single"/>
          <w:lang w:val="en-US" w:eastAsia="zh-CN"/>
        </w:rPr>
      </w:pPr>
      <w:r>
        <w:rPr>
          <w:rFonts w:hint="eastAsia"/>
          <w:sz w:val="28"/>
          <w:szCs w:val="28"/>
          <w:lang w:eastAsia="zh-CN"/>
        </w:rPr>
        <w:t>项</w:t>
      </w:r>
      <w:r>
        <w:rPr>
          <w:rFonts w:hint="eastAsia"/>
          <w:sz w:val="28"/>
          <w:szCs w:val="28"/>
          <w:lang w:val="en-US" w:eastAsia="zh-CN"/>
        </w:rPr>
        <w:t xml:space="preserve">  </w:t>
      </w:r>
      <w:r>
        <w:rPr>
          <w:rFonts w:hint="eastAsia"/>
          <w:sz w:val="28"/>
          <w:szCs w:val="28"/>
          <w:lang w:eastAsia="zh-CN"/>
        </w:rPr>
        <w:t>目</w:t>
      </w:r>
      <w:r>
        <w:rPr>
          <w:rFonts w:hint="eastAsia"/>
          <w:sz w:val="28"/>
          <w:szCs w:val="28"/>
          <w:lang w:val="en-US" w:eastAsia="zh-CN"/>
        </w:rPr>
        <w:t xml:space="preserve">  </w:t>
      </w:r>
      <w:r>
        <w:rPr>
          <w:rFonts w:hint="eastAsia"/>
          <w:sz w:val="28"/>
          <w:szCs w:val="28"/>
          <w:lang w:eastAsia="zh-CN"/>
        </w:rPr>
        <w:t>名</w:t>
      </w:r>
      <w:r>
        <w:rPr>
          <w:rFonts w:hint="eastAsia"/>
          <w:sz w:val="28"/>
          <w:szCs w:val="28"/>
          <w:lang w:val="en-US" w:eastAsia="zh-CN"/>
        </w:rPr>
        <w:t xml:space="preserve">  </w:t>
      </w:r>
      <w:r>
        <w:rPr>
          <w:rFonts w:hint="eastAsia"/>
          <w:sz w:val="28"/>
          <w:szCs w:val="28"/>
          <w:lang w:eastAsia="zh-CN"/>
        </w:rPr>
        <w:t>称：</w:t>
      </w:r>
      <w:r>
        <w:rPr>
          <w:rFonts w:hint="eastAsia"/>
          <w:sz w:val="28"/>
          <w:szCs w:val="28"/>
          <w:u w:val="single"/>
          <w:lang w:eastAsia="zh-CN"/>
        </w:rPr>
        <w:t>河南高速能源有限责任公司鲁山经营部石人山服务区北加油站项目</w:t>
      </w:r>
      <w:r>
        <w:rPr>
          <w:rFonts w:hint="eastAsia"/>
          <w:sz w:val="28"/>
          <w:szCs w:val="28"/>
          <w:u w:val="single"/>
          <w:lang w:val="en-US" w:eastAsia="zh-CN"/>
        </w:rPr>
        <w:t xml:space="preserve">                              </w:t>
      </w:r>
    </w:p>
    <w:p>
      <w:pPr>
        <w:ind w:left="0" w:leftChars="0" w:firstLine="0" w:firstLineChars="0"/>
        <w:rPr>
          <w:rFonts w:hint="default"/>
          <w:sz w:val="28"/>
          <w:szCs w:val="28"/>
          <w:lang w:val="en-US" w:eastAsia="zh-CN"/>
        </w:rPr>
      </w:pPr>
      <w:r>
        <w:rPr>
          <w:rFonts w:hint="eastAsia"/>
          <w:sz w:val="28"/>
          <w:szCs w:val="28"/>
          <w:lang w:eastAsia="zh-CN"/>
        </w:rPr>
        <w:t>建设单位（盖章）：</w:t>
      </w:r>
      <w:r>
        <w:rPr>
          <w:rFonts w:hint="eastAsia"/>
          <w:sz w:val="28"/>
          <w:szCs w:val="28"/>
          <w:u w:val="single"/>
          <w:lang w:eastAsia="zh-CN"/>
        </w:rPr>
        <w:t>河南高速能源有限责任公司</w:t>
      </w:r>
      <w:r>
        <w:rPr>
          <w:rFonts w:hint="eastAsia"/>
          <w:sz w:val="28"/>
          <w:szCs w:val="28"/>
          <w:u w:val="single"/>
          <w:lang w:val="en-US" w:eastAsia="zh-CN"/>
        </w:rPr>
        <w:t xml:space="preserve">                  </w:t>
      </w: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jc w:val="center"/>
        <w:rPr>
          <w:rFonts w:hint="default"/>
          <w:sz w:val="28"/>
          <w:szCs w:val="28"/>
          <w:lang w:val="en-US" w:eastAsia="zh-CN"/>
        </w:rPr>
      </w:pPr>
      <w:r>
        <w:rPr>
          <w:rFonts w:hint="eastAsia"/>
          <w:sz w:val="28"/>
          <w:szCs w:val="28"/>
          <w:lang w:eastAsia="zh-CN"/>
        </w:rPr>
        <w:t>编制日期：二〇二〇</w:t>
      </w:r>
      <w:r>
        <w:rPr>
          <w:rFonts w:hint="eastAsia"/>
          <w:sz w:val="28"/>
          <w:szCs w:val="28"/>
          <w:lang w:val="en-US" w:eastAsia="zh-CN"/>
        </w:rPr>
        <w:t>年十二月</w:t>
      </w:r>
    </w:p>
    <w:p>
      <w:pPr>
        <w:ind w:left="0" w:leftChars="0" w:firstLine="0" w:firstLineChars="0"/>
        <w:jc w:val="center"/>
        <w:rPr>
          <w:rFonts w:hint="eastAsia"/>
          <w:sz w:val="28"/>
          <w:szCs w:val="28"/>
          <w:lang w:eastAsia="zh-CN"/>
        </w:rPr>
      </w:pPr>
      <w:r>
        <w:rPr>
          <w:rFonts w:hint="eastAsia"/>
          <w:sz w:val="28"/>
          <w:szCs w:val="28"/>
          <w:lang w:eastAsia="zh-CN"/>
        </w:rPr>
        <w:t>国家生态环境部制</w:t>
      </w:r>
    </w:p>
    <w:p>
      <w:pPr>
        <w:rPr>
          <w:rFonts w:hint="eastAsia"/>
          <w:sz w:val="28"/>
          <w:szCs w:val="28"/>
          <w:lang w:eastAsia="zh-CN"/>
        </w:rPr>
      </w:pP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898760704" behindDoc="1" locked="0" layoutInCell="1" allowOverlap="1">
            <wp:simplePos x="0" y="0"/>
            <wp:positionH relativeFrom="column">
              <wp:posOffset>-956945</wp:posOffset>
            </wp:positionH>
            <wp:positionV relativeFrom="paragraph">
              <wp:posOffset>-668655</wp:posOffset>
            </wp:positionV>
            <wp:extent cx="7268845" cy="9994900"/>
            <wp:effectExtent l="0" t="0" r="8255" b="6350"/>
            <wp:wrapNone/>
            <wp:docPr id="144" name="图片 144" descr="352622dcd4e2a4bd96c1e2f3599c3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352622dcd4e2a4bd96c1e2f3599c3e5"/>
                    <pic:cNvPicPr>
                      <a:picLocks noChangeAspect="1"/>
                    </pic:cNvPicPr>
                  </pic:nvPicPr>
                  <pic:blipFill>
                    <a:blip r:embed="rId11"/>
                    <a:stretch>
                      <a:fillRect/>
                    </a:stretch>
                  </pic:blipFill>
                  <pic:spPr>
                    <a:xfrm>
                      <a:off x="0" y="0"/>
                      <a:ext cx="7268845" cy="9994900"/>
                    </a:xfrm>
                    <a:prstGeom prst="rect">
                      <a:avLst/>
                    </a:prstGeom>
                  </pic:spPr>
                </pic:pic>
              </a:graphicData>
            </a:graphic>
          </wp:anchor>
        </w:drawing>
      </w: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3061277696" behindDoc="1" locked="0" layoutInCell="1" allowOverlap="1">
            <wp:simplePos x="0" y="0"/>
            <wp:positionH relativeFrom="column">
              <wp:posOffset>-1137285</wp:posOffset>
            </wp:positionH>
            <wp:positionV relativeFrom="paragraph">
              <wp:posOffset>-977265</wp:posOffset>
            </wp:positionV>
            <wp:extent cx="7577455" cy="10419715"/>
            <wp:effectExtent l="0" t="0" r="4445" b="635"/>
            <wp:wrapNone/>
            <wp:docPr id="145" name="图片 145" descr="87c54ebfa29dac0afe451f4bce3e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87c54ebfa29dac0afe451f4bce3ed5f"/>
                    <pic:cNvPicPr>
                      <a:picLocks noChangeAspect="1"/>
                    </pic:cNvPicPr>
                  </pic:nvPicPr>
                  <pic:blipFill>
                    <a:blip r:embed="rId12"/>
                    <a:stretch>
                      <a:fillRect/>
                    </a:stretch>
                  </pic:blipFill>
                  <pic:spPr>
                    <a:xfrm>
                      <a:off x="0" y="0"/>
                      <a:ext cx="7577455" cy="10419715"/>
                    </a:xfrm>
                    <a:prstGeom prst="rect">
                      <a:avLst/>
                    </a:prstGeom>
                  </pic:spPr>
                </pic:pic>
              </a:graphicData>
            </a:graphic>
          </wp:anchor>
        </w:drawing>
      </w: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4094784512" behindDoc="1" locked="0" layoutInCell="1" allowOverlap="1">
            <wp:simplePos x="0" y="0"/>
            <wp:positionH relativeFrom="column">
              <wp:posOffset>-1111250</wp:posOffset>
            </wp:positionH>
            <wp:positionV relativeFrom="paragraph">
              <wp:posOffset>-964565</wp:posOffset>
            </wp:positionV>
            <wp:extent cx="7521575" cy="10342245"/>
            <wp:effectExtent l="0" t="0" r="3175" b="1905"/>
            <wp:wrapNone/>
            <wp:docPr id="147" name="图片 147" descr="4c7d2ed46a8da0afa127941b676d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4c7d2ed46a8da0afa127941b676de89"/>
                    <pic:cNvPicPr>
                      <a:picLocks noChangeAspect="1"/>
                    </pic:cNvPicPr>
                  </pic:nvPicPr>
                  <pic:blipFill>
                    <a:blip r:embed="rId13"/>
                    <a:stretch>
                      <a:fillRect/>
                    </a:stretch>
                  </pic:blipFill>
                  <pic:spPr>
                    <a:xfrm>
                      <a:off x="0" y="0"/>
                      <a:ext cx="7521575" cy="10342245"/>
                    </a:xfrm>
                    <a:prstGeom prst="rect">
                      <a:avLst/>
                    </a:prstGeom>
                  </pic:spPr>
                </pic:pic>
              </a:graphicData>
            </a:graphic>
          </wp:anchor>
        </w:drawing>
      </w:r>
      <w:r>
        <w:rPr>
          <w:rFonts w:hint="eastAsia"/>
          <w:sz w:val="28"/>
          <w:szCs w:val="28"/>
          <w:lang w:eastAsia="zh-CN"/>
        </w:rPr>
        <w:br w:type="page"/>
      </w:r>
    </w:p>
    <w:p>
      <w:pPr>
        <w:rPr>
          <w:rFonts w:hint="eastAsia"/>
          <w:lang w:eastAsia="zh-CN"/>
        </w:rPr>
      </w:pPr>
      <w:bookmarkStart w:id="28" w:name="_GoBack"/>
      <w:r>
        <w:rPr>
          <w:rFonts w:hint="eastAsia"/>
          <w:sz w:val="28"/>
          <w:szCs w:val="28"/>
          <w:lang w:eastAsia="zh-CN"/>
        </w:rPr>
        <w:drawing>
          <wp:anchor distT="0" distB="0" distL="114300" distR="114300" simplePos="0" relativeHeight="833324032" behindDoc="1" locked="0" layoutInCell="1" allowOverlap="1">
            <wp:simplePos x="0" y="0"/>
            <wp:positionH relativeFrom="column">
              <wp:posOffset>-1099185</wp:posOffset>
            </wp:positionH>
            <wp:positionV relativeFrom="paragraph">
              <wp:posOffset>-926465</wp:posOffset>
            </wp:positionV>
            <wp:extent cx="7437120" cy="10226040"/>
            <wp:effectExtent l="0" t="0" r="11430" b="3810"/>
            <wp:wrapNone/>
            <wp:docPr id="148" name="图片 148" descr="b57d101a93c2ee4c2bf64780bcf2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b57d101a93c2ee4c2bf64780bcf2fdc"/>
                    <pic:cNvPicPr>
                      <a:picLocks noChangeAspect="1"/>
                    </pic:cNvPicPr>
                  </pic:nvPicPr>
                  <pic:blipFill>
                    <a:blip r:embed="rId14"/>
                    <a:stretch>
                      <a:fillRect/>
                    </a:stretch>
                  </pic:blipFill>
                  <pic:spPr>
                    <a:xfrm>
                      <a:off x="0" y="0"/>
                      <a:ext cx="7437120" cy="10226040"/>
                    </a:xfrm>
                    <a:prstGeom prst="rect">
                      <a:avLst/>
                    </a:prstGeom>
                  </pic:spPr>
                </pic:pic>
              </a:graphicData>
            </a:graphic>
          </wp:anchor>
        </w:drawing>
      </w:r>
      <w:bookmarkEnd w:id="28"/>
      <w:r>
        <w:rPr>
          <w:rFonts w:hint="eastAsia"/>
          <w:sz w:val="28"/>
          <w:szCs w:val="28"/>
          <w:lang w:eastAsia="zh-CN"/>
        </w:rPr>
        <w:br w:type="page"/>
      </w: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0" w:firstLineChars="0"/>
        <w:jc w:val="center"/>
        <w:textAlignment w:val="auto"/>
        <w:rPr>
          <w:b/>
          <w:sz w:val="36"/>
        </w:rPr>
      </w:pPr>
      <w:r>
        <w:rPr>
          <w:b/>
          <w:sz w:val="36"/>
        </w:rPr>
        <w:t>《建设项目环境影响报告表》编制说明</w:t>
      </w:r>
    </w:p>
    <w:p>
      <w:pPr>
        <w:pStyle w:val="17"/>
        <w:keepNext w:val="0"/>
        <w:keepLines w:val="0"/>
        <w:pageBreakBefore w:val="0"/>
        <w:widowControl w:val="0"/>
        <w:kinsoku/>
        <w:wordWrap/>
        <w:overflowPunct/>
        <w:topLinePunct w:val="0"/>
        <w:autoSpaceDE/>
        <w:autoSpaceDN/>
        <w:bidi w:val="0"/>
        <w:adjustRightInd w:val="0"/>
        <w:snapToGrid w:val="0"/>
        <w:ind w:left="0" w:right="156" w:rightChars="65" w:firstLine="560" w:firstLineChars="200"/>
        <w:jc w:val="both"/>
        <w:textAlignment w:val="auto"/>
        <w:rPr>
          <w:sz w:val="28"/>
          <w:szCs w:val="28"/>
        </w:rPr>
      </w:pPr>
      <w:r>
        <w:rPr>
          <w:sz w:val="28"/>
          <w:szCs w:val="28"/>
        </w:rPr>
        <w:t>《建设项目环境影响报告表》由具有从事环境影响评价工作资质的单位编制。</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项目名称----指项目立项批复时的名称，应不超过30个字（两个英文字段作一个汉字）。</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建设地点----指项目所在地详细地址、公路、铁路应填写起止地点。</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行业类别----按国标填写。</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总投资----指项目投资总额。</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主要环境保护目标----指项目区周围一定范围内集中居民住宅、学校、医院、保护文物、风景名胜区、水源地和生态敏感点等，应尽可能给出保护目标、性质、规模和距厂界距离等。</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结论与建议----给出本项目清洁生产、达标排放和总量控制的分析结论，确定污染防治措施的有效性，说明本项目对环境造成的影响，给出建设项目环境可行性的明确结论。同时提出减少环境影响的其它建议。</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8"/>
          <w:szCs w:val="28"/>
        </w:rPr>
      </w:pPr>
      <w:r>
        <w:rPr>
          <w:sz w:val="28"/>
          <w:szCs w:val="28"/>
        </w:rPr>
        <w:t>预审意见----由行业主管部门填写答复意见，无主管部门项目，可不填。</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jc w:val="both"/>
        <w:textAlignment w:val="auto"/>
        <w:rPr>
          <w:sz w:val="24"/>
        </w:rPr>
      </w:pPr>
      <w:r>
        <w:rPr>
          <w:sz w:val="28"/>
          <w:szCs w:val="28"/>
        </w:rPr>
        <w:t>审批意见----由负责审批该项目的环境保护行政主管部门批复。</w:t>
      </w:r>
    </w:p>
    <w:p>
      <w:pPr>
        <w:adjustRightInd w:val="0"/>
        <w:snapToGrid w:val="0"/>
        <w:spacing w:line="360" w:lineRule="auto"/>
        <w:jc w:val="both"/>
        <w:rPr>
          <w:sz w:val="24"/>
        </w:rPr>
      </w:pPr>
    </w:p>
    <w:p>
      <w:pPr>
        <w:adjustRightInd w:val="0"/>
        <w:snapToGrid w:val="0"/>
        <w:spacing w:line="360" w:lineRule="auto"/>
        <w:rPr>
          <w:sz w:val="24"/>
        </w:rPr>
      </w:pPr>
    </w:p>
    <w:p>
      <w:pPr>
        <w:rPr>
          <w:sz w:val="24"/>
        </w:rPr>
      </w:pPr>
      <w:r>
        <w:rPr>
          <w:sz w:val="24"/>
        </w:rPr>
        <w:br w:type="page"/>
      </w:r>
    </w:p>
    <w:p>
      <w:r>
        <w:br w:type="page"/>
      </w:r>
    </w:p>
    <w:p>
      <w:pPr>
        <w:pStyle w:val="44"/>
        <w:spacing w:line="600" w:lineRule="exact"/>
        <w:ind w:firstLine="0" w:firstLineChars="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lang w:eastAsia="zh-CN"/>
        </w:rPr>
        <w:t>河南高速能源有限责任公司鲁山经营部石人山服务区</w:t>
      </w:r>
      <w:r>
        <w:rPr>
          <w:rFonts w:hint="eastAsia" w:ascii="Times New Roman" w:hAnsi="Times New Roman" w:eastAsia="黑体" w:cs="Times New Roman"/>
          <w:sz w:val="32"/>
          <w:szCs w:val="32"/>
          <w:lang w:eastAsia="zh-CN"/>
        </w:rPr>
        <w:t>北</w:t>
      </w:r>
      <w:r>
        <w:rPr>
          <w:rFonts w:hint="default" w:ascii="Times New Roman" w:hAnsi="Times New Roman" w:eastAsia="黑体" w:cs="Times New Roman"/>
          <w:sz w:val="32"/>
          <w:szCs w:val="32"/>
          <w:lang w:eastAsia="zh-CN"/>
        </w:rPr>
        <w:t>加油站项目环境影响报告表</w:t>
      </w:r>
      <w:r>
        <w:rPr>
          <w:rFonts w:hint="default" w:ascii="Times New Roman" w:hAnsi="Times New Roman" w:eastAsia="黑体" w:cs="Times New Roman"/>
          <w:sz w:val="32"/>
          <w:szCs w:val="32"/>
        </w:rPr>
        <w:t>专家意见修改清单</w:t>
      </w:r>
    </w:p>
    <w:p>
      <w:pPr>
        <w:pStyle w:val="44"/>
        <w:spacing w:line="600" w:lineRule="exact"/>
        <w:ind w:firstLine="0" w:firstLineChars="0"/>
        <w:jc w:val="center"/>
        <w:rPr>
          <w:rFonts w:hint="default" w:ascii="Times New Roman" w:hAnsi="Times New Roman" w:eastAsia="黑体" w:cs="Times New Roman"/>
          <w:sz w:val="32"/>
          <w:szCs w:val="32"/>
        </w:rPr>
      </w:pPr>
    </w:p>
    <w:tbl>
      <w:tblPr>
        <w:tblStyle w:val="22"/>
        <w:tblW w:w="8594" w:type="dxa"/>
        <w:jc w:val="center"/>
        <w:tblLayout w:type="fixed"/>
        <w:tblCellMar>
          <w:top w:w="0" w:type="dxa"/>
          <w:left w:w="108" w:type="dxa"/>
          <w:bottom w:w="0" w:type="dxa"/>
          <w:right w:w="108" w:type="dxa"/>
        </w:tblCellMar>
      </w:tblPr>
      <w:tblGrid>
        <w:gridCol w:w="4291"/>
        <w:gridCol w:w="4303"/>
      </w:tblGrid>
      <w:tr>
        <w:tblPrEx>
          <w:tblCellMar>
            <w:top w:w="0" w:type="dxa"/>
            <w:left w:w="108" w:type="dxa"/>
            <w:bottom w:w="0" w:type="dxa"/>
            <w:right w:w="108" w:type="dxa"/>
          </w:tblCellMar>
        </w:tblPrEx>
        <w:trPr>
          <w:trHeight w:val="381" w:hRule="atLeast"/>
          <w:jc w:val="center"/>
        </w:trPr>
        <w:tc>
          <w:tcPr>
            <w:tcW w:w="4291" w:type="dxa"/>
            <w:tcBorders>
              <w:top w:val="single" w:color="auto" w:sz="12"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bidi="ar"/>
              </w:rPr>
              <w:t>修改意见</w:t>
            </w:r>
          </w:p>
        </w:tc>
        <w:tc>
          <w:tcPr>
            <w:tcW w:w="4303" w:type="dxa"/>
            <w:tcBorders>
              <w:top w:val="single" w:color="auto" w:sz="12"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bidi="ar"/>
              </w:rPr>
              <w:t>修改</w:t>
            </w:r>
            <w:r>
              <w:rPr>
                <w:rFonts w:hint="default" w:ascii="Times New Roman" w:hAnsi="Times New Roman" w:eastAsia="宋体" w:cs="Times New Roman"/>
                <w:sz w:val="24"/>
                <w:szCs w:val="24"/>
                <w:lang w:eastAsia="zh-CN" w:bidi="ar"/>
              </w:rPr>
              <w:t>情况</w:t>
            </w:r>
          </w:p>
        </w:tc>
      </w:tr>
      <w:tr>
        <w:tblPrEx>
          <w:tblCellMar>
            <w:top w:w="0" w:type="dxa"/>
            <w:left w:w="108" w:type="dxa"/>
            <w:bottom w:w="0" w:type="dxa"/>
            <w:right w:w="108" w:type="dxa"/>
          </w:tblCellMar>
        </w:tblPrEx>
        <w:trPr>
          <w:trHeight w:val="397"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val="en-US" w:eastAsia="zh-CN"/>
              </w:rPr>
            </w:pPr>
            <w:r>
              <w:rPr>
                <w:rFonts w:hint="eastAsia" w:ascii="宋体" w:hAnsi="宋体" w:eastAsia="宋体" w:cs="宋体"/>
                <w:sz w:val="24"/>
                <w:szCs w:val="24"/>
              </w:rPr>
              <w:t>1、进一步完善现状环境调查；</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P23地表水环境质量现状引用了近期的资料</w:t>
            </w:r>
          </w:p>
        </w:tc>
      </w:tr>
      <w:tr>
        <w:tblPrEx>
          <w:tblCellMar>
            <w:top w:w="0" w:type="dxa"/>
            <w:left w:w="108" w:type="dxa"/>
            <w:bottom w:w="0" w:type="dxa"/>
            <w:right w:w="108" w:type="dxa"/>
          </w:tblCellMar>
        </w:tblPrEx>
        <w:trPr>
          <w:trHeight w:val="397"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rPr>
              <w:t>完善水平衡图，进一步论证周边地下水保护及生活污水处理的的可行性及可靠性；</w:t>
            </w:r>
            <w:r>
              <w:rPr>
                <w:rFonts w:hint="default" w:ascii="Times New Roman" w:hAnsi="Times New Roman" w:eastAsia="宋体" w:cs="Times New Roman"/>
                <w:sz w:val="24"/>
                <w:szCs w:val="24"/>
                <w:lang w:eastAsia="zh-CN"/>
              </w:rPr>
              <w:t>。</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P4</w:t>
            </w:r>
            <w:r>
              <w:rPr>
                <w:rFonts w:hint="eastAsia" w:cs="Times New Roman"/>
                <w:sz w:val="24"/>
                <w:szCs w:val="24"/>
                <w:lang w:val="en-US" w:eastAsia="zh-CN"/>
              </w:rPr>
              <w:t>6</w:t>
            </w:r>
            <w:r>
              <w:rPr>
                <w:rFonts w:hint="eastAsia" w:ascii="Times New Roman" w:hAnsi="Times New Roman" w:cs="Times New Roman"/>
                <w:sz w:val="24"/>
                <w:szCs w:val="24"/>
                <w:lang w:val="en-US" w:eastAsia="zh-CN"/>
              </w:rPr>
              <w:t>补充了项目水平衡图，P4</w:t>
            </w:r>
            <w:r>
              <w:rPr>
                <w:rFonts w:hint="eastAsia" w:cs="Times New Roman"/>
                <w:sz w:val="24"/>
                <w:szCs w:val="24"/>
                <w:lang w:val="en-US" w:eastAsia="zh-CN"/>
              </w:rPr>
              <w:t>7</w:t>
            </w:r>
            <w:r>
              <w:rPr>
                <w:rFonts w:hint="eastAsia" w:ascii="Times New Roman" w:hAnsi="Times New Roman" w:cs="Times New Roman"/>
                <w:sz w:val="24"/>
                <w:szCs w:val="24"/>
                <w:lang w:val="en-US" w:eastAsia="zh-CN"/>
              </w:rPr>
              <w:t>补充了生活污水处理的可行性及可靠性，P55补充了地下水污染防治措施</w:t>
            </w:r>
          </w:p>
        </w:tc>
      </w:tr>
      <w:tr>
        <w:tblPrEx>
          <w:tblCellMar>
            <w:top w:w="0" w:type="dxa"/>
            <w:left w:w="108" w:type="dxa"/>
            <w:bottom w:w="0" w:type="dxa"/>
            <w:right w:w="108" w:type="dxa"/>
          </w:tblCellMar>
        </w:tblPrEx>
        <w:trPr>
          <w:trHeight w:val="1650"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t>3</w:t>
            </w:r>
            <w:r>
              <w:rPr>
                <w:rFonts w:hint="eastAsia" w:ascii="Times New Roman" w:hAnsi="Times New Roman" w:cs="Times New Roman"/>
                <w:sz w:val="24"/>
                <w:szCs w:val="24"/>
                <w:lang w:val="en-US" w:eastAsia="zh-CN"/>
              </w:rPr>
              <w:t>、</w:t>
            </w:r>
            <w:r>
              <w:rPr>
                <w:rFonts w:hint="eastAsia" w:ascii="宋体" w:hAnsi="宋体" w:cs="宋体"/>
                <w:sz w:val="24"/>
                <w:szCs w:val="24"/>
                <w:lang w:val="en-US" w:eastAsia="zh-CN"/>
              </w:rPr>
              <w:t>完善评价区环境水文地质条件调查，完善地下水环境现状调查与评价</w:t>
            </w:r>
            <w:r>
              <w:rPr>
                <w:rFonts w:hint="eastAsia"/>
                <w:sz w:val="24"/>
                <w:szCs w:val="24"/>
              </w:rPr>
              <w:t>；</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P12、P13补充完善水文简况，P47补充完善区域水环境水文地质条件，P48-P49补充了地下水利用现状，P54补充了对地下水环境保护目标的影响，P56-P59补充了地下水现状评价、地下水水位动态监测资料</w:t>
            </w:r>
          </w:p>
        </w:tc>
      </w:tr>
      <w:tr>
        <w:tblPrEx>
          <w:tblCellMar>
            <w:top w:w="0" w:type="dxa"/>
            <w:left w:w="108" w:type="dxa"/>
            <w:bottom w:w="0" w:type="dxa"/>
            <w:right w:w="108" w:type="dxa"/>
          </w:tblCellMar>
        </w:tblPrEx>
        <w:trPr>
          <w:trHeight w:val="1608"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N/>
              <w:bidi w:val="0"/>
              <w:adjustRightInd/>
              <w:snapToGrid/>
              <w:spacing w:line="360" w:lineRule="auto"/>
              <w:ind w:left="0" w:leftChars="0" w:firstLine="0" w:firstLineChars="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4、</w:t>
            </w:r>
            <w:r>
              <w:rPr>
                <w:rFonts w:hint="eastAsia" w:ascii="宋体" w:hAnsi="宋体" w:eastAsia="宋体" w:cs="宋体"/>
                <w:sz w:val="24"/>
                <w:szCs w:val="24"/>
              </w:rPr>
              <w:t>完善相关附图附表</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补充</w:t>
            </w:r>
            <w:r>
              <w:rPr>
                <w:rFonts w:hint="eastAsia" w:cs="Times New Roman"/>
                <w:sz w:val="24"/>
                <w:szCs w:val="24"/>
                <w:lang w:val="en-US" w:eastAsia="zh-CN"/>
              </w:rPr>
              <w:t>完善</w:t>
            </w:r>
            <w:r>
              <w:rPr>
                <w:rFonts w:hint="eastAsia" w:ascii="Times New Roman" w:hAnsi="Times New Roman" w:cs="Times New Roman"/>
                <w:sz w:val="24"/>
                <w:szCs w:val="24"/>
                <w:lang w:val="en-US" w:eastAsia="zh-CN"/>
              </w:rPr>
              <w:t>了附图4风险评价范围图，附图2厂区平面布置图、附图</w:t>
            </w:r>
            <w:r>
              <w:rPr>
                <w:rFonts w:hint="eastAsia" w:cs="Times New Roman"/>
                <w:sz w:val="24"/>
                <w:szCs w:val="24"/>
                <w:lang w:val="en-US" w:eastAsia="zh-CN"/>
              </w:rPr>
              <w:t>7</w:t>
            </w:r>
            <w:r>
              <w:rPr>
                <w:rFonts w:hint="eastAsia" w:ascii="Times New Roman" w:hAnsi="Times New Roman" w:cs="Times New Roman"/>
                <w:sz w:val="24"/>
                <w:szCs w:val="24"/>
                <w:lang w:val="en-US" w:eastAsia="zh-CN"/>
              </w:rPr>
              <w:t>噪声检测点位图、</w:t>
            </w:r>
            <w:r>
              <w:rPr>
                <w:rFonts w:hint="eastAsia" w:ascii="宋体" w:hAnsi="宋体" w:eastAsia="宋体" w:cs="宋体"/>
                <w:sz w:val="24"/>
                <w:szCs w:val="24"/>
                <w:lang w:val="en-US" w:eastAsia="zh-CN"/>
              </w:rPr>
              <w:t>建设项目环评审批基础信息表</w:t>
            </w:r>
          </w:p>
        </w:tc>
      </w:tr>
    </w:tbl>
    <w:p>
      <w:pPr>
        <w:ind w:left="0" w:leftChars="0" w:firstLine="0" w:firstLineChars="0"/>
      </w:pPr>
      <w:r>
        <w:br w:type="page"/>
      </w:r>
    </w:p>
    <w:p>
      <w:pPr>
        <w:pStyle w:val="2"/>
      </w:pPr>
    </w:p>
    <w:p>
      <w:pPr>
        <w:adjustRightInd w:val="0"/>
        <w:snapToGrid w:val="0"/>
        <w:spacing w:line="360" w:lineRule="auto"/>
        <w:rPr>
          <w:sz w:val="24"/>
        </w:rPr>
        <w:sectPr>
          <w:footerReference r:id="rId5" w:type="first"/>
          <w:headerReference r:id="rId3" w:type="default"/>
          <w:footerReference r:id="rId4" w:type="even"/>
          <w:pgSz w:w="11906" w:h="16838"/>
          <w:pgMar w:top="1701" w:right="1588" w:bottom="1985" w:left="1588" w:header="851" w:footer="1134" w:gutter="284"/>
          <w:pgBorders>
            <w:top w:val="none" w:sz="0" w:space="0"/>
            <w:left w:val="none" w:sz="0" w:space="0"/>
            <w:bottom w:val="none" w:sz="0" w:space="0"/>
            <w:right w:val="none" w:sz="0" w:space="0"/>
          </w:pgBorders>
          <w:pgNumType w:start="0"/>
          <w:cols w:space="720" w:num="1"/>
          <w:docGrid w:type="linesAndChars" w:linePitch="312" w:charSpace="0"/>
        </w:sectPr>
      </w:pPr>
    </w:p>
    <w:p>
      <w:pPr>
        <w:spacing w:line="240" w:lineRule="auto"/>
        <w:ind w:firstLine="0" w:firstLineChars="0"/>
        <w:rPr>
          <w:rStyle w:val="29"/>
          <w:rFonts w:ascii="Times New Roman" w:hAnsi="Times New Roman" w:eastAsia="宋体" w:cs="Times New Roman"/>
          <w:sz w:val="30"/>
          <w:szCs w:val="30"/>
        </w:rPr>
      </w:pPr>
      <w:bookmarkStart w:id="0" w:name="_Toc256177428"/>
      <w:bookmarkStart w:id="1" w:name="_Toc168387856"/>
      <w:bookmarkStart w:id="2" w:name="_Toc257241223"/>
      <w:r>
        <w:rPr>
          <w:rStyle w:val="29"/>
          <w:rFonts w:ascii="Times New Roman" w:hAnsi="Times New Roman" w:eastAsia="宋体" w:cs="Times New Roman"/>
          <w:sz w:val="30"/>
          <w:szCs w:val="30"/>
        </w:rPr>
        <w:t>建设项目基本情况</w:t>
      </w:r>
      <w:bookmarkEnd w:id="0"/>
      <w:bookmarkEnd w:id="1"/>
      <w:bookmarkEnd w:id="2"/>
    </w:p>
    <w:tbl>
      <w:tblPr>
        <w:tblStyle w:val="22"/>
        <w:tblW w:w="84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5"/>
        <w:gridCol w:w="1719"/>
        <w:gridCol w:w="59"/>
        <w:gridCol w:w="464"/>
        <w:gridCol w:w="735"/>
        <w:gridCol w:w="164"/>
        <w:gridCol w:w="1078"/>
        <w:gridCol w:w="271"/>
        <w:gridCol w:w="1261"/>
        <w:gridCol w:w="21"/>
        <w:gridCol w:w="146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项目名称</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sz w:val="21"/>
                <w:szCs w:val="21"/>
                <w:u w:val="none"/>
                <w:lang w:eastAsia="zh-CN"/>
              </w:rPr>
              <w:t>河南高速能源有限责任公司鲁山经营部石人山服务区北加油站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建设单位</w:t>
            </w:r>
          </w:p>
        </w:tc>
        <w:tc>
          <w:tcPr>
            <w:tcW w:w="7234" w:type="dxa"/>
            <w:gridSpan w:val="10"/>
            <w:vAlign w:val="center"/>
          </w:tcPr>
          <w:p>
            <w:pPr>
              <w:spacing w:line="240" w:lineRule="auto"/>
              <w:ind w:firstLine="0" w:firstLineChars="0"/>
              <w:jc w:val="center"/>
              <w:rPr>
                <w:rFonts w:ascii="Times New Roman" w:hAnsi="Times New Roman" w:eastAsia="宋体" w:cs="Times New Roman"/>
                <w:sz w:val="21"/>
                <w:szCs w:val="21"/>
              </w:rPr>
            </w:pPr>
            <w:r>
              <w:rPr>
                <w:rFonts w:hint="eastAsia"/>
                <w:sz w:val="21"/>
                <w:szCs w:val="21"/>
                <w:u w:val="none"/>
                <w:lang w:eastAsia="zh-CN"/>
              </w:rPr>
              <w:t>河南高速能源有限责任公司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法人代表</w:t>
            </w:r>
          </w:p>
        </w:tc>
        <w:tc>
          <w:tcPr>
            <w:tcW w:w="3141" w:type="dxa"/>
            <w:gridSpan w:val="5"/>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c>
          <w:tcPr>
            <w:tcW w:w="1349"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联系人</w:t>
            </w:r>
          </w:p>
        </w:tc>
        <w:tc>
          <w:tcPr>
            <w:tcW w:w="2744" w:type="dxa"/>
            <w:gridSpan w:val="3"/>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通讯地址</w:t>
            </w:r>
          </w:p>
        </w:tc>
        <w:tc>
          <w:tcPr>
            <w:tcW w:w="7234" w:type="dxa"/>
            <w:gridSpan w:val="10"/>
            <w:vAlign w:val="center"/>
          </w:tcPr>
          <w:p>
            <w:pPr>
              <w:spacing w:line="240" w:lineRule="auto"/>
              <w:ind w:firstLine="0" w:firstLineChars="0"/>
              <w:jc w:val="center"/>
              <w:rPr>
                <w:rFonts w:ascii="Times New Roman" w:hAnsi="Times New Roman" w:eastAsia="宋体" w:cs="Times New Roman"/>
                <w:bCs/>
                <w:sz w:val="21"/>
                <w:szCs w:val="21"/>
              </w:rPr>
            </w:pPr>
            <w:r>
              <w:rPr>
                <w:rFonts w:hint="eastAsia" w:cs="Times New Roman"/>
                <w:sz w:val="21"/>
                <w:szCs w:val="21"/>
                <w:lang w:eastAsia="zh-CN"/>
              </w:rPr>
              <w:t>石人山服务区加油站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联系电话</w:t>
            </w:r>
          </w:p>
        </w:tc>
        <w:tc>
          <w:tcPr>
            <w:tcW w:w="2242" w:type="dxa"/>
            <w:gridSpan w:val="3"/>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15136211101</w:t>
            </w:r>
          </w:p>
        </w:tc>
        <w:tc>
          <w:tcPr>
            <w:tcW w:w="899" w:type="dxa"/>
            <w:gridSpan w:val="2"/>
            <w:vAlign w:val="center"/>
          </w:tcPr>
          <w:p>
            <w:pPr>
              <w:spacing w:line="240" w:lineRule="auto"/>
              <w:ind w:left="-48" w:leftChars="-20" w:right="-48" w:rightChars="-20"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传真</w:t>
            </w:r>
          </w:p>
        </w:tc>
        <w:tc>
          <w:tcPr>
            <w:tcW w:w="1349"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1"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邮政编码</w:t>
            </w:r>
          </w:p>
        </w:tc>
        <w:tc>
          <w:tcPr>
            <w:tcW w:w="1483" w:type="dxa"/>
            <w:gridSpan w:val="2"/>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467343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建设地点</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郑州至石人山高速公路石人山服务区北侧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立项审批</w:t>
            </w:r>
            <w:r>
              <w:rPr>
                <w:rFonts w:ascii="Times New Roman" w:hAnsi="Times New Roman" w:eastAsia="宋体" w:cs="Times New Roman"/>
                <w:bCs/>
                <w:sz w:val="21"/>
                <w:szCs w:val="21"/>
              </w:rPr>
              <w:t>部门</w:t>
            </w:r>
          </w:p>
        </w:tc>
        <w:tc>
          <w:tcPr>
            <w:tcW w:w="2977" w:type="dxa"/>
            <w:gridSpan w:val="4"/>
            <w:vAlign w:val="center"/>
          </w:tcPr>
          <w:p>
            <w:pPr>
              <w:spacing w:line="240" w:lineRule="auto"/>
              <w:ind w:left="-96" w:leftChars="-40" w:right="-43" w:rightChars="-18"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olor w:val="auto"/>
                <w:sz w:val="21"/>
                <w:szCs w:val="21"/>
              </w:rPr>
              <w:t>鲁山县发展和改革委员会</w:t>
            </w:r>
          </w:p>
        </w:tc>
        <w:tc>
          <w:tcPr>
            <w:tcW w:w="1242" w:type="dxa"/>
            <w:gridSpan w:val="2"/>
            <w:vAlign w:val="center"/>
          </w:tcPr>
          <w:p>
            <w:pPr>
              <w:spacing w:line="240" w:lineRule="auto"/>
              <w:ind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审批文号</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olor w:val="auto"/>
                <w:sz w:val="21"/>
                <w:szCs w:val="21"/>
              </w:rPr>
              <w:t>2020-410423-52-03-101096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建设性质</w:t>
            </w:r>
          </w:p>
        </w:tc>
        <w:tc>
          <w:tcPr>
            <w:tcW w:w="2977" w:type="dxa"/>
            <w:gridSpan w:val="4"/>
            <w:vAlign w:val="center"/>
          </w:tcPr>
          <w:p>
            <w:pPr>
              <w:spacing w:line="240" w:lineRule="auto"/>
              <w:ind w:firstLine="0" w:firstLineChars="0"/>
              <w:jc w:val="center"/>
              <w:rPr>
                <w:rFonts w:hint="eastAsia" w:ascii="Times New Roman" w:hAnsi="Times New Roman" w:eastAsia="宋体" w:cs="Times New Roman"/>
                <w:bCs/>
                <w:sz w:val="21"/>
                <w:szCs w:val="21"/>
                <w:lang w:eastAsia="zh-CN"/>
              </w:rPr>
            </w:pPr>
            <w:r>
              <w:rPr>
                <w:rFonts w:ascii="Times New Roman" w:hAnsi="Times New Roman" w:eastAsia="宋体" w:cs="Times New Roman"/>
                <w:sz w:val="21"/>
                <w:szCs w:val="21"/>
              </w:rPr>
              <w:t>新建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改扩建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技改</w:t>
            </w:r>
            <w:r>
              <w:rPr>
                <w:rFonts w:hint="eastAsia" w:cs="Times New Roman"/>
                <w:sz w:val="21"/>
                <w:szCs w:val="21"/>
                <w:lang w:eastAsia="zh-CN"/>
              </w:rPr>
              <w:t>□</w:t>
            </w:r>
          </w:p>
        </w:tc>
        <w:tc>
          <w:tcPr>
            <w:tcW w:w="1242" w:type="dxa"/>
            <w:gridSpan w:val="2"/>
            <w:vAlign w:val="center"/>
          </w:tcPr>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行业类别</w:t>
            </w:r>
          </w:p>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及代码</w:t>
            </w:r>
          </w:p>
        </w:tc>
        <w:tc>
          <w:tcPr>
            <w:tcW w:w="3015" w:type="dxa"/>
            <w:gridSpan w:val="4"/>
            <w:vAlign w:val="center"/>
          </w:tcPr>
          <w:p>
            <w:pPr>
              <w:spacing w:line="240" w:lineRule="auto"/>
              <w:ind w:left="-101" w:leftChars="-42" w:right="-125" w:rightChars="-52"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F526</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rPr>
              <w:t>机动车燃料零售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占地面积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2977"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4000</w:t>
            </w:r>
          </w:p>
        </w:tc>
        <w:tc>
          <w:tcPr>
            <w:tcW w:w="1242"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绿化面积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总投资</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19"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eastAsia" w:cs="Times New Roman"/>
                <w:color w:val="auto"/>
                <w:sz w:val="21"/>
                <w:szCs w:val="21"/>
                <w:lang w:val="en-US" w:eastAsia="zh-CN"/>
              </w:rPr>
              <w:t>120</w:t>
            </w:r>
          </w:p>
        </w:tc>
        <w:tc>
          <w:tcPr>
            <w:tcW w:w="1258" w:type="dxa"/>
            <w:gridSpan w:val="3"/>
            <w:vAlign w:val="center"/>
          </w:tcPr>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其中：环保</w:t>
            </w:r>
          </w:p>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投资(万元)</w:t>
            </w:r>
          </w:p>
        </w:tc>
        <w:tc>
          <w:tcPr>
            <w:tcW w:w="1242"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62.02</w:t>
            </w:r>
          </w:p>
        </w:tc>
        <w:tc>
          <w:tcPr>
            <w:tcW w:w="1553" w:type="dxa"/>
            <w:gridSpan w:val="3"/>
            <w:vAlign w:val="center"/>
          </w:tcPr>
          <w:p>
            <w:pPr>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环保投资占总投资比例</w:t>
            </w:r>
          </w:p>
        </w:tc>
        <w:tc>
          <w:tcPr>
            <w:tcW w:w="1462" w:type="dxa"/>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评价经费</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78"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63" w:type="dxa"/>
            <w:gridSpan w:val="3"/>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预期投产</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日期</w:t>
            </w:r>
          </w:p>
        </w:tc>
        <w:tc>
          <w:tcPr>
            <w:tcW w:w="4093" w:type="dxa"/>
            <w:gridSpan w:val="5"/>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139" w:hRule="atLeast"/>
          <w:jc w:val="center"/>
        </w:trPr>
        <w:tc>
          <w:tcPr>
            <w:tcW w:w="8459" w:type="dxa"/>
            <w:gridSpan w:val="11"/>
          </w:tcPr>
          <w:p>
            <w:pPr>
              <w:spacing w:line="360" w:lineRule="auto"/>
              <w:ind w:firstLine="0" w:firstLineChars="0"/>
              <w:rPr>
                <w:b/>
                <w:bCs/>
              </w:rPr>
            </w:pPr>
            <w:r>
              <w:rPr>
                <w:b/>
                <w:bCs/>
              </w:rPr>
              <w:t>项目内容及规模</w:t>
            </w:r>
          </w:p>
          <w:p>
            <w:pPr>
              <w:spacing w:line="360" w:lineRule="auto"/>
              <w:ind w:firstLine="0" w:firstLineChars="0"/>
            </w:pPr>
            <w:r>
              <w:rPr>
                <w:b/>
                <w:bCs/>
              </w:rPr>
              <w:t>1</w:t>
            </w:r>
            <w:r>
              <w:rPr>
                <w:rFonts w:hint="eastAsia"/>
                <w:b/>
                <w:bCs/>
              </w:rPr>
              <w:t>、</w:t>
            </w:r>
            <w:r>
              <w:rPr>
                <w:b/>
                <w:bCs/>
              </w:rPr>
              <w:t>项目由来</w:t>
            </w:r>
          </w:p>
          <w:p>
            <w:pPr>
              <w:spacing w:line="360" w:lineRule="auto"/>
              <w:ind w:firstLine="480" w:firstLineChars="200"/>
              <w:rPr>
                <w:rFonts w:hint="eastAsia"/>
                <w:lang w:val="en-US" w:eastAsia="zh-CN"/>
              </w:rPr>
            </w:pPr>
            <w:r>
              <w:rPr>
                <w:rFonts w:hint="eastAsia"/>
                <w:lang w:eastAsia="zh-CN"/>
              </w:rPr>
              <w:t>根据《国家公路网规划（</w:t>
            </w:r>
            <w:r>
              <w:rPr>
                <w:rFonts w:hint="eastAsia"/>
                <w:lang w:val="en-US" w:eastAsia="zh-CN"/>
              </w:rPr>
              <w:t>2013-2030年</w:t>
            </w:r>
            <w:r>
              <w:rPr>
                <w:rFonts w:hint="eastAsia"/>
                <w:lang w:eastAsia="zh-CN"/>
              </w:rPr>
              <w:t>）》，郑州至石人山高速公路总里程</w:t>
            </w:r>
            <w:r>
              <w:rPr>
                <w:rFonts w:hint="eastAsia"/>
                <w:lang w:val="en-US" w:eastAsia="zh-CN"/>
              </w:rPr>
              <w:t>183.479km，本工程起于郑州市西南侯寨乡，经郑州市所辖二七区、新密市、新郑市，许昌市所辖长葛市、禹州市，平顶山市所辖郏县、宝丰县、新城区、鲁山县，最终在石人山风景名胜区上汤附近与国道G311线衔接。建设单位为河南省中原高速公路股份有限公司，项目于2005年12月取得了《河南省环境保护局关于《郑州至石人山高速公路环境影响报告书》的批复》（豫监环[2005]197号）。郑州至石人山高速公路的建设，对促进沿线经济发展及产业调整、自然资源开发、特色产业升级都具有重大意义。</w:t>
            </w:r>
          </w:p>
          <w:p>
            <w:pPr>
              <w:bidi w:val="0"/>
              <w:rPr>
                <w:rFonts w:hint="default"/>
                <w:lang w:val="en-US" w:eastAsia="zh-CN"/>
              </w:rPr>
            </w:pPr>
            <w:r>
              <w:rPr>
                <w:rFonts w:hint="eastAsia"/>
                <w:lang w:val="en-US" w:eastAsia="zh-CN"/>
              </w:rPr>
              <w:t>根据《郑州至石人山高速公路环境影响报告书》及其环境影响报告书批复（豫监环[2005]197号）中的相关内容，该报告书只明确了服务区内容，未对加油站的具体规模功能及其环境影响做相关评价。</w:t>
            </w:r>
            <w:r>
              <w:rPr>
                <w:rFonts w:hint="eastAsia"/>
                <w:b/>
                <w:bCs/>
                <w:u w:val="single"/>
                <w:lang w:eastAsia="zh-CN"/>
              </w:rPr>
              <w:t>现项目对加油站罐区、加油站</w:t>
            </w:r>
            <w:r>
              <w:rPr>
                <w:rFonts w:hint="eastAsia"/>
                <w:b/>
                <w:bCs/>
                <w:u w:val="single"/>
              </w:rPr>
              <w:t>罩棚等设施</w:t>
            </w:r>
            <w:r>
              <w:rPr>
                <w:rFonts w:hint="eastAsia"/>
                <w:b/>
                <w:bCs/>
                <w:u w:val="single"/>
                <w:lang w:eastAsia="zh-CN"/>
              </w:rPr>
              <w:t>进行整修扩建</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卧式储罐，且柴油储罐由</w:t>
            </w:r>
            <w:r>
              <w:rPr>
                <w:rFonts w:hint="default" w:ascii="Times New Roman" w:hAnsi="Times New Roman" w:cs="Times New Roman"/>
                <w:b/>
                <w:bCs/>
                <w:u w:val="single"/>
                <w:lang w:val="en-US" w:eastAsia="zh-CN"/>
              </w:rPr>
              <w:t>30m³更换为50m³</w:t>
            </w:r>
            <w:r>
              <w:rPr>
                <w:rFonts w:hint="eastAsia"/>
                <w:b/>
                <w:bCs/>
                <w:u w:val="single"/>
                <w:lang w:val="zh-CN"/>
              </w:rPr>
              <w:t>。根据环保要求应</w:t>
            </w:r>
            <w:r>
              <w:rPr>
                <w:rFonts w:hint="eastAsia"/>
                <w:b/>
                <w:bCs/>
                <w:u w:val="single"/>
                <w:lang w:val="en-US" w:eastAsia="zh-CN"/>
              </w:rPr>
              <w:t>对加油站的具体规模功能及其环境影响做相关评价。</w:t>
            </w:r>
            <w:r>
              <w:rPr>
                <w:rFonts w:hint="eastAsia"/>
                <w:lang w:val="zh-CN"/>
              </w:rPr>
              <w:t>同时项目已由</w:t>
            </w:r>
            <w:r>
              <w:rPr>
                <w:rFonts w:hint="eastAsia"/>
              </w:rPr>
              <w:t>鲁山县发展和改革委员会</w:t>
            </w:r>
            <w:r>
              <w:rPr>
                <w:rFonts w:hint="eastAsia"/>
                <w:lang w:val="zh-CN"/>
              </w:rPr>
              <w:t>备案，项目代码为</w:t>
            </w:r>
            <w:r>
              <w:rPr>
                <w:rFonts w:hint="eastAsia"/>
                <w:lang w:eastAsia="zh-CN"/>
              </w:rPr>
              <w:t>2020-410423-52-03-101096</w:t>
            </w:r>
            <w:r>
              <w:rPr>
                <w:rFonts w:hint="eastAsia"/>
                <w:lang w:val="zh-CN"/>
              </w:rPr>
              <w:t>。</w:t>
            </w:r>
          </w:p>
          <w:p>
            <w:pPr>
              <w:spacing w:line="360" w:lineRule="auto"/>
              <w:ind w:firstLine="600" w:firstLineChars="250"/>
            </w:pPr>
            <w:r>
              <w:rPr>
                <w:rFonts w:hint="eastAsia"/>
              </w:rPr>
              <w:t>根据《中华人民共和国环境影响评价法》、《建设项目环境保护管理条例》及《河南省建设项目环境保护条例》等法律、法规的规定及要求，该项目需进行环境影响评价。根据《建设项目环境影响评价分类管理名录》(</w:t>
            </w:r>
            <w:r>
              <w:rPr>
                <w:rFonts w:hint="default"/>
              </w:rPr>
              <w:t>2017年9月1日</w:t>
            </w:r>
            <w:r>
              <w:rPr>
                <w:rFonts w:hint="eastAsia"/>
              </w:rPr>
              <w:t>)，本项目属于“四十、社会事业与服务业124、加油、加气站”项目。根据管理名录要求，加油、加气站“</w:t>
            </w:r>
            <w:r>
              <w:rPr>
                <w:rFonts w:hint="eastAsia"/>
                <w:lang w:eastAsia="zh-CN"/>
              </w:rPr>
              <w:t>扩建</w:t>
            </w:r>
            <w:r>
              <w:rPr>
                <w:rFonts w:hint="eastAsia"/>
              </w:rPr>
              <w:t>”，全部编制环境影响报告表。因此，本项目应编制环境影响报告表。</w:t>
            </w:r>
          </w:p>
          <w:p>
            <w:pPr>
              <w:spacing w:line="360" w:lineRule="auto"/>
              <w:ind w:firstLine="480" w:firstLineChars="200"/>
            </w:pPr>
            <w:r>
              <w:t>受</w:t>
            </w:r>
            <w:r>
              <w:rPr>
                <w:rFonts w:hint="eastAsia"/>
                <w:lang w:eastAsia="zh-CN"/>
              </w:rPr>
              <w:t>河南高速能源有限责任公司</w:t>
            </w:r>
            <w:r>
              <w:t>委托</w:t>
            </w:r>
            <w:r>
              <w:rPr>
                <w:rFonts w:hint="eastAsia"/>
              </w:rPr>
              <w:t>（委托书见附件一）</w:t>
            </w:r>
            <w:r>
              <w:t>，我单位承担了本项目的环境影响评价工作。接受委托后，组织有关技术人员，在现场踏勘、资料收集、调查研究和征求当地环保部门</w:t>
            </w:r>
            <w:r>
              <w:rPr>
                <w:rFonts w:hint="eastAsia"/>
              </w:rPr>
              <w:t>意见</w:t>
            </w:r>
            <w:r>
              <w:t>的基础上，本着</w:t>
            </w:r>
            <w:r>
              <w:rPr>
                <w:rFonts w:hint="eastAsia"/>
              </w:rPr>
              <w:t>“</w:t>
            </w:r>
            <w:r>
              <w:t>科学、公正、客观、严谨</w:t>
            </w:r>
            <w:r>
              <w:rPr>
                <w:rFonts w:hint="eastAsia"/>
              </w:rPr>
              <w:t>”</w:t>
            </w:r>
            <w:r>
              <w:t>的态度，并结合本</w:t>
            </w:r>
            <w:r>
              <w:rPr>
                <w:rFonts w:hint="eastAsia"/>
              </w:rPr>
              <w:t>项目</w:t>
            </w:r>
            <w:r>
              <w:t>有关资料，编制了本项目的环境影响报告表。</w:t>
            </w:r>
          </w:p>
          <w:p>
            <w:pPr>
              <w:bidi w:val="0"/>
              <w:ind w:left="0" w:leftChars="0" w:firstLine="0" w:firstLineChars="0"/>
              <w:rPr>
                <w:rFonts w:hint="eastAsia"/>
                <w:lang w:val="en-US" w:eastAsia="zh-CN"/>
              </w:rPr>
            </w:pPr>
            <w:r>
              <w:rPr>
                <w:rFonts w:hint="eastAsia"/>
                <w:b/>
                <w:bCs/>
                <w:lang w:val="en-US" w:eastAsia="zh-CN"/>
              </w:rPr>
              <w:t>2、建设场地及内容</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rPr>
            </w:pPr>
            <w:r>
              <w:rPr>
                <w:rFonts w:hint="eastAsia"/>
                <w:lang w:eastAsia="zh-CN"/>
              </w:rPr>
              <w:t>河南高速能源有限责任公司鲁山经营部石人山服务区北加油站位于郑州至石人山高速公路南侧石人山北服务区内，企业法人张旭光。</w:t>
            </w:r>
            <w:r>
              <w:rPr>
                <w:rFonts w:hint="eastAsia"/>
              </w:rPr>
              <w:t>项目地理位置图见附图一，项目周边环境示意图见附图二，项目平面布置见附图三，主要构筑物见表</w:t>
            </w:r>
            <w:r>
              <w:rPr>
                <w:rFonts w:hint="default"/>
              </w:rPr>
              <w:t>1</w:t>
            </w:r>
            <w:r>
              <w:rPr>
                <w:rFonts w:hint="eastAsia"/>
              </w:rPr>
              <w:t>。</w:t>
            </w:r>
          </w:p>
          <w:p>
            <w:pPr>
              <w:keepNext w:val="0"/>
              <w:keepLines w:val="0"/>
              <w:suppressLineNumbers w:val="0"/>
              <w:spacing w:before="0" w:beforeAutospacing="0" w:after="0" w:afterAutospacing="0" w:line="240" w:lineRule="auto"/>
              <w:ind w:left="0" w:right="0" w:firstLine="482" w:firstLineChars="200"/>
              <w:jc w:val="center"/>
              <w:rPr>
                <w:rFonts w:hint="default"/>
              </w:rPr>
            </w:pPr>
            <w:r>
              <w:rPr>
                <w:rFonts w:hint="eastAsia"/>
                <w:b/>
                <w:bCs/>
              </w:rPr>
              <w:t>表</w:t>
            </w:r>
            <w:r>
              <w:rPr>
                <w:rFonts w:hint="default"/>
                <w:b/>
                <w:bCs/>
              </w:rPr>
              <w:t xml:space="preserve">1        </w:t>
            </w:r>
            <w:r>
              <w:rPr>
                <w:rFonts w:hint="eastAsia"/>
                <w:b/>
                <w:bCs/>
              </w:rPr>
              <w:t>主要</w:t>
            </w:r>
            <w:r>
              <w:rPr>
                <w:rFonts w:hint="eastAsia"/>
                <w:b/>
                <w:bCs/>
                <w:lang w:eastAsia="zh-CN"/>
              </w:rPr>
              <w:t>建设内容</w:t>
            </w:r>
            <w:r>
              <w:rPr>
                <w:rFonts w:hint="eastAsia"/>
                <w:b/>
                <w:bCs/>
              </w:rPr>
              <w:t>一览表</w:t>
            </w:r>
          </w:p>
          <w:tbl>
            <w:tblPr>
              <w:tblStyle w:val="22"/>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741"/>
              <w:gridCol w:w="1358"/>
              <w:gridCol w:w="3922"/>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44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内容</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lang w:eastAsia="zh-CN"/>
                    </w:rPr>
                    <w:t>工程</w:t>
                  </w:r>
                  <w:r>
                    <w:rPr>
                      <w:rFonts w:hint="default"/>
                    </w:rPr>
                    <w:t>名称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建设内容</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rPr>
                  </w:pPr>
                  <w:r>
                    <w:rPr>
                      <w:rFonts w:hint="default"/>
                    </w:rPr>
                    <w:t>主体工程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加油罩棚</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val="en-US" w:eastAsia="zh-CN"/>
                    </w:rPr>
                  </w:pPr>
                  <w:r>
                    <w:rPr>
                      <w:rFonts w:hint="default"/>
                      <w:lang w:val="en-US" w:eastAsia="zh-CN"/>
                    </w:rPr>
                    <w:t>1座，1层，</w:t>
                  </w:r>
                  <w:r>
                    <w:rPr>
                      <w:rFonts w:hint="default"/>
                    </w:rPr>
                    <w:t>占地面积</w:t>
                  </w:r>
                  <w:r>
                    <w:rPr>
                      <w:rFonts w:hint="eastAsia"/>
                      <w:lang w:val="en-US" w:eastAsia="zh-CN"/>
                    </w:rPr>
                    <w:t>1200</w:t>
                  </w:r>
                  <w:r>
                    <w:rPr>
                      <w:rFonts w:hint="default"/>
                      <w:lang w:eastAsia="zh-CN"/>
                    </w:rPr>
                    <w:t>m²</w:t>
                  </w:r>
                  <w:r>
                    <w:rPr>
                      <w:rFonts w:hint="default"/>
                    </w:rPr>
                    <w:t>（</w:t>
                  </w:r>
                </w:p>
              </w:tc>
              <w:tc>
                <w:tcPr>
                  <w:tcW w:w="1090" w:type="dxa"/>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eastAsia"/>
                      <w:lang w:eastAsia="zh-CN"/>
                    </w:rPr>
                    <w:t>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eastAsia"/>
                    </w:rPr>
                    <w:t>埋地卧式油罐区</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eastAsia"/>
                      <w:lang w:val="en-US" w:eastAsia="zh-CN"/>
                    </w:rPr>
                    <w:t>3</w:t>
                  </w:r>
                  <w:r>
                    <w:rPr>
                      <w:rFonts w:hint="eastAsia"/>
                    </w:rPr>
                    <w:t>个30m3</w:t>
                  </w:r>
                  <w:r>
                    <w:rPr>
                      <w:rFonts w:hint="eastAsia"/>
                      <w:lang w:eastAsia="zh-CN"/>
                    </w:rPr>
                    <w:t>汽</w:t>
                  </w:r>
                  <w:r>
                    <w:rPr>
                      <w:rFonts w:hint="eastAsia"/>
                    </w:rPr>
                    <w:t>油罐，</w:t>
                  </w:r>
                  <w:r>
                    <w:rPr>
                      <w:rFonts w:hint="eastAsia"/>
                      <w:lang w:val="en-US" w:eastAsia="zh-CN"/>
                    </w:rPr>
                    <w:t>3</w:t>
                  </w:r>
                  <w:r>
                    <w:rPr>
                      <w:rFonts w:hint="eastAsia"/>
                    </w:rPr>
                    <w:t>个</w:t>
                  </w:r>
                  <w:r>
                    <w:rPr>
                      <w:rFonts w:hint="eastAsia"/>
                      <w:lang w:val="en-US" w:eastAsia="zh-CN"/>
                    </w:rPr>
                    <w:t>50</w:t>
                  </w:r>
                  <w:r>
                    <w:rPr>
                      <w:rFonts w:hint="eastAsia"/>
                    </w:rPr>
                    <w:t>m3</w:t>
                  </w:r>
                  <w:r>
                    <w:rPr>
                      <w:rFonts w:hint="eastAsia"/>
                      <w:lang w:eastAsia="zh-CN"/>
                    </w:rPr>
                    <w:t>柴</w:t>
                  </w:r>
                  <w:r>
                    <w:rPr>
                      <w:rFonts w:hint="eastAsia"/>
                    </w:rPr>
                    <w:t>油罐，油罐总容积为</w:t>
                  </w:r>
                  <w:r>
                    <w:rPr>
                      <w:rFonts w:hint="eastAsia"/>
                      <w:lang w:val="en-US" w:eastAsia="zh-CN"/>
                    </w:rPr>
                    <w:t>165</w:t>
                  </w:r>
                  <w:r>
                    <w:rPr>
                      <w:rFonts w:hint="eastAsia"/>
                    </w:rPr>
                    <w:t>m</w:t>
                  </w:r>
                  <w:r>
                    <w:rPr>
                      <w:rFonts w:hint="eastAsia"/>
                      <w:vertAlign w:val="superscript"/>
                    </w:rPr>
                    <w:t>3</w:t>
                  </w:r>
                </w:p>
              </w:tc>
              <w:tc>
                <w:tcPr>
                  <w:tcW w:w="1090" w:type="dxa"/>
                  <w:tcBorders>
                    <w:left w:val="single" w:color="auto" w:sz="4" w:space="0"/>
                    <w:right w:val="single" w:color="auto" w:sz="4" w:space="0"/>
                  </w:tcBorders>
                  <w:shd w:val="clear" w:color="auto" w:fill="auto"/>
                  <w:vAlign w:val="center"/>
                </w:tcPr>
                <w:p>
                  <w:pPr>
                    <w:pStyle w:val="11"/>
                    <w:bidi w:val="0"/>
                    <w:jc w:val="center"/>
                    <w:rPr>
                      <w:rFonts w:hint="eastAsia"/>
                      <w:lang w:eastAsia="zh-CN"/>
                    </w:rPr>
                  </w:pPr>
                  <w:r>
                    <w:rPr>
                      <w:rFonts w:hint="eastAsia"/>
                      <w:lang w:eastAsia="zh-CN"/>
                    </w:rPr>
                    <w:t>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restart"/>
                  <w:tcBorders>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公用工程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供水工程</w:t>
                  </w:r>
                </w:p>
              </w:tc>
              <w:tc>
                <w:tcPr>
                  <w:tcW w:w="3922" w:type="dxa"/>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eastAsia"/>
                      <w:lang w:eastAsia="zh-CN"/>
                    </w:rPr>
                    <w:t>服务区供水</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供电工程</w:t>
                  </w:r>
                </w:p>
              </w:tc>
              <w:tc>
                <w:tcPr>
                  <w:tcW w:w="3922" w:type="dxa"/>
                  <w:tcBorders>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eastAsia"/>
                      <w:lang w:eastAsia="zh-CN"/>
                    </w:rPr>
                    <w:t>城乡</w:t>
                  </w:r>
                  <w:r>
                    <w:rPr>
                      <w:rFonts w:hint="default"/>
                      <w:lang w:eastAsia="zh-CN"/>
                    </w:rPr>
                    <w:t>电网</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lang w:val="en-US" w:eastAsia="zh-CN"/>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rPr>
                  </w:pPr>
                  <w:r>
                    <w:rPr>
                      <w:rFonts w:hint="default"/>
                    </w:rPr>
                    <w:t>辅助工程</w:t>
                  </w:r>
                </w:p>
              </w:tc>
              <w:tc>
                <w:tcPr>
                  <w:tcW w:w="741"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rPr>
                  </w:pPr>
                  <w:r>
                    <w:rPr>
                      <w:rFonts w:hint="default"/>
                    </w:rPr>
                    <w:t>站房</w:t>
                  </w: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配电室</w:t>
                  </w:r>
                </w:p>
              </w:tc>
              <w:tc>
                <w:tcPr>
                  <w:tcW w:w="3922"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rPr>
                  </w:pPr>
                  <w:r>
                    <w:rPr>
                      <w:rFonts w:hint="default"/>
                      <w:lang w:val="en-US" w:eastAsia="zh-CN"/>
                    </w:rPr>
                    <w:t>1座，1</w:t>
                  </w:r>
                  <w:r>
                    <w:rPr>
                      <w:rFonts w:hint="default"/>
                    </w:rPr>
                    <w:t>层砖混结构，</w:t>
                  </w:r>
                </w:p>
                <w:p>
                  <w:pPr>
                    <w:pStyle w:val="11"/>
                    <w:bidi w:val="0"/>
                    <w:jc w:val="center"/>
                    <w:rPr>
                      <w:rFonts w:hint="default"/>
                    </w:rPr>
                  </w:pPr>
                  <w:r>
                    <w:rPr>
                      <w:rFonts w:hint="default"/>
                      <w:lang w:eastAsia="zh-CN"/>
                    </w:rPr>
                    <w:t>建筑</w:t>
                  </w:r>
                  <w:r>
                    <w:rPr>
                      <w:rFonts w:hint="default"/>
                    </w:rPr>
                    <w:t>面积</w:t>
                  </w:r>
                  <w:r>
                    <w:rPr>
                      <w:rFonts w:hint="eastAsia"/>
                      <w:lang w:val="en-US" w:eastAsia="zh-CN"/>
                    </w:rPr>
                    <w:t>300</w:t>
                  </w:r>
                  <w:r>
                    <w:rPr>
                      <w:rFonts w:hint="default"/>
                      <w:lang w:eastAsia="zh-CN"/>
                    </w:rPr>
                    <w:t>m²</w:t>
                  </w:r>
                </w:p>
              </w:tc>
              <w:tc>
                <w:tcPr>
                  <w:tcW w:w="1090" w:type="dxa"/>
                  <w:vMerge w:val="restart"/>
                  <w:tcBorders>
                    <w:left w:val="single" w:color="auto" w:sz="4" w:space="0"/>
                    <w:right w:val="single" w:color="auto" w:sz="4" w:space="0"/>
                  </w:tcBorders>
                  <w:shd w:val="clear" w:color="auto" w:fill="auto"/>
                  <w:vAlign w:val="center"/>
                </w:tcPr>
                <w:p>
                  <w:pPr>
                    <w:pStyle w:val="11"/>
                    <w:bidi w:val="0"/>
                    <w:jc w:val="center"/>
                    <w:rPr>
                      <w:rFonts w:hint="eastAsia"/>
                      <w:lang w:eastAsia="zh-CN"/>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值班室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综合办公室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储藏室</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rPr>
                    <w:t>卫生间</w:t>
                  </w:r>
                </w:p>
              </w:tc>
              <w:tc>
                <w:tcPr>
                  <w:tcW w:w="3922"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rPr>
                  </w:pPr>
                  <w:r>
                    <w:rPr>
                      <w:rFonts w:hint="default"/>
                    </w:rPr>
                    <w:t>环保工程</w:t>
                  </w: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废气治理措施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rPr>
                    <w:t>油罐配备</w:t>
                  </w:r>
                  <w:r>
                    <w:rPr>
                      <w:rFonts w:hint="default"/>
                      <w:lang w:eastAsia="zh-CN"/>
                    </w:rPr>
                    <w:t>一套</w:t>
                  </w:r>
                  <w:r>
                    <w:rPr>
                      <w:rFonts w:hint="default"/>
                    </w:rPr>
                    <w:t>油气一次回收系统，油枪配备</w:t>
                  </w:r>
                  <w:r>
                    <w:rPr>
                      <w:rFonts w:hint="default"/>
                      <w:lang w:eastAsia="zh-CN"/>
                    </w:rPr>
                    <w:t>一套</w:t>
                  </w:r>
                  <w:r>
                    <w:rPr>
                      <w:rFonts w:hint="default"/>
                    </w:rPr>
                    <w:t>油气二次回收系统</w:t>
                  </w:r>
                </w:p>
              </w:tc>
              <w:tc>
                <w:tcPr>
                  <w:tcW w:w="1090" w:type="dxa"/>
                  <w:tcBorders>
                    <w:left w:val="single" w:color="auto" w:sz="4" w:space="0"/>
                    <w:right w:val="single" w:color="auto" w:sz="4" w:space="0"/>
                  </w:tcBorders>
                  <w:shd w:val="clear" w:color="auto" w:fill="auto"/>
                  <w:vAlign w:val="center"/>
                </w:tcPr>
                <w:p>
                  <w:pPr>
                    <w:pStyle w:val="11"/>
                    <w:bidi w:val="0"/>
                    <w:jc w:val="center"/>
                    <w:rPr>
                      <w:rFonts w:hint="eastAsia"/>
                      <w:lang w:eastAsia="zh-CN"/>
                    </w:rPr>
                  </w:pPr>
                  <w:r>
                    <w:rPr>
                      <w:rFonts w:hint="eastAsia"/>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废水治理措施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val="en-US" w:eastAsia="zh-CN"/>
                    </w:rPr>
                  </w:pPr>
                  <w:r>
                    <w:rPr>
                      <w:rFonts w:hint="eastAsia"/>
                      <w:lang w:val="en-US" w:eastAsia="zh-CN"/>
                    </w:rPr>
                    <w:t>依托服务区生活污水处理站</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rPr>
                  </w:pPr>
                  <w:r>
                    <w:rPr>
                      <w:rFonts w:hint="eastAsia"/>
                      <w:lang w:eastAsia="zh-CN"/>
                    </w:rPr>
                    <w:t>依托服务区生活污水处理站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rPr>
                  </w:pPr>
                  <w:r>
                    <w:rPr>
                      <w:rFonts w:hint="default"/>
                      <w:lang w:eastAsia="zh-CN"/>
                    </w:rPr>
                    <w:t>噪声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站内绿化，加强设备管理</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rPr>
                  </w:pPr>
                  <w:r>
                    <w:rPr>
                      <w:rFonts w:hint="eastAsia"/>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固废处置措施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default"/>
                      <w:lang w:eastAsia="zh-CN"/>
                    </w:rPr>
                    <w:t>生活垃圾收集后交由环卫部门处理；</w:t>
                  </w:r>
                </w:p>
                <w:p>
                  <w:pPr>
                    <w:pStyle w:val="11"/>
                    <w:bidi w:val="0"/>
                    <w:jc w:val="center"/>
                    <w:rPr>
                      <w:rFonts w:hint="default"/>
                      <w:lang w:eastAsia="zh-CN"/>
                    </w:rPr>
                  </w:pPr>
                  <w:r>
                    <w:rPr>
                      <w:rFonts w:hint="default"/>
                      <w:lang w:eastAsia="zh-CN"/>
                    </w:rPr>
                    <w:t>油罐油泥委托有资质单位定期清理处置</w:t>
                  </w:r>
                  <w:r>
                    <w:rPr>
                      <w:rFonts w:hint="eastAsia"/>
                      <w:lang w:eastAsia="zh-CN"/>
                    </w:rPr>
                    <w:t>，即产即运，不在厂区暂存</w:t>
                  </w:r>
                </w:p>
              </w:tc>
              <w:tc>
                <w:tcPr>
                  <w:tcW w:w="1090" w:type="dxa"/>
                  <w:tcBorders>
                    <w:left w:val="single" w:color="auto" w:sz="4" w:space="0"/>
                    <w:right w:val="single" w:color="auto" w:sz="4" w:space="0"/>
                  </w:tcBorders>
                  <w:shd w:val="clear" w:color="auto" w:fill="auto"/>
                  <w:vAlign w:val="center"/>
                </w:tcPr>
                <w:p>
                  <w:pPr>
                    <w:pStyle w:val="11"/>
                    <w:bidi w:val="0"/>
                    <w:jc w:val="center"/>
                    <w:rPr>
                      <w:rFonts w:hint="default"/>
                    </w:rPr>
                  </w:pPr>
                  <w:r>
                    <w:rPr>
                      <w:rFonts w:hint="eastAsia"/>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1"/>
                    <w:bidi w:val="0"/>
                    <w:jc w:val="center"/>
                    <w:rPr>
                      <w:rFonts w:hint="default"/>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1"/>
                    <w:bidi w:val="0"/>
                    <w:jc w:val="center"/>
                    <w:rPr>
                      <w:rFonts w:hint="default"/>
                      <w:lang w:eastAsia="zh-CN"/>
                    </w:rPr>
                  </w:pPr>
                  <w:r>
                    <w:rPr>
                      <w:rFonts w:hint="eastAsia"/>
                    </w:rPr>
                    <w:t>防渗措施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bidi w:val="0"/>
                    <w:jc w:val="center"/>
                    <w:rPr>
                      <w:rFonts w:hint="default"/>
                      <w:lang w:eastAsia="zh-CN"/>
                    </w:rPr>
                  </w:pPr>
                  <w:r>
                    <w:rPr>
                      <w:rFonts w:hint="eastAsia"/>
                    </w:rPr>
                    <w:t>地埋油罐灌区等区域防渗</w:t>
                  </w:r>
                </w:p>
              </w:tc>
              <w:tc>
                <w:tcPr>
                  <w:tcW w:w="1090" w:type="dxa"/>
                  <w:tcBorders>
                    <w:left w:val="single" w:color="auto" w:sz="4" w:space="0"/>
                    <w:right w:val="single" w:color="auto" w:sz="4" w:space="0"/>
                  </w:tcBorders>
                  <w:shd w:val="clear" w:color="auto" w:fill="auto"/>
                  <w:vAlign w:val="center"/>
                </w:tcPr>
                <w:p>
                  <w:pPr>
                    <w:pStyle w:val="11"/>
                    <w:bidi w:val="0"/>
                    <w:jc w:val="center"/>
                    <w:rPr>
                      <w:rFonts w:hint="eastAsia"/>
                      <w:lang w:eastAsia="zh-CN"/>
                    </w:rPr>
                  </w:pPr>
                  <w:r>
                    <w:rPr>
                      <w:rFonts w:hint="eastAsia"/>
                    </w:rPr>
                    <w:t>新建</w:t>
                  </w:r>
                </w:p>
              </w:tc>
            </w:tr>
          </w:tbl>
          <w:p>
            <w:pPr>
              <w:spacing w:line="360" w:lineRule="auto"/>
              <w:ind w:firstLine="0" w:firstLineChars="0"/>
              <w:rPr>
                <w:rFonts w:hint="eastAsia"/>
                <w:lang w:val="en-US" w:eastAsia="zh-CN"/>
              </w:rPr>
            </w:pPr>
            <w:r>
              <w:rPr>
                <w:rFonts w:hint="eastAsia"/>
                <w:b/>
                <w:bCs/>
                <w:lang w:val="en-US" w:eastAsia="zh-CN"/>
              </w:rPr>
              <w:t>3、建设规模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rPr>
            </w:pPr>
            <w:r>
              <w:rPr>
                <w:rFonts w:hint="default"/>
              </w:rPr>
              <w:t>本项目为机动车燃料油零售项目，主要销售92#、95#和0#柴油，设</w:t>
            </w:r>
            <w:r>
              <w:rPr>
                <w:rFonts w:hint="eastAsia"/>
                <w:lang w:val="en-US" w:eastAsia="zh-CN"/>
              </w:rPr>
              <w:t>6</w:t>
            </w:r>
            <w:r>
              <w:rPr>
                <w:rFonts w:hint="default"/>
              </w:rPr>
              <w:t>个地埋式</w:t>
            </w:r>
            <w:r>
              <w:rPr>
                <w:rFonts w:hint="default"/>
                <w:lang w:val="en-US" w:eastAsia="zh-CN"/>
              </w:rPr>
              <w:t>S/F双层</w:t>
            </w:r>
            <w:r>
              <w:rPr>
                <w:rFonts w:hint="default"/>
              </w:rPr>
              <w:t>油罐，其中</w:t>
            </w:r>
            <w:r>
              <w:rPr>
                <w:rFonts w:hint="default"/>
                <w:lang w:val="en-US" w:eastAsia="zh-CN"/>
              </w:rPr>
              <w:t>3</w:t>
            </w:r>
            <w:r>
              <w:rPr>
                <w:rFonts w:hint="default"/>
              </w:rPr>
              <w:t>个汽油罐、</w:t>
            </w:r>
            <w:r>
              <w:rPr>
                <w:rFonts w:hint="eastAsia"/>
                <w:lang w:val="en-US" w:eastAsia="zh-CN"/>
              </w:rPr>
              <w:t>3</w:t>
            </w:r>
            <w:r>
              <w:rPr>
                <w:rFonts w:hint="default"/>
              </w:rPr>
              <w:t>个柴油罐，单个</w:t>
            </w:r>
            <w:r>
              <w:rPr>
                <w:rFonts w:hint="eastAsia"/>
                <w:lang w:eastAsia="zh-CN"/>
              </w:rPr>
              <w:t>汽油</w:t>
            </w:r>
            <w:r>
              <w:rPr>
                <w:rFonts w:hint="default"/>
              </w:rPr>
              <w:t>罐</w:t>
            </w:r>
            <w:r>
              <w:rPr>
                <w:rFonts w:hint="eastAsia"/>
                <w:lang w:eastAsia="zh-CN"/>
              </w:rPr>
              <w:t>容积</w:t>
            </w:r>
            <w:r>
              <w:rPr>
                <w:rFonts w:hint="default"/>
              </w:rPr>
              <w:t>为</w:t>
            </w:r>
            <w:r>
              <w:rPr>
                <w:rFonts w:hint="eastAsia"/>
                <w:lang w:val="en-US" w:eastAsia="zh-CN"/>
              </w:rPr>
              <w:t>30</w:t>
            </w:r>
            <w:r>
              <w:rPr>
                <w:rFonts w:hint="default"/>
                <w:lang w:eastAsia="zh-CN"/>
              </w:rPr>
              <w:t>m³</w:t>
            </w:r>
            <w:r>
              <w:rPr>
                <w:rFonts w:hint="default"/>
              </w:rPr>
              <w:t>，</w:t>
            </w:r>
            <w:r>
              <w:rPr>
                <w:rFonts w:hint="eastAsia"/>
                <w:lang w:eastAsia="zh-CN"/>
              </w:rPr>
              <w:t>单个柴油罐为</w:t>
            </w:r>
            <w:r>
              <w:rPr>
                <w:rFonts w:hint="eastAsia"/>
                <w:lang w:val="en-US" w:eastAsia="zh-CN"/>
              </w:rPr>
              <w:t>50</w:t>
            </w:r>
            <w:r>
              <w:rPr>
                <w:rFonts w:hint="default"/>
                <w:lang w:eastAsia="zh-CN"/>
              </w:rPr>
              <w:t>m³</w:t>
            </w:r>
            <w:r>
              <w:rPr>
                <w:rFonts w:hint="eastAsia"/>
                <w:lang w:eastAsia="zh-CN"/>
              </w:rPr>
              <w:t>，</w:t>
            </w:r>
            <w:r>
              <w:rPr>
                <w:rFonts w:hint="default"/>
              </w:rPr>
              <w:t>根据《汽车加油加气站设计与施工规范》（GB50156-2012），本项目油罐总容积为</w:t>
            </w:r>
            <w:r>
              <w:rPr>
                <w:rFonts w:hint="eastAsia"/>
                <w:lang w:val="en-US" w:eastAsia="zh-CN"/>
              </w:rPr>
              <w:t>165</w:t>
            </w:r>
            <w:r>
              <w:rPr>
                <w:rFonts w:hint="default"/>
                <w:lang w:eastAsia="zh-CN"/>
              </w:rPr>
              <w:t>m³</w:t>
            </w:r>
            <w:r>
              <w:rPr>
                <w:rFonts w:hint="default"/>
              </w:rPr>
              <w:t>（其中柴油罐容积折半计入油罐总容积），且单罐罐容≤50</w:t>
            </w:r>
            <w:r>
              <w:rPr>
                <w:rFonts w:hint="default"/>
                <w:lang w:eastAsia="zh-CN"/>
              </w:rPr>
              <w:t>m³</w:t>
            </w:r>
            <w:r>
              <w:rPr>
                <w:rFonts w:hint="default"/>
              </w:rPr>
              <w:t>，则本项目为</w:t>
            </w:r>
            <w:r>
              <w:rPr>
                <w:rFonts w:hint="eastAsia"/>
                <w:lang w:eastAsia="zh-CN"/>
              </w:rPr>
              <w:t>一</w:t>
            </w:r>
            <w:r>
              <w:rPr>
                <w:rFonts w:hint="default"/>
              </w:rPr>
              <w:t>级加油站，加油站的等级划分见下表。</w:t>
            </w:r>
          </w:p>
          <w:p>
            <w:pPr>
              <w:keepNext w:val="0"/>
              <w:keepLines w:val="0"/>
              <w:suppressLineNumbers w:val="0"/>
              <w:spacing w:before="0" w:beforeAutospacing="0" w:after="0" w:afterAutospacing="0"/>
              <w:ind w:left="0" w:right="0" w:firstLine="482" w:firstLineChars="200"/>
              <w:jc w:val="center"/>
              <w:rPr>
                <w:rFonts w:hint="default"/>
              </w:rPr>
            </w:pPr>
            <w:r>
              <w:rPr>
                <w:rFonts w:hint="eastAsia"/>
                <w:b/>
                <w:bCs/>
              </w:rPr>
              <w:t>表</w:t>
            </w:r>
            <w:r>
              <w:rPr>
                <w:rFonts w:hint="default"/>
                <w:b/>
                <w:bCs/>
              </w:rPr>
              <w:t xml:space="preserve">2            </w:t>
            </w:r>
            <w:r>
              <w:rPr>
                <w:rFonts w:hint="eastAsia"/>
                <w:b/>
                <w:bCs/>
              </w:rPr>
              <w:t>加油站等级划分一览表</w:t>
            </w:r>
          </w:p>
          <w:tbl>
            <w:tblPr>
              <w:tblStyle w:val="22"/>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3416"/>
              <w:gridCol w:w="3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88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级别</w:t>
                  </w:r>
                </w:p>
              </w:tc>
              <w:tc>
                <w:tcPr>
                  <w:tcW w:w="68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油罐容积（</w:t>
                  </w:r>
                  <w:r>
                    <w:rPr>
                      <w:rFonts w:hint="eastAsia"/>
                      <w:sz w:val="21"/>
                      <w:szCs w:val="21"/>
                      <w:lang w:eastAsia="zh-CN"/>
                    </w:rPr>
                    <w:t>m³</w:t>
                  </w: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sz w:val="21"/>
                      <w:szCs w:val="21"/>
                    </w:rPr>
                  </w:pP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总容积</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单罐容积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一级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lang w:val="en-US" w:eastAsia="zh-CN"/>
                    </w:rPr>
                    <w:t>150</w:t>
                  </w:r>
                  <w:r>
                    <w:rPr>
                      <w:rFonts w:hint="default"/>
                      <w:sz w:val="21"/>
                      <w:szCs w:val="21"/>
                    </w:rPr>
                    <w:t>＜V≤210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二级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lang w:val="en-US" w:eastAsia="zh-CN"/>
                    </w:rPr>
                  </w:pPr>
                  <w:r>
                    <w:rPr>
                      <w:rFonts w:hint="default"/>
                      <w:sz w:val="21"/>
                      <w:szCs w:val="21"/>
                    </w:rPr>
                    <w:t>90＜V≤</w:t>
                  </w:r>
                  <w:r>
                    <w:rPr>
                      <w:rFonts w:hint="eastAsia"/>
                      <w:sz w:val="21"/>
                      <w:szCs w:val="21"/>
                      <w:lang w:val="en-US" w:eastAsia="zh-CN"/>
                    </w:rPr>
                    <w:t>150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三级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V≤90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汽油罐</w:t>
                  </w:r>
                  <w:r>
                    <w:rPr>
                      <w:rFonts w:hint="default"/>
                      <w:sz w:val="21"/>
                      <w:szCs w:val="21"/>
                    </w:rPr>
                    <w:t>≤30</w:t>
                  </w:r>
                  <w:r>
                    <w:rPr>
                      <w:rFonts w:hint="eastAsia"/>
                      <w:sz w:val="21"/>
                      <w:szCs w:val="21"/>
                    </w:rPr>
                    <w:t>，柴油罐</w:t>
                  </w:r>
                  <w:r>
                    <w:rPr>
                      <w:rFonts w:hint="default"/>
                      <w:sz w:val="21"/>
                      <w:szCs w:val="21"/>
                    </w:rPr>
                    <w:t>≤50</w:t>
                  </w:r>
                </w:p>
              </w:tc>
            </w:tr>
          </w:tbl>
          <w:p>
            <w:pPr>
              <w:keepNext w:val="0"/>
              <w:keepLines w:val="0"/>
              <w:widowControl/>
              <w:suppressLineNumbers w:val="0"/>
              <w:spacing w:before="0" w:beforeAutospacing="0" w:after="0" w:afterAutospacing="0" w:line="20" w:lineRule="exact"/>
              <w:ind w:left="0" w:right="0"/>
              <w:jc w:val="left"/>
              <w:rPr>
                <w:rFonts w:hint="default"/>
              </w:rPr>
            </w:pPr>
          </w:p>
          <w:p>
            <w:pPr>
              <w:keepNext w:val="0"/>
              <w:keepLines w:val="0"/>
              <w:widowControl/>
              <w:suppressLineNumbers w:val="0"/>
              <w:spacing w:before="0" w:beforeAutospacing="0" w:after="0" w:afterAutospacing="0" w:line="20" w:lineRule="exact"/>
              <w:ind w:left="0" w:right="0"/>
              <w:jc w:val="left"/>
              <w:rPr>
                <w:rFonts w:hint="default"/>
              </w:rPr>
            </w:pPr>
          </w:p>
          <w:p>
            <w:pPr>
              <w:keepNext w:val="0"/>
              <w:keepLines w:val="0"/>
              <w:widowControl/>
              <w:suppressLineNumbers w:val="0"/>
              <w:adjustRightInd w:val="0"/>
              <w:snapToGrid w:val="0"/>
              <w:spacing w:before="0" w:beforeAutospacing="0" w:after="0" w:afterAutospacing="0" w:line="360" w:lineRule="auto"/>
              <w:ind w:left="0" w:right="0"/>
              <w:jc w:val="left"/>
              <w:rPr>
                <w:rFonts w:hint="eastAsia"/>
              </w:rPr>
            </w:pPr>
            <w:r>
              <w:rPr>
                <w:rFonts w:hint="eastAsia"/>
              </w:rPr>
              <w:t>注：柴油罐容积可折半计入油罐总容积。</w:t>
            </w:r>
          </w:p>
          <w:p>
            <w:pPr>
              <w:keepNext w:val="0"/>
              <w:keepLines w:val="0"/>
              <w:suppressLineNumbers w:val="0"/>
              <w:adjustRightInd w:val="0"/>
              <w:spacing w:before="0" w:beforeAutospacing="0" w:after="0" w:afterAutospacing="0" w:line="360" w:lineRule="auto"/>
              <w:ind w:left="0" w:right="0" w:firstLine="0" w:firstLineChars="0"/>
              <w:rPr>
                <w:rFonts w:hint="default"/>
              </w:rPr>
            </w:pPr>
            <w:r>
              <w:rPr>
                <w:rFonts w:hint="default"/>
                <w:b/>
                <w:bCs/>
              </w:rPr>
              <w:t>4</w:t>
            </w:r>
            <w:r>
              <w:rPr>
                <w:rFonts w:hint="eastAsia"/>
                <w:b/>
                <w:bCs/>
                <w:lang w:eastAsia="zh-CN"/>
              </w:rPr>
              <w:t>、</w:t>
            </w:r>
            <w:r>
              <w:rPr>
                <w:rFonts w:hint="eastAsia"/>
                <w:b/>
                <w:bCs/>
              </w:rPr>
              <w:t>生产设备</w:t>
            </w:r>
          </w:p>
          <w:p>
            <w:pPr>
              <w:keepNext w:val="0"/>
              <w:keepLines w:val="0"/>
              <w:suppressLineNumbers w:val="0"/>
              <w:adjustRightInd w:val="0"/>
              <w:spacing w:before="0" w:beforeAutospacing="0" w:after="0" w:afterAutospacing="0" w:line="360" w:lineRule="auto"/>
              <w:ind w:left="0" w:right="0" w:firstLine="480" w:firstLineChars="200"/>
              <w:rPr>
                <w:rFonts w:hint="default"/>
              </w:rPr>
            </w:pPr>
            <w:r>
              <w:rPr>
                <w:rFonts w:hint="eastAsia"/>
              </w:rPr>
              <w:t>项目主要生产设备见下表。</w:t>
            </w:r>
          </w:p>
          <w:p>
            <w:pPr>
              <w:keepNext w:val="0"/>
              <w:keepLines w:val="0"/>
              <w:suppressLineNumbers w:val="0"/>
              <w:spacing w:before="0" w:beforeAutospacing="0" w:after="0" w:afterAutospacing="0" w:line="240" w:lineRule="auto"/>
              <w:ind w:left="0" w:right="0" w:firstLine="482" w:firstLineChars="200"/>
              <w:jc w:val="center"/>
              <w:rPr>
                <w:rFonts w:hint="default"/>
                <w:b/>
                <w:bCs/>
              </w:rPr>
            </w:pPr>
            <w:r>
              <w:rPr>
                <w:rFonts w:hint="eastAsia"/>
                <w:b/>
                <w:bCs/>
              </w:rPr>
              <w:t>表</w:t>
            </w:r>
            <w:r>
              <w:rPr>
                <w:rFonts w:hint="default"/>
                <w:b/>
                <w:bCs/>
              </w:rPr>
              <w:t xml:space="preserve">3           </w:t>
            </w:r>
            <w:r>
              <w:rPr>
                <w:rFonts w:hint="eastAsia"/>
                <w:b/>
                <w:bCs/>
              </w:rPr>
              <w:t>项目主要生产设备一览表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2146"/>
              <w:gridCol w:w="1810"/>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序号</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名称</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规格（型号）</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77" w:type="pct"/>
                  <w:vMerge w:val="restart"/>
                  <w:tcBorders>
                    <w:top w:val="single" w:color="auto" w:sz="2"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加油区</w:t>
                  </w:r>
                </w:p>
              </w:tc>
              <w:tc>
                <w:tcPr>
                  <w:tcW w:w="1303"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加油机</w:t>
                  </w:r>
                </w:p>
              </w:tc>
              <w:tc>
                <w:tcPr>
                  <w:tcW w:w="109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CS30D2211N</w:t>
                  </w:r>
                </w:p>
              </w:tc>
              <w:tc>
                <w:tcPr>
                  <w:tcW w:w="201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6（4台汽油双泵双枪，2台柴油双泵双枪）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储油罐</w:t>
                  </w:r>
                </w:p>
              </w:tc>
              <w:tc>
                <w:tcPr>
                  <w:tcW w:w="1099"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SF双层直埋非承重罐</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sz w:val="21"/>
                      <w:szCs w:val="21"/>
                      <w:lang w:eastAsia="zh-CN"/>
                    </w:rPr>
                  </w:pPr>
                  <w:r>
                    <w:rPr>
                      <w:rFonts w:hint="default"/>
                      <w:sz w:val="21"/>
                      <w:szCs w:val="21"/>
                      <w:lang w:val="en-US" w:eastAsia="zh-CN"/>
                    </w:rPr>
                    <w:t>3</w:t>
                  </w:r>
                  <w:r>
                    <w:rPr>
                      <w:rFonts w:hint="default"/>
                      <w:sz w:val="21"/>
                      <w:szCs w:val="21"/>
                    </w:rPr>
                    <w:t>座汽油罐</w:t>
                  </w:r>
                  <w:r>
                    <w:rPr>
                      <w:rFonts w:hint="eastAsia"/>
                      <w:sz w:val="21"/>
                      <w:szCs w:val="21"/>
                      <w:lang w:eastAsia="zh-CN"/>
                    </w:rPr>
                    <w:t>（</w:t>
                  </w:r>
                  <w:r>
                    <w:rPr>
                      <w:rFonts w:hint="eastAsia"/>
                      <w:sz w:val="21"/>
                      <w:szCs w:val="21"/>
                      <w:lang w:val="en-US" w:eastAsia="zh-CN"/>
                    </w:rPr>
                    <w:t>30</w:t>
                  </w:r>
                  <w:r>
                    <w:rPr>
                      <w:rFonts w:hint="default"/>
                      <w:sz w:val="21"/>
                      <w:szCs w:val="21"/>
                      <w:lang w:eastAsia="zh-CN"/>
                    </w:rPr>
                    <w:t>m²</w:t>
                  </w:r>
                  <w:r>
                    <w:rPr>
                      <w:rFonts w:hint="eastAsia"/>
                      <w:sz w:val="21"/>
                      <w:szCs w:val="21"/>
                      <w:lang w:val="en-US" w:eastAsia="zh-CN"/>
                    </w:rPr>
                    <w:t>/个</w:t>
                  </w:r>
                  <w:r>
                    <w:rPr>
                      <w:rFonts w:hint="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109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3</w:t>
                  </w:r>
                  <w:r>
                    <w:rPr>
                      <w:rFonts w:hint="default"/>
                      <w:sz w:val="21"/>
                      <w:szCs w:val="21"/>
                    </w:rPr>
                    <w:t>座柴油罐（</w:t>
                  </w:r>
                  <w:r>
                    <w:rPr>
                      <w:rFonts w:hint="eastAsia"/>
                      <w:sz w:val="21"/>
                      <w:szCs w:val="21"/>
                      <w:lang w:val="en-US" w:eastAsia="zh-CN"/>
                    </w:rPr>
                    <w:t>50</w:t>
                  </w:r>
                  <w:r>
                    <w:rPr>
                      <w:rFonts w:hint="default"/>
                      <w:sz w:val="21"/>
                      <w:szCs w:val="21"/>
                      <w:lang w:eastAsia="zh-CN"/>
                    </w:rPr>
                    <w:t>m²</w:t>
                  </w:r>
                  <w:r>
                    <w:rPr>
                      <w:rFonts w:hint="eastAsia"/>
                      <w:sz w:val="21"/>
                      <w:szCs w:val="21"/>
                      <w:lang w:val="en-US" w:eastAsia="zh-CN"/>
                    </w:rPr>
                    <w:t>/个</w:t>
                  </w:r>
                  <w:r>
                    <w:rPr>
                      <w:rFonts w:hint="default"/>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油气回收装置</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一次油气回收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汽油罐配备一套油气回收装置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二次油气回收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default"/>
                      <w:sz w:val="21"/>
                      <w:szCs w:val="21"/>
                      <w:lang w:eastAsia="zh-CN"/>
                    </w:rPr>
                    <w:t>每把加油枪配备一套油气回收装置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w:t>
                  </w:r>
                </w:p>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设施</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灭火毯</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1</w:t>
                  </w:r>
                  <w:r>
                    <w:rPr>
                      <w:rFonts w:hint="default"/>
                      <w:sz w:val="21"/>
                      <w:szCs w:val="21"/>
                      <w:lang w:eastAsia="zh-CN"/>
                    </w:rPr>
                    <w:t>m²</w:t>
                  </w:r>
                  <w:r>
                    <w:rPr>
                      <w:rFonts w:hint="default"/>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2</w:t>
                  </w:r>
                  <w:r>
                    <w:rPr>
                      <w:rFonts w:hint="default"/>
                      <w:sz w:val="21"/>
                      <w:szCs w:val="21"/>
                    </w:rPr>
                    <w:t>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灭火沙池</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2</w:t>
                  </w:r>
                  <w:r>
                    <w:rPr>
                      <w:rFonts w:hint="default"/>
                      <w:sz w:val="21"/>
                      <w:szCs w:val="21"/>
                      <w:lang w:eastAsia="zh-CN"/>
                    </w:rPr>
                    <w:t>m³</w:t>
                  </w:r>
                  <w:r>
                    <w:rPr>
                      <w:rFonts w:hint="default"/>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default"/>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干粉灭火器</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4kg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4</w:t>
                  </w:r>
                  <w:r>
                    <w:rPr>
                      <w:rFonts w:hint="default"/>
                      <w:sz w:val="21"/>
                      <w:szCs w:val="21"/>
                    </w:rPr>
                    <w:t>个（手提式，加油区使用）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35kg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lang w:val="en-US" w:eastAsia="zh-CN"/>
                    </w:rPr>
                    <w:t>2</w:t>
                  </w:r>
                  <w:r>
                    <w:rPr>
                      <w:rFonts w:hint="default"/>
                      <w:sz w:val="21"/>
                      <w:szCs w:val="21"/>
                    </w:rPr>
                    <w:t>个（推车式，</w:t>
                  </w:r>
                  <w:r>
                    <w:rPr>
                      <w:rFonts w:hint="default"/>
                      <w:sz w:val="21"/>
                      <w:szCs w:val="21"/>
                      <w:lang w:eastAsia="zh-CN"/>
                    </w:rPr>
                    <w:t>油罐区</w:t>
                  </w:r>
                  <w:r>
                    <w:rPr>
                      <w:rFonts w:hint="default"/>
                      <w:sz w:val="21"/>
                      <w:szCs w:val="21"/>
                    </w:rPr>
                    <w:t>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rPr>
                  </w:pPr>
                  <w:r>
                    <w:rPr>
                      <w:rFonts w:hint="eastAsia"/>
                      <w:sz w:val="21"/>
                      <w:szCs w:val="21"/>
                      <w:lang w:val="en-US" w:eastAsia="zh-CN"/>
                    </w:rPr>
                    <w:t>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8</w:t>
                  </w:r>
                  <w:r>
                    <w:rPr>
                      <w:rFonts w:hint="default"/>
                      <w:sz w:val="21"/>
                      <w:szCs w:val="21"/>
                    </w:rPr>
                    <w:t>个（</w:t>
                  </w:r>
                  <w:r>
                    <w:rPr>
                      <w:rFonts w:hint="default"/>
                      <w:sz w:val="21"/>
                      <w:szCs w:val="21"/>
                      <w:lang w:val="en-US" w:eastAsia="zh-CN"/>
                    </w:rPr>
                    <w:t>CO2灭火器</w:t>
                  </w:r>
                  <w:r>
                    <w:rPr>
                      <w:rFonts w:hint="default"/>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消防桶</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5</w:t>
                  </w:r>
                  <w:r>
                    <w:rPr>
                      <w:rFonts w:hint="default"/>
                      <w:sz w:val="21"/>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消防铲</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5</w:t>
                  </w:r>
                  <w:r>
                    <w:rPr>
                      <w:rFonts w:hint="default"/>
                      <w:sz w:val="21"/>
                      <w:szCs w:val="21"/>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eastAsia"/>
                      <w:sz w:val="21"/>
                      <w:szCs w:val="21"/>
                      <w:lang w:eastAsia="zh-CN"/>
                    </w:rPr>
                    <w:t>静电阻隔报警系统</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sz w:val="21"/>
                      <w:szCs w:val="21"/>
                      <w:lang w:val="en-US" w:eastAsia="zh-CN"/>
                    </w:rPr>
                  </w:pPr>
                  <w:r>
                    <w:rPr>
                      <w:rFonts w:hint="eastAsia"/>
                      <w:sz w:val="21"/>
                      <w:szCs w:val="21"/>
                      <w:lang w:val="en-US" w:eastAsia="zh-CN"/>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1套</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0" w:firstLineChars="0"/>
              <w:textAlignment w:val="auto"/>
              <w:rPr>
                <w:rFonts w:hint="default"/>
              </w:rPr>
            </w:pPr>
            <w:r>
              <w:rPr>
                <w:rFonts w:hint="default"/>
                <w:b/>
                <w:bCs/>
              </w:rPr>
              <w:t xml:space="preserve">5. </w:t>
            </w:r>
            <w:r>
              <w:rPr>
                <w:rFonts w:hint="eastAsia"/>
                <w:b/>
                <w:bCs/>
              </w:rPr>
              <w:t>原材料及能源消耗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lang w:val="en-US" w:eastAsia="zh-CN"/>
              </w:rPr>
            </w:pPr>
            <w:r>
              <w:rPr>
                <w:rFonts w:hint="eastAsia"/>
                <w:lang w:val="en-US" w:eastAsia="zh-CN"/>
              </w:rPr>
              <w:t>本项目主要原材料及能源消耗见下表。</w:t>
            </w:r>
          </w:p>
          <w:p>
            <w:pPr>
              <w:keepNext w:val="0"/>
              <w:keepLines w:val="0"/>
              <w:suppressLineNumbers w:val="0"/>
              <w:spacing w:before="0" w:beforeAutospacing="0" w:after="0" w:afterAutospacing="0" w:line="240" w:lineRule="auto"/>
              <w:ind w:left="0" w:right="0" w:firstLine="482" w:firstLineChars="200"/>
              <w:jc w:val="center"/>
              <w:rPr>
                <w:rFonts w:hint="default"/>
              </w:rPr>
            </w:pPr>
            <w:r>
              <w:rPr>
                <w:rFonts w:hint="eastAsia"/>
                <w:b/>
                <w:bCs/>
              </w:rPr>
              <w:t>表</w:t>
            </w:r>
            <w:r>
              <w:rPr>
                <w:rFonts w:hint="default"/>
                <w:b/>
                <w:bCs/>
              </w:rPr>
              <w:t xml:space="preserve">4       </w:t>
            </w:r>
            <w:r>
              <w:rPr>
                <w:rFonts w:hint="eastAsia"/>
                <w:b/>
                <w:bCs/>
              </w:rPr>
              <w:t>主要原材料及能源消耗一览表</w:t>
            </w:r>
          </w:p>
          <w:tbl>
            <w:tblPr>
              <w:tblStyle w:val="22"/>
              <w:tblW w:w="8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288"/>
              <w:gridCol w:w="1425"/>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名称</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单位</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消耗量</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92#汽油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950</w:t>
                  </w:r>
                  <w:r>
                    <w:rPr>
                      <w:rFonts w:hint="default"/>
                      <w:sz w:val="21"/>
                      <w:szCs w:val="21"/>
                      <w:lang w:val="en-US" w:eastAsia="zh-CN"/>
                    </w:rPr>
                    <w:t>t</w:t>
                  </w:r>
                </w:p>
              </w:tc>
              <w:tc>
                <w:tcPr>
                  <w:tcW w:w="3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年销售成品油共</w:t>
                  </w:r>
                  <w:r>
                    <w:rPr>
                      <w:rFonts w:hint="eastAsia"/>
                      <w:sz w:val="21"/>
                      <w:szCs w:val="21"/>
                      <w:lang w:val="en-US" w:eastAsia="zh-CN"/>
                    </w:rPr>
                    <w:t>2110</w:t>
                  </w:r>
                  <w:r>
                    <w:rPr>
                      <w:rFonts w:hint="default"/>
                      <w:sz w:val="21"/>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95#汽油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900</w:t>
                  </w:r>
                  <w:r>
                    <w:rPr>
                      <w:rFonts w:hint="default"/>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0#柴油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260</w:t>
                  </w:r>
                  <w:r>
                    <w:rPr>
                      <w:rFonts w:hint="default"/>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新鲜水</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lang w:eastAsia="zh-CN"/>
                    </w:rPr>
                    <w:t>m³</w:t>
                  </w:r>
                  <w:r>
                    <w:rPr>
                      <w:rFonts w:hint="default"/>
                      <w:sz w:val="21"/>
                      <w:szCs w:val="21"/>
                    </w:rPr>
                    <w: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3</w:t>
                  </w:r>
                  <w:r>
                    <w:rPr>
                      <w:rFonts w:hint="default"/>
                      <w:sz w:val="21"/>
                      <w:szCs w:val="21"/>
                      <w:lang w:val="en-US" w:eastAsia="zh-CN"/>
                    </w:rPr>
                    <w:t>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服务区统一供水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电</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kW·h/a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4500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eastAsia="zh-CN"/>
                    </w:rPr>
                    <w:t>城乡电网</w:t>
                  </w:r>
                  <w:r>
                    <w:rPr>
                      <w:rFonts w:hint="default"/>
                      <w:sz w:val="21"/>
                      <w:szCs w:val="21"/>
                    </w:rPr>
                    <w:t>供电</w:t>
                  </w:r>
                </w:p>
              </w:tc>
            </w:tr>
          </w:tbl>
          <w:p>
            <w:pPr>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eastAsia"/>
              </w:rPr>
            </w:pPr>
            <w:r>
              <w:rPr>
                <w:rFonts w:hint="eastAsia"/>
              </w:rPr>
              <w:t>注：汽油、柴油在不同温度下密度不同。</w:t>
            </w:r>
          </w:p>
          <w:p>
            <w:pPr>
              <w:keepNext w:val="0"/>
              <w:keepLines w:val="0"/>
              <w:widowControl w:val="0"/>
              <w:suppressLineNumbers w:val="0"/>
              <w:spacing w:before="0" w:beforeAutospacing="0" w:after="120" w:afterAutospacing="0" w:line="240" w:lineRule="auto"/>
              <w:ind w:left="0" w:leftChars="0" w:right="0" w:firstLine="0" w:firstLineChars="0"/>
              <w:jc w:val="both"/>
              <w:rPr>
                <w:rFonts w:hint="default"/>
                <w:lang w:val="en-US" w:eastAsia="zh-CN"/>
              </w:rPr>
            </w:pPr>
            <w:r>
              <w:rPr>
                <w:rFonts w:hint="default"/>
                <w:lang w:val="en-US" w:eastAsia="zh-CN"/>
              </w:rPr>
              <w:t>理化性质：</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lang w:val="en-US" w:eastAsia="zh-CN"/>
              </w:rPr>
            </w:pPr>
            <w:r>
              <w:rPr>
                <w:rFonts w:hint="default"/>
                <w:lang w:val="en-US" w:eastAsia="zh-CN"/>
              </w:rPr>
              <w:t xml:space="preserve">（1）汽油：无色或淡黄色易挥发液体，具有特殊臭味。闪点-60℃，自燃点 250℃， 沸点 30-205℃，易燃；是应用于点式发动机（汽油发动机）的专用燃料，密度一般 在 0.71-0.75g/cm³ 之间，按用途可分为航空汽油和车用汽油，在加油站销售的汽油一般为车用汽油。 </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default"/>
                <w:lang w:val="en-US" w:eastAsia="zh-CN"/>
              </w:rPr>
            </w:pPr>
            <w:r>
              <w:rPr>
                <w:rFonts w:hint="default"/>
                <w:lang w:val="en-US" w:eastAsia="zh-CN"/>
              </w:rPr>
              <w:t>（2）柴油：由不同的碳氢化合物混合组成，主要成分是含10到22个碳原子的 链烷、环烷。它的化学和物理特性位于汽油和重油之间，沸点在 170℃至 390℃之间， 比重为 0.82-0.0845kg/</w:t>
            </w:r>
            <w:r>
              <w:rPr>
                <w:rFonts w:hint="eastAsia"/>
                <w:lang w:val="en-US" w:eastAsia="zh-CN"/>
              </w:rPr>
              <w:t>L</w:t>
            </w:r>
            <w:r>
              <w:rPr>
                <w:rFonts w:hint="default"/>
                <w:lang w:val="en-US" w:eastAsia="zh-CN"/>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lang w:val="en-US" w:eastAsia="zh-CN"/>
              </w:rPr>
            </w:pPr>
            <w:r>
              <w:rPr>
                <w:rFonts w:hint="default"/>
                <w:b/>
                <w:bCs/>
                <w:lang w:val="en-US" w:eastAsia="zh-CN"/>
              </w:rPr>
              <w:t>6. 投资及规模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lang w:val="en-US" w:eastAsia="zh-CN"/>
              </w:rPr>
            </w:pPr>
            <w:r>
              <w:rPr>
                <w:rFonts w:hint="default"/>
                <w:lang w:val="en-US" w:eastAsia="zh-CN"/>
              </w:rPr>
              <w:t>项目总投资</w:t>
            </w:r>
            <w:r>
              <w:rPr>
                <w:rFonts w:hint="eastAsia"/>
                <w:lang w:val="en-US" w:eastAsia="zh-CN"/>
              </w:rPr>
              <w:t>120万</w:t>
            </w:r>
            <w:r>
              <w:rPr>
                <w:rFonts w:hint="default"/>
                <w:lang w:val="en-US" w:eastAsia="zh-CN"/>
              </w:rPr>
              <w:t>元，均由企业自筹。</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lang w:val="en-US" w:eastAsia="zh-CN"/>
              </w:rPr>
            </w:pPr>
            <w:r>
              <w:rPr>
                <w:rFonts w:hint="default"/>
                <w:b/>
                <w:bCs/>
                <w:lang w:val="en-US" w:eastAsia="zh-CN"/>
              </w:rPr>
              <w:t>7. 劳动定员及工作制度</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lang w:val="en-US" w:eastAsia="zh-CN"/>
              </w:rPr>
            </w:pPr>
            <w:r>
              <w:rPr>
                <w:rFonts w:hint="default"/>
                <w:lang w:val="en-US" w:eastAsia="zh-CN"/>
              </w:rPr>
              <w:t>本项目劳动定员</w:t>
            </w:r>
            <w:r>
              <w:rPr>
                <w:rFonts w:hint="eastAsia"/>
                <w:lang w:val="en-US" w:eastAsia="zh-CN"/>
              </w:rPr>
              <w:t>6</w:t>
            </w:r>
            <w:r>
              <w:rPr>
                <w:rFonts w:hint="default"/>
                <w:lang w:val="en-US" w:eastAsia="zh-CN"/>
              </w:rPr>
              <w:t>人，运行制度实行</w:t>
            </w:r>
            <w:r>
              <w:rPr>
                <w:rFonts w:hint="eastAsia"/>
                <w:lang w:val="en-US" w:eastAsia="zh-CN"/>
              </w:rPr>
              <w:t>2</w:t>
            </w:r>
            <w:r>
              <w:rPr>
                <w:rFonts w:hint="default"/>
                <w:lang w:val="en-US" w:eastAsia="zh-CN"/>
              </w:rPr>
              <w:t>班制每班</w:t>
            </w:r>
            <w:r>
              <w:rPr>
                <w:rFonts w:hint="eastAsia"/>
                <w:lang w:val="en-US" w:eastAsia="zh-CN"/>
              </w:rPr>
              <w:t>12</w:t>
            </w:r>
            <w:r>
              <w:rPr>
                <w:rFonts w:hint="default"/>
                <w:lang w:val="en-US" w:eastAsia="zh-CN"/>
              </w:rPr>
              <w:t>小时。</w:t>
            </w:r>
          </w:p>
          <w:p>
            <w:pPr>
              <w:keepNext w:val="0"/>
              <w:keepLines w:val="0"/>
              <w:suppressLineNumbers w:val="0"/>
              <w:adjustRightInd w:val="0"/>
              <w:spacing w:before="0" w:beforeAutospacing="0" w:after="0" w:afterAutospacing="0" w:line="360" w:lineRule="auto"/>
              <w:ind w:left="0" w:right="0" w:firstLine="0" w:firstLineChars="0"/>
              <w:contextualSpacing/>
              <w:rPr>
                <w:rFonts w:hint="eastAsia"/>
                <w:lang w:val="en-US" w:eastAsia="zh-CN"/>
              </w:rPr>
            </w:pPr>
            <w:r>
              <w:rPr>
                <w:rFonts w:hint="default"/>
                <w:b/>
                <w:bCs/>
                <w:lang w:val="en-US" w:eastAsia="zh-CN"/>
              </w:rPr>
              <w:t>8.</w:t>
            </w:r>
            <w:r>
              <w:rPr>
                <w:rFonts w:hint="eastAsia"/>
                <w:b/>
                <w:bCs/>
                <w:lang w:val="en-US" w:eastAsia="zh-CN"/>
              </w:rPr>
              <w:t xml:space="preserve"> 配套工程</w:t>
            </w:r>
          </w:p>
          <w:p>
            <w:pPr>
              <w:pStyle w:val="2"/>
              <w:rPr>
                <w:rFonts w:hint="default"/>
                <w:lang w:val="en-US" w:eastAsia="zh-CN"/>
              </w:rPr>
            </w:pPr>
            <w:r>
              <w:rPr>
                <w:rFonts w:hint="default"/>
                <w:lang w:val="en-US" w:eastAsia="zh-CN"/>
              </w:rPr>
              <w:t>①给水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default"/>
                <w:lang w:val="en-US" w:eastAsia="zh-CN"/>
              </w:rPr>
              <w:t>本项目用水由服务区统一供给，项目不设洗车服务。项目用水主要为生活用水，</w:t>
            </w:r>
            <w:r>
              <w:rPr>
                <w:rFonts w:hint="eastAsia"/>
                <w:lang w:val="en-US" w:eastAsia="zh-CN"/>
              </w:rPr>
              <w:t>主要为</w:t>
            </w:r>
            <w:r>
              <w:rPr>
                <w:rFonts w:hint="default"/>
                <w:lang w:val="en-US" w:eastAsia="zh-CN"/>
              </w:rPr>
              <w:t>职工盥洗废水。项目劳动定员</w:t>
            </w:r>
            <w:r>
              <w:rPr>
                <w:rFonts w:hint="eastAsia"/>
                <w:lang w:val="en-US" w:eastAsia="zh-CN"/>
              </w:rPr>
              <w:t>6人</w:t>
            </w:r>
            <w:r>
              <w:rPr>
                <w:rFonts w:hint="default"/>
                <w:lang w:val="en-US" w:eastAsia="zh-CN"/>
              </w:rPr>
              <w:t>，</w:t>
            </w:r>
            <w:r>
              <w:t>均不在站区食宿，</w:t>
            </w:r>
            <w:r>
              <w:rPr>
                <w:rFonts w:hint="eastAsia"/>
              </w:rPr>
              <w:t>职工生活用水量按40</w:t>
            </w:r>
            <w:r>
              <w:t>L</w:t>
            </w:r>
            <w:r>
              <w:rPr>
                <w:rFonts w:hint="eastAsia"/>
              </w:rPr>
              <w:t>/（人</w:t>
            </w:r>
            <w:r>
              <w:t>·</w:t>
            </w:r>
            <w:r>
              <w:rPr>
                <w:rFonts w:hint="eastAsia"/>
              </w:rPr>
              <w:t>d）计</w:t>
            </w:r>
            <w:r>
              <w:t>，</w:t>
            </w:r>
            <w:r>
              <w:rPr>
                <w:rFonts w:hint="eastAsia"/>
              </w:rPr>
              <w:t>则营运期职工用水量</w:t>
            </w:r>
            <w:r>
              <w:t>为0.</w:t>
            </w:r>
            <w:r>
              <w:rPr>
                <w:rFonts w:hint="eastAsia"/>
                <w:lang w:val="en-US" w:eastAsia="zh-CN"/>
              </w:rPr>
              <w:t>24</w:t>
            </w:r>
            <w:r>
              <w:t>m</w:t>
            </w:r>
            <w:r>
              <w:rPr>
                <w:vertAlign w:val="superscript"/>
              </w:rPr>
              <w:t>3</w:t>
            </w:r>
            <w:r>
              <w:rPr>
                <w:rFonts w:hint="eastAsia"/>
              </w:rPr>
              <w:t>/d（</w:t>
            </w:r>
            <w:r>
              <w:rPr>
                <w:rFonts w:hint="eastAsia"/>
                <w:lang w:val="en-US" w:eastAsia="zh-CN"/>
              </w:rPr>
              <w:t>87.6</w:t>
            </w:r>
            <w:r>
              <w:t>m</w:t>
            </w:r>
            <w:r>
              <w:rPr>
                <w:vertAlign w:val="superscript"/>
              </w:rPr>
              <w:t>3</w:t>
            </w:r>
            <w:r>
              <w:rPr>
                <w:rFonts w:hint="eastAsia"/>
              </w:rPr>
              <w:t>/a）；项目投运后，每天接待客人约</w:t>
            </w:r>
            <w:r>
              <w:t>100</w:t>
            </w:r>
            <w:r>
              <w:rPr>
                <w:rFonts w:hint="eastAsia"/>
              </w:rPr>
              <w:t>人，</w:t>
            </w:r>
            <w:r>
              <w:t>用水量</w:t>
            </w:r>
            <w:r>
              <w:rPr>
                <w:rFonts w:hint="eastAsia"/>
              </w:rPr>
              <w:t>约</w:t>
            </w:r>
            <w:r>
              <w:t>5L/</w:t>
            </w:r>
            <w:r>
              <w:rPr>
                <w:rFonts w:hint="eastAsia"/>
              </w:rPr>
              <w:t>人</w:t>
            </w:r>
            <w:r>
              <w:t>.d</w:t>
            </w:r>
            <w:r>
              <w:rPr>
                <w:rFonts w:hint="eastAsia"/>
              </w:rPr>
              <w:t>，则用水量</w:t>
            </w:r>
            <w:r>
              <w:t>0.5m</w:t>
            </w:r>
            <w:r>
              <w:rPr>
                <w:vertAlign w:val="superscript"/>
              </w:rPr>
              <w:t>3</w:t>
            </w:r>
            <w:r>
              <w:t>/d</w:t>
            </w:r>
            <w:r>
              <w:rPr>
                <w:rFonts w:hint="eastAsia"/>
              </w:rPr>
              <w:t>，</w:t>
            </w:r>
            <w:r>
              <w:t>182.5m</w:t>
            </w:r>
            <w:r>
              <w:rPr>
                <w:vertAlign w:val="superscript"/>
              </w:rPr>
              <w:t>3</w:t>
            </w:r>
            <w:r>
              <w:t>/a</w:t>
            </w:r>
            <w:r>
              <w:rPr>
                <w:rFonts w:hint="eastAsia"/>
              </w:rPr>
              <w:t>。</w:t>
            </w:r>
          </w:p>
          <w:p>
            <w:pPr>
              <w:bidi w:val="0"/>
              <w:rPr>
                <w:rFonts w:hint="default"/>
                <w:lang w:val="en-US" w:eastAsia="zh-CN"/>
              </w:rPr>
            </w:pPr>
            <w:r>
              <w:t>本项目</w:t>
            </w:r>
            <w:r>
              <w:rPr>
                <w:rFonts w:hint="eastAsia"/>
              </w:rPr>
              <w:t>生活</w:t>
            </w:r>
            <w:r>
              <w:t>用水量为0.</w:t>
            </w:r>
            <w:r>
              <w:rPr>
                <w:rFonts w:hint="eastAsia"/>
                <w:lang w:val="en-US" w:eastAsia="zh-CN"/>
              </w:rPr>
              <w:t>74</w:t>
            </w:r>
            <w:r>
              <w:t xml:space="preserve"> m</w:t>
            </w:r>
            <w:r>
              <w:rPr>
                <w:vertAlign w:val="superscript"/>
              </w:rPr>
              <w:t>3</w:t>
            </w:r>
            <w:r>
              <w:t>/d（</w:t>
            </w:r>
            <w:r>
              <w:rPr>
                <w:rFonts w:hint="eastAsia"/>
                <w:lang w:val="en-US" w:eastAsia="zh-CN"/>
              </w:rPr>
              <w:t>270.1</w:t>
            </w:r>
            <w:r>
              <w:t>m3/a）</w:t>
            </w:r>
            <w:r>
              <w:rPr>
                <w:rFonts w:hint="eastAsia"/>
              </w:rPr>
              <w:t>，生活用水耗损按20%计，则本项目营运期生活污水（主要为盥洗废水）产生量为</w:t>
            </w:r>
            <w:r>
              <w:t>0.</w:t>
            </w:r>
            <w:r>
              <w:rPr>
                <w:rFonts w:hint="eastAsia"/>
                <w:lang w:val="en-US" w:eastAsia="zh-CN"/>
              </w:rPr>
              <w:t>592</w:t>
            </w:r>
            <w:r>
              <w:t>m</w:t>
            </w:r>
            <w:r>
              <w:rPr>
                <w:vertAlign w:val="superscript"/>
              </w:rPr>
              <w:t>3</w:t>
            </w:r>
            <w:r>
              <w:t>/d（</w:t>
            </w:r>
            <w:r>
              <w:rPr>
                <w:rFonts w:hint="eastAsia"/>
                <w:lang w:val="en-US" w:eastAsia="zh-CN"/>
              </w:rPr>
              <w:t>216.08</w:t>
            </w:r>
            <w:r>
              <w:t>m</w:t>
            </w:r>
            <w:r>
              <w:rPr>
                <w:vertAlign w:val="superscript"/>
              </w:rPr>
              <w:t>3</w:t>
            </w:r>
            <w:r>
              <w:t>/a）</w:t>
            </w:r>
            <w:r>
              <w:rPr>
                <w:rFonts w:hint="eastAsia"/>
              </w:rPr>
              <w:t>。</w:t>
            </w:r>
          </w:p>
          <w:p>
            <w:pPr>
              <w:bidi w:val="0"/>
              <w:rPr>
                <w:rFonts w:hint="default"/>
                <w:lang w:val="en-US" w:eastAsia="zh-CN"/>
              </w:rPr>
            </w:pPr>
            <w:r>
              <w:rPr>
                <w:rFonts w:hint="default"/>
                <w:lang w:val="en-US" w:eastAsia="zh-CN"/>
              </w:rPr>
              <w:t>②排水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default"/>
                <w:lang w:val="en-US" w:eastAsia="zh-CN"/>
              </w:rPr>
              <w:t>项目运营期主要为生活污水，生活污水</w:t>
            </w:r>
            <w:r>
              <w:rPr>
                <w:rFonts w:hint="eastAsia"/>
                <w:lang w:val="en-US" w:eastAsia="zh-CN"/>
              </w:rPr>
              <w:t>依托服务区污水处理站统一处理。</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eastAsia"/>
                <w:lang w:val="en-US" w:eastAsia="zh-CN"/>
              </w:rPr>
              <w:t>③供电</w:t>
            </w:r>
          </w:p>
          <w:p>
            <w:pPr>
              <w:keepNext w:val="0"/>
              <w:keepLines w:val="0"/>
              <w:suppressLineNumbers w:val="0"/>
              <w:adjustRightInd w:val="0"/>
              <w:spacing w:before="0" w:beforeAutospacing="0" w:after="0" w:afterAutospacing="0" w:line="360" w:lineRule="auto"/>
              <w:ind w:left="0" w:right="0" w:firstLine="480" w:firstLineChars="200"/>
              <w:contextualSpacing/>
              <w:rPr>
                <w:rFonts w:hint="eastAsia"/>
                <w:lang w:val="en-US" w:eastAsia="zh-CN"/>
              </w:rPr>
            </w:pPr>
            <w:r>
              <w:rPr>
                <w:rFonts w:hint="eastAsia"/>
                <w:lang w:val="en-US" w:eastAsia="zh-CN"/>
              </w:rPr>
              <w:t>项目由城乡电网供电。</w:t>
            </w:r>
          </w:p>
          <w:p>
            <w:pPr>
              <w:keepNext w:val="0"/>
              <w:keepLines w:val="0"/>
              <w:numPr>
                <w:ilvl w:val="0"/>
                <w:numId w:val="0"/>
              </w:numPr>
              <w:suppressLineNumbers w:val="0"/>
              <w:spacing w:before="0" w:beforeAutospacing="0" w:after="0" w:afterAutospacing="0" w:line="520" w:lineRule="exact"/>
              <w:ind w:left="480" w:right="0" w:rightChars="0" w:hanging="482" w:hangingChars="200"/>
              <w:jc w:val="left"/>
              <w:rPr>
                <w:rFonts w:hint="eastAsia"/>
                <w:lang w:val="en-US" w:eastAsia="zh-CN"/>
              </w:rPr>
            </w:pPr>
            <w:r>
              <w:rPr>
                <w:rFonts w:hint="eastAsia"/>
                <w:b/>
                <w:bCs/>
                <w:lang w:val="en-US" w:eastAsia="zh-CN"/>
              </w:rPr>
              <w:t>9. 选址及规划相符性分析</w:t>
            </w:r>
            <w:r>
              <w:rPr>
                <w:rFonts w:hint="eastAsia"/>
                <w:lang w:val="en-US" w:eastAsia="zh-CN"/>
              </w:rPr>
              <w:br w:type="textWrapping"/>
            </w:r>
            <w:r>
              <w:rPr>
                <w:rFonts w:hint="eastAsia"/>
                <w:lang w:val="en-US" w:eastAsia="zh-CN"/>
              </w:rPr>
              <w:t>（1）产业政策符合性分析</w:t>
            </w:r>
          </w:p>
          <w:p>
            <w:pPr>
              <w:keepNext w:val="0"/>
              <w:keepLines w:val="0"/>
              <w:numPr>
                <w:ilvl w:val="0"/>
                <w:numId w:val="0"/>
              </w:numPr>
              <w:suppressLineNumbers w:val="0"/>
              <w:spacing w:before="0" w:beforeAutospacing="0" w:after="0" w:afterAutospacing="0" w:line="520" w:lineRule="exact"/>
              <w:ind w:left="0" w:right="0" w:firstLine="480" w:firstLineChars="200"/>
              <w:jc w:val="left"/>
              <w:rPr>
                <w:rFonts w:hint="default"/>
              </w:rPr>
            </w:pPr>
            <w:r>
              <w:rPr>
                <w:rFonts w:hint="default"/>
              </w:rPr>
              <w:t>本项目属【F5264】机动车燃料零售，对照《产业结构调整指导目录（201</w:t>
            </w:r>
            <w:r>
              <w:rPr>
                <w:rFonts w:hint="eastAsia"/>
                <w:lang w:val="en-US" w:eastAsia="zh-CN"/>
              </w:rPr>
              <w:t>9</w:t>
            </w:r>
            <w:r>
              <w:rPr>
                <w:rFonts w:hint="default"/>
              </w:rPr>
              <w:t xml:space="preserve"> 年），本项目不属于限制类和淘汰类，属于允许类，符合国家产业政策。本项目不属于《限制用地项目目录（2012年本）》和《禁止用地项目目录（2012年本）》中限制和禁止用地之列。因此，本项目的建设符合国家产业政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480" w:leftChars="-200" w:right="0" w:firstLine="960" w:firstLineChars="400"/>
              <w:jc w:val="both"/>
              <w:textAlignment w:val="auto"/>
              <w:rPr>
                <w:rFonts w:hint="eastAsia"/>
                <w:lang w:val="en-US" w:eastAsia="zh-CN"/>
              </w:rPr>
            </w:pPr>
            <w:r>
              <w:rPr>
                <w:rFonts w:hint="eastAsia"/>
                <w:lang w:val="en-US" w:eastAsia="zh-CN"/>
              </w:rPr>
              <w:t>（2）规划符合性分析</w:t>
            </w:r>
          </w:p>
          <w:p>
            <w:pPr>
              <w:pStyle w:val="17"/>
              <w:bidi w:val="0"/>
              <w:rPr>
                <w:rFonts w:hint="eastAsia"/>
                <w:lang w:val="en-US" w:eastAsia="zh-CN"/>
              </w:rPr>
            </w:pPr>
            <w:r>
              <w:rPr>
                <w:rFonts w:hint="eastAsia"/>
                <w:lang w:eastAsia="zh-CN"/>
              </w:rPr>
              <w:t>本项目位于鲁山赵村镇境内郑石高速石人山北服务区，项目用地为郑石高速石人山服务区用地，该项目用地为鲁山县国土资源局划拨用地，项目选址符合鲁山县规划建设。</w:t>
            </w:r>
            <w:r>
              <w:rPr>
                <w:rFonts w:hint="eastAsia"/>
                <w:lang w:val="en-US" w:eastAsia="zh-CN"/>
              </w:rPr>
              <w:t>因此，评价认为本项目选址可行。</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lang w:val="en-US" w:eastAsia="zh-CN"/>
              </w:rPr>
            </w:pPr>
            <w:r>
              <w:rPr>
                <w:rFonts w:hint="eastAsia"/>
                <w:lang w:val="en-US" w:eastAsia="zh-CN"/>
              </w:rPr>
              <w:t>（3）选址符合性分析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lang w:val="en-US" w:eastAsia="zh-CN"/>
              </w:rPr>
            </w:pPr>
            <w:r>
              <w:rPr>
                <w:rFonts w:hint="eastAsia"/>
                <w:lang w:val="en-US" w:eastAsia="zh-CN"/>
              </w:rPr>
              <w:t>根据《汽车加油加气站设计与施工规范》（GB50156-2012）（2014年局部修订 版）的相关规定，拟建项目建成后加油站油罐总容积为240</w:t>
            </w:r>
            <w:r>
              <w:rPr>
                <w:rFonts w:hint="default"/>
                <w:lang w:val="en-US" w:eastAsia="zh-CN"/>
              </w:rPr>
              <w:t>m³</w:t>
            </w:r>
            <w:r>
              <w:rPr>
                <w:rFonts w:hint="eastAsia"/>
                <w:lang w:val="en-US" w:eastAsia="zh-CN"/>
              </w:rPr>
              <w:t>，计算容积为165</w:t>
            </w:r>
            <w:r>
              <w:rPr>
                <w:rFonts w:hint="default"/>
                <w:lang w:val="en-US" w:eastAsia="zh-CN"/>
              </w:rPr>
              <w:t>m³</w:t>
            </w:r>
            <w:r>
              <w:rPr>
                <w:rFonts w:hint="eastAsia"/>
                <w:lang w:val="en-US" w:eastAsia="zh-CN"/>
              </w:rPr>
              <w:t>， 属于一级加油站，站址符合城市总体规划和《汽车加油加气站设计与施工规范》 （GB50156-2012）（2014年局部修订版）中有关站址选择的规定，本项目选址标准情况对比见表5、6。</w:t>
            </w:r>
          </w:p>
          <w:p>
            <w:pPr>
              <w:pStyle w:val="2"/>
              <w:rPr>
                <w:rFonts w:hint="eastAsia" w:ascii="Times New Roman" w:hAnsi="Times New Roman" w:eastAsia="宋体" w:cs="Times New Roman"/>
                <w:kern w:val="2"/>
                <w:sz w:val="24"/>
                <w:szCs w:val="24"/>
                <w:lang w:val="en-US" w:eastAsia="zh-CN" w:bidi="ar-SA"/>
              </w:rPr>
            </w:pPr>
          </w:p>
          <w:p>
            <w:pPr>
              <w:pStyle w:val="2"/>
              <w:rPr>
                <w:rFonts w:hint="eastAsia" w:ascii="Times New Roman" w:hAnsi="Times New Roman" w:eastAsia="宋体" w:cs="Times New Roman"/>
                <w:kern w:val="2"/>
                <w:sz w:val="24"/>
                <w:szCs w:val="24"/>
                <w:lang w:val="en-US" w:eastAsia="zh-CN" w:bidi="ar-SA"/>
              </w:rPr>
            </w:pPr>
          </w:p>
        </w:tc>
      </w:tr>
    </w:tbl>
    <w:p>
      <w:pPr>
        <w:ind w:left="0" w:leftChars="0" w:firstLine="0" w:firstLineChars="0"/>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2"/>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4" w:hRule="atLeast"/>
          <w:jc w:val="center"/>
        </w:trPr>
        <w:tc>
          <w:tcPr>
            <w:tcW w:w="13420" w:type="dxa"/>
          </w:tcPr>
          <w:p>
            <w:pPr>
              <w:widowControl/>
              <w:adjustRightInd w:val="0"/>
              <w:snapToGrid w:val="0"/>
              <w:spacing w:line="500" w:lineRule="exact"/>
              <w:ind w:firstLine="514" w:firstLineChars="24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5</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站内汽油设备与站外建（构）筑物的安全距离         </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单位：m</w:t>
            </w:r>
          </w:p>
          <w:tbl>
            <w:tblPr>
              <w:tblStyle w:val="22"/>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0"/>
              <w:gridCol w:w="3087"/>
              <w:gridCol w:w="1257"/>
              <w:gridCol w:w="919"/>
              <w:gridCol w:w="1355"/>
              <w:gridCol w:w="1064"/>
              <w:gridCol w:w="861"/>
              <w:gridCol w:w="1268"/>
              <w:gridCol w:w="14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restart"/>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 xml:space="preserve">                </w:t>
                  </w:r>
                  <w:r>
                    <w:rPr>
                      <w:rFonts w:ascii="Times New Roman" w:hAnsi="宋体" w:eastAsia="宋体" w:cs="Times New Roman"/>
                      <w:kern w:val="0"/>
                      <w:sz w:val="21"/>
                      <w:szCs w:val="21"/>
                    </w:rPr>
                    <w:t>站内设备</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p>
                  <w:pPr>
                    <w:widowControl/>
                    <w:adjustRightInd w:val="0"/>
                    <w:snapToGrid w:val="0"/>
                    <w:spacing w:line="240" w:lineRule="auto"/>
                    <w:ind w:firstLine="0" w:firstLineChars="0"/>
                    <w:jc w:val="center"/>
                    <w:rPr>
                      <w:rFonts w:ascii="Times New Roman" w:hAnsi="宋体" w:eastAsia="宋体" w:cs="Times New Roman"/>
                      <w:kern w:val="0"/>
                      <w:sz w:val="21"/>
                      <w:szCs w:val="21"/>
                    </w:rPr>
                  </w:pP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宋体" w:eastAsia="宋体" w:cs="Times New Roman"/>
                      <w:kern w:val="0"/>
                      <w:sz w:val="21"/>
                      <w:szCs w:val="21"/>
                    </w:rPr>
                    <w:t>站外建（构）筑物</w:t>
                  </w:r>
                </w:p>
              </w:tc>
              <w:tc>
                <w:tcPr>
                  <w:tcW w:w="3531" w:type="dxa"/>
                  <w:gridSpan w:val="3"/>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站内汽油设备</w:t>
                  </w:r>
                  <w:r>
                    <w:rPr>
                      <w:rFonts w:hint="eastAsia" w:ascii="Times New Roman" w:hAnsi="宋体" w:eastAsia="宋体" w:cs="Times New Roman"/>
                      <w:kern w:val="0"/>
                      <w:sz w:val="21"/>
                      <w:szCs w:val="21"/>
                    </w:rPr>
                    <w:t>（标准）</w:t>
                  </w:r>
                </w:p>
              </w:tc>
              <w:tc>
                <w:tcPr>
                  <w:tcW w:w="3193" w:type="dxa"/>
                  <w:gridSpan w:val="3"/>
                  <w:tcBorders>
                    <w:bottom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本项目</w:t>
                  </w:r>
                </w:p>
              </w:tc>
              <w:tc>
                <w:tcPr>
                  <w:tcW w:w="1463" w:type="dxa"/>
                  <w:vMerge w:val="restart"/>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919" w:type="dxa"/>
                  <w:vMerge w:val="restart"/>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35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064" w:type="dxa"/>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861"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268"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hAnsi="宋体" w:cs="Times New Roman"/>
                      <w:kern w:val="0"/>
                      <w:sz w:val="21"/>
                      <w:szCs w:val="21"/>
                      <w:lang w:eastAsia="zh-CN"/>
                    </w:rPr>
                    <w:t>一</w:t>
                  </w:r>
                  <w:r>
                    <w:rPr>
                      <w:rFonts w:ascii="Times New Roman" w:hAnsi="宋体" w:eastAsia="宋体" w:cs="Times New Roman"/>
                      <w:kern w:val="0"/>
                      <w:sz w:val="21"/>
                      <w:szCs w:val="21"/>
                    </w:rPr>
                    <w:t>级站</w:t>
                  </w:r>
                </w:p>
              </w:tc>
              <w:tc>
                <w:tcPr>
                  <w:tcW w:w="919"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355"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064" w:type="dxa"/>
                  <w:vAlign w:val="center"/>
                </w:tcPr>
                <w:p>
                  <w:pPr>
                    <w:widowControl/>
                    <w:adjustRightInd w:val="0"/>
                    <w:snapToGrid w:val="0"/>
                    <w:spacing w:line="240" w:lineRule="auto"/>
                    <w:ind w:firstLine="0" w:firstLineChars="0"/>
                    <w:jc w:val="center"/>
                    <w:rPr>
                      <w:rFonts w:hint="eastAsia" w:ascii="Times New Roman" w:hAnsi="宋体" w:eastAsia="宋体" w:cs="Times New Roman"/>
                      <w:kern w:val="0"/>
                      <w:sz w:val="21"/>
                      <w:szCs w:val="21"/>
                      <w:lang w:eastAsia="zh-CN"/>
                    </w:rPr>
                  </w:pPr>
                  <w:r>
                    <w:rPr>
                      <w:rFonts w:hint="eastAsia" w:hAnsi="宋体" w:cs="Times New Roman"/>
                      <w:kern w:val="0"/>
                      <w:sz w:val="21"/>
                      <w:szCs w:val="21"/>
                      <w:lang w:eastAsia="zh-CN"/>
                    </w:rPr>
                    <w:t>一级站</w:t>
                  </w:r>
                </w:p>
              </w:tc>
              <w:tc>
                <w:tcPr>
                  <w:tcW w:w="861"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68"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3193"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1463"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重要公共建筑物</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50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40</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tc>
              <w:tc>
                <w:tcPr>
                  <w:tcW w:w="1064"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52</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70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65</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明火地点或散发火花地点</w:t>
                  </w:r>
                </w:p>
              </w:tc>
              <w:tc>
                <w:tcPr>
                  <w:tcW w:w="1257"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30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24</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21</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民用建筑保护物类别</w:t>
                  </w: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25</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14</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rPr>
                    <w:t>侧民房）</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13</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11</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257</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240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242</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甲、乙类物品生产厂房、库房和甲、乙类液体储罐</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丙、丁、戊类物品生产厂房、库房和丙类液体储罐以及容积不大于50m</w:t>
                  </w:r>
                  <w:r>
                    <w:rPr>
                      <w:rFonts w:ascii="Times New Roman" w:hAnsi="宋体" w:eastAsia="宋体" w:cs="Times New Roman"/>
                      <w:sz w:val="21"/>
                      <w:szCs w:val="21"/>
                      <w:vertAlign w:val="superscript"/>
                    </w:rPr>
                    <w:t>3</w:t>
                  </w:r>
                  <w:r>
                    <w:rPr>
                      <w:rFonts w:ascii="Times New Roman" w:hAnsi="宋体" w:eastAsia="宋体" w:cs="Times New Roman"/>
                      <w:sz w:val="21"/>
                      <w:szCs w:val="21"/>
                    </w:rPr>
                    <w:t>的埋地甲、乙类液体储罐</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4</w:t>
                  </w:r>
                  <w:r>
                    <w:rPr>
                      <w:rFonts w:ascii="Times New Roman" w:hAnsi="Times New Roman" w:eastAsia="宋体" w:cs="Times New Roman"/>
                      <w:kern w:val="0"/>
                      <w:sz w:val="21"/>
                      <w:szCs w:val="21"/>
                    </w:rPr>
                    <w:t>.5</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2</w:t>
                  </w:r>
                  <w:r>
                    <w:rPr>
                      <w:rFonts w:ascii="Times New Roman" w:hAnsi="Times New Roman" w:eastAsia="宋体" w:cs="Times New Roman"/>
                      <w:kern w:val="0"/>
                      <w:sz w:val="21"/>
                      <w:szCs w:val="21"/>
                    </w:rPr>
                    <w:t>.5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室外变配电站</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铁路</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22</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道路</w:t>
                  </w:r>
                </w:p>
              </w:tc>
              <w:tc>
                <w:tcPr>
                  <w:tcW w:w="3087" w:type="dxa"/>
                  <w:shd w:val="clear" w:color="auto" w:fill="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宋体" w:eastAsia="宋体" w:cs="Times New Roman"/>
                      <w:kern w:val="0"/>
                      <w:sz w:val="21"/>
                      <w:szCs w:val="21"/>
                    </w:rPr>
                    <w:t>快速路、主干路</w:t>
                  </w:r>
                  <w:r>
                    <w:rPr>
                      <w:rFonts w:hint="eastAsia" w:ascii="Times New Roman" w:hAnsi="宋体" w:eastAsia="宋体" w:cs="Times New Roman"/>
                      <w:kern w:val="0"/>
                      <w:sz w:val="21"/>
                      <w:szCs w:val="21"/>
                      <w:lang w:eastAsia="zh-CN"/>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val="en-US" w:eastAsia="zh-CN"/>
                    </w:rPr>
                    <w:t>郑石高速</w:t>
                  </w:r>
                  <w:r>
                    <w:rPr>
                      <w:rFonts w:hint="eastAsia" w:ascii="Times New Roman" w:hAnsi="宋体" w:eastAsia="宋体" w:cs="Times New Roman"/>
                      <w:kern w:val="0"/>
                      <w:sz w:val="21"/>
                      <w:szCs w:val="21"/>
                      <w:lang w:eastAsia="zh-CN"/>
                    </w:rPr>
                    <w:t>）</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7</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eastAsia="zh-CN"/>
                    </w:rPr>
                  </w:pPr>
                  <w:r>
                    <w:rPr>
                      <w:rFonts w:hint="eastAsia" w:cs="Times New Roman"/>
                      <w:kern w:val="0"/>
                      <w:sz w:val="21"/>
                      <w:szCs w:val="21"/>
                      <w:lang w:val="en-US" w:eastAsia="zh-CN"/>
                    </w:rPr>
                    <w:t>45</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匝道</w:t>
                  </w:r>
                  <w:r>
                    <w:rPr>
                      <w:rFonts w:hint="eastAsia" w:ascii="Times New Roman" w:hAnsi="Times New Roman" w:eastAsia="宋体" w:cs="Times New Roman"/>
                      <w:sz w:val="21"/>
                      <w:szCs w:val="21"/>
                    </w:rPr>
                    <w:t>）</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6.5</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5</w:t>
                  </w:r>
                  <w:r>
                    <w:rPr>
                      <w:rFonts w:hint="eastAsia" w:cs="Times New Roman"/>
                      <w:kern w:val="0"/>
                      <w:sz w:val="21"/>
                      <w:szCs w:val="21"/>
                      <w:lang w:val="en-US" w:eastAsia="zh-CN"/>
                    </w:rPr>
                    <w:t>.5</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架空通信线和通信发射塔</w:t>
                  </w:r>
                </w:p>
              </w:tc>
              <w:tc>
                <w:tcPr>
                  <w:tcW w:w="3531" w:type="dxa"/>
                  <w:gridSpan w:val="3"/>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1倍杆高且不应小于5m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架空电力线路</w:t>
                  </w:r>
                </w:p>
              </w:tc>
              <w:tc>
                <w:tcPr>
                  <w:tcW w:w="308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无绝缘层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1.5倍杆（塔）高且不应小于6.5m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sz w:val="21"/>
                      <w:szCs w:val="21"/>
                    </w:rPr>
                    <w:t>有绝缘层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1倍杆（塔）高且不应小于5m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bl>
          <w:p>
            <w:pPr>
              <w:widowControl/>
              <w:adjustRightInd w:val="0"/>
              <w:snapToGrid w:val="0"/>
              <w:spacing w:line="240" w:lineRule="auto"/>
              <w:ind w:firstLine="0" w:firstLineChars="0"/>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 xml:space="preserve">备注： </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tc>
      </w:tr>
    </w:tbl>
    <w:p>
      <w:pPr>
        <w:sectPr>
          <w:pgSz w:w="16838" w:h="11906" w:orient="landscape"/>
          <w:pgMar w:top="563" w:right="1701" w:bottom="1091" w:left="1701" w:header="543" w:footer="646"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2"/>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587" w:hRule="atLeast"/>
          <w:jc w:val="center"/>
        </w:trPr>
        <w:tc>
          <w:tcPr>
            <w:tcW w:w="13420" w:type="dxa"/>
          </w:tcPr>
          <w:p>
            <w:pPr>
              <w:widowControl/>
              <w:adjustRightInd w:val="0"/>
              <w:snapToGrid w:val="0"/>
              <w:spacing w:line="500" w:lineRule="exact"/>
              <w:ind w:firstLine="620" w:firstLineChars="29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6</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站内柴油设备与站外建（构）筑物的安全距离                                  单位：m</w:t>
            </w:r>
          </w:p>
          <w:tbl>
            <w:tblPr>
              <w:tblStyle w:val="22"/>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654"/>
              <w:gridCol w:w="3717"/>
              <w:gridCol w:w="1815"/>
              <w:gridCol w:w="1605"/>
              <w:gridCol w:w="1102"/>
              <w:gridCol w:w="915"/>
              <w:gridCol w:w="1220"/>
              <w:gridCol w:w="1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restart"/>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 xml:space="preserve">              </w:t>
                  </w:r>
                  <w:r>
                    <w:rPr>
                      <w:rFonts w:ascii="Times New Roman" w:hAnsi="Times New Roman" w:eastAsia="宋体" w:cs="Times New Roman"/>
                      <w:sz w:val="21"/>
                      <w:szCs w:val="21"/>
                    </w:rPr>
                    <w:t>站内设备</w:t>
                  </w: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站外建（构）筑物</w:t>
                  </w:r>
                </w:p>
              </w:tc>
              <w:tc>
                <w:tcPr>
                  <w:tcW w:w="3420" w:type="dxa"/>
                  <w:gridSpan w:val="2"/>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站内</w:t>
                  </w:r>
                  <w:r>
                    <w:rPr>
                      <w:rFonts w:hint="eastAsia" w:ascii="Times New Roman" w:hAnsi="Times New Roman" w:eastAsia="宋体" w:cs="Times New Roman"/>
                      <w:sz w:val="21"/>
                      <w:szCs w:val="21"/>
                    </w:rPr>
                    <w:t>柴</w:t>
                  </w:r>
                  <w:r>
                    <w:rPr>
                      <w:rFonts w:ascii="Times New Roman" w:hAnsi="Times New Roman" w:eastAsia="宋体" w:cs="Times New Roman"/>
                      <w:sz w:val="21"/>
                      <w:szCs w:val="21"/>
                    </w:rPr>
                    <w:t>油设备</w:t>
                  </w:r>
                </w:p>
              </w:tc>
              <w:tc>
                <w:tcPr>
                  <w:tcW w:w="3237" w:type="dxa"/>
                  <w:gridSpan w:val="3"/>
                  <w:tcBorders>
                    <w:bottom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本项目</w:t>
                  </w:r>
                </w:p>
              </w:tc>
              <w:tc>
                <w:tcPr>
                  <w:tcW w:w="1176"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1605"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r>
                    <w:rPr>
                      <w:rFonts w:hint="eastAsia" w:cs="Times New Roman"/>
                      <w:sz w:val="21"/>
                      <w:szCs w:val="21"/>
                      <w:lang w:eastAsia="zh-CN"/>
                    </w:rPr>
                    <w:t>、</w:t>
                  </w:r>
                  <w:r>
                    <w:rPr>
                      <w:rFonts w:ascii="Times New Roman" w:hAnsi="Times New Roman" w:eastAsia="宋体" w:cs="Times New Roman"/>
                      <w:sz w:val="21"/>
                      <w:szCs w:val="21"/>
                    </w:rPr>
                    <w:t>通气管管口</w:t>
                  </w:r>
                </w:p>
              </w:tc>
              <w:tc>
                <w:tcPr>
                  <w:tcW w:w="1102" w:type="dxa"/>
                  <w:tcBorders>
                    <w:top w:val="single" w:color="auto" w:sz="4"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91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p>
              </w:tc>
              <w:tc>
                <w:tcPr>
                  <w:tcW w:w="1220"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通气管管口</w:t>
                  </w: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28"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sz w:val="21"/>
                      <w:szCs w:val="21"/>
                      <w:lang w:eastAsia="zh-CN"/>
                    </w:rPr>
                    <w:t>一</w:t>
                  </w:r>
                  <w:r>
                    <w:rPr>
                      <w:rFonts w:ascii="Times New Roman" w:hAnsi="Times New Roman" w:eastAsia="宋体" w:cs="Times New Roman"/>
                      <w:sz w:val="21"/>
                      <w:szCs w:val="21"/>
                    </w:rPr>
                    <w:t>级站</w:t>
                  </w:r>
                </w:p>
              </w:tc>
              <w:tc>
                <w:tcPr>
                  <w:tcW w:w="160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02"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一级站</w:t>
                  </w:r>
                </w:p>
              </w:tc>
              <w:tc>
                <w:tcPr>
                  <w:tcW w:w="91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220"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重要公共建筑物</w:t>
                  </w:r>
                  <w:r>
                    <w:rPr>
                      <w:rFonts w:hint="eastAsia" w:cs="Times New Roman"/>
                      <w:sz w:val="21"/>
                      <w:szCs w:val="21"/>
                      <w:lang w:eastAsia="zh-CN"/>
                    </w:rPr>
                    <w:t>（石人山服务区）</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25</w:t>
                  </w:r>
                </w:p>
              </w:tc>
              <w:tc>
                <w:tcPr>
                  <w:tcW w:w="110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47</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54</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明火地点或散发火花地点</w:t>
                  </w:r>
                </w:p>
              </w:tc>
              <w:tc>
                <w:tcPr>
                  <w:tcW w:w="18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1</w:t>
                  </w:r>
                  <w:r>
                    <w:rPr>
                      <w:rFonts w:hint="eastAsia" w:cs="Times New Roman"/>
                      <w:sz w:val="21"/>
                      <w:szCs w:val="21"/>
                      <w:lang w:val="en-US" w:eastAsia="zh-CN"/>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民用建筑保护物类别</w:t>
                  </w: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西</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eastAsia="zh-CN"/>
                    </w:rPr>
                    <w:t>服务区</w:t>
                  </w:r>
                  <w:r>
                    <w:rPr>
                      <w:rFonts w:hint="eastAsia" w:ascii="Times New Roman" w:hAnsi="宋体" w:eastAsia="宋体" w:cs="Times New Roman"/>
                      <w:kern w:val="0"/>
                      <w:sz w:val="21"/>
                      <w:szCs w:val="21"/>
                    </w:rPr>
                    <w:t>)</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甲、乙类物品生产厂房、库房和甲、乙类液体储罐</w:t>
                  </w:r>
                </w:p>
              </w:tc>
              <w:tc>
                <w:tcPr>
                  <w:tcW w:w="181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丙、丁、戊类物品生产厂房、库房和丙类液体储罐以及容积不大于50m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的埋地甲、乙类液体储罐</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9</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室外变配电站</w:t>
                  </w:r>
                </w:p>
              </w:tc>
              <w:tc>
                <w:tcPr>
                  <w:tcW w:w="181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1</w:t>
                  </w:r>
                  <w:r>
                    <w:rPr>
                      <w:rFonts w:hint="eastAsia" w:cs="Times New Roman"/>
                      <w:sz w:val="21"/>
                      <w:szCs w:val="21"/>
                      <w:lang w:val="en-US" w:eastAsia="zh-CN"/>
                    </w:rPr>
                    <w:t>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铁路</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15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道路</w:t>
                  </w:r>
                </w:p>
              </w:tc>
              <w:tc>
                <w:tcPr>
                  <w:tcW w:w="3717" w:type="dxa"/>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快速路、主干路</w:t>
                  </w:r>
                  <w:r>
                    <w:rPr>
                      <w:rFonts w:hint="eastAsia" w:ascii="Times New Roman" w:hAnsi="Times New Roman" w:eastAsia="宋体" w:cs="Times New Roman"/>
                      <w:sz w:val="21"/>
                      <w:szCs w:val="21"/>
                      <w:lang w:eastAsia="zh-CN"/>
                    </w:rPr>
                    <w:t>（</w:t>
                  </w:r>
                  <w:r>
                    <w:rPr>
                      <w:rFonts w:hint="eastAsia" w:cs="Times New Roman"/>
                      <w:sz w:val="21"/>
                      <w:szCs w:val="21"/>
                      <w:lang w:eastAsia="zh-CN"/>
                    </w:rPr>
                    <w:t>东侧郑石高速</w:t>
                  </w:r>
                  <w:r>
                    <w:rPr>
                      <w:rFonts w:hint="eastAsia" w:ascii="Times New Roman" w:hAnsi="Times New Roman" w:eastAsia="宋体" w:cs="Times New Roman"/>
                      <w:sz w:val="21"/>
                      <w:szCs w:val="21"/>
                      <w:lang w:eastAsia="zh-CN"/>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kern w:val="0"/>
                      <w:sz w:val="21"/>
                      <w:szCs w:val="21"/>
                      <w:lang w:val="en-US" w:eastAsia="zh-CN"/>
                    </w:rPr>
                    <w:t>45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17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高速匝道</w:t>
                  </w:r>
                  <w:r>
                    <w:rPr>
                      <w:rFonts w:hint="eastAsia" w:ascii="Times New Roman" w:hAnsi="Times New Roman" w:eastAsia="宋体" w:cs="Times New Roman"/>
                      <w:sz w:val="21"/>
                      <w:szCs w:val="21"/>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100</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架空通信线和通信发射塔</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0.75倍杆高且不应小于5m</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架空电力线路</w:t>
                  </w: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无绝缘层</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0.75倍杆（塔）高且不应小于6.5m</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有绝缘层</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0.75倍杆（塔）高且不应小于5m</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bl>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r>
              <w:rPr>
                <w:rFonts w:hint="eastAsia" w:ascii="Times New Roman" w:hAnsi="Times New Roman" w:eastAsia="宋体" w:cs="Times New Roman"/>
                <w:b/>
                <w:kern w:val="0"/>
                <w:sz w:val="21"/>
                <w:szCs w:val="21"/>
              </w:rPr>
              <w:t>备注：</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p>
          <w:p>
            <w:pPr>
              <w:widowControl/>
              <w:adjustRightInd w:val="0"/>
              <w:snapToGrid w:val="0"/>
              <w:spacing w:line="240" w:lineRule="auto"/>
              <w:ind w:firstLine="0" w:firstLineChars="0"/>
              <w:rPr>
                <w:rFonts w:ascii="Times New Roman" w:hAnsi="Times New Roman" w:eastAsia="宋体" w:cs="Times New Roman"/>
                <w:b/>
                <w:kern w:val="0"/>
                <w:sz w:val="21"/>
                <w:szCs w:val="21"/>
              </w:rPr>
            </w:pPr>
          </w:p>
        </w:tc>
      </w:tr>
    </w:tbl>
    <w:p>
      <w:pPr>
        <w:sectPr>
          <w:pgSz w:w="16838" w:h="11906" w:orient="landscape"/>
          <w:pgMar w:top="709" w:right="1701" w:bottom="993" w:left="1701" w:header="709" w:footer="779"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2"/>
        <w:tblW w:w="843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43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28" w:hRule="atLeast"/>
          <w:jc w:val="center"/>
        </w:trPr>
        <w:tc>
          <w:tcPr>
            <w:tcW w:w="8430" w:type="dxa"/>
          </w:tcPr>
          <w:p>
            <w:pPr>
              <w:spacing w:line="360" w:lineRule="auto"/>
              <w:ind w:firstLine="480" w:firstLineChars="200"/>
              <w:rPr>
                <w:rFonts w:hint="eastAsia"/>
                <w:lang w:eastAsia="zh-CN"/>
              </w:rPr>
            </w:pPr>
            <w:r>
              <w:rPr>
                <w:rFonts w:hint="default"/>
              </w:rPr>
              <w:t>综上所述，本项目的选址合理。</w:t>
            </w:r>
            <w:r>
              <w:rPr>
                <w:rFonts w:hint="default"/>
              </w:rPr>
              <w:br w:type="textWrapping"/>
            </w:r>
            <w:r>
              <w:rPr>
                <w:rFonts w:hint="eastAsia"/>
                <w:b/>
                <w:bCs/>
                <w:lang w:val="en-US" w:eastAsia="zh-CN"/>
              </w:rPr>
              <w:t>10.平面布置合理性分析</w:t>
            </w:r>
            <w:r>
              <w:rPr>
                <w:rFonts w:hint="eastAsia"/>
                <w:lang w:val="en-US" w:eastAsia="zh-CN"/>
              </w:rPr>
              <w:br w:type="textWrapping"/>
            </w:r>
            <w:r>
              <w:rPr>
                <w:rFonts w:hint="eastAsia"/>
                <w:lang w:val="en-US" w:eastAsia="zh-CN"/>
              </w:rPr>
              <w:t xml:space="preserve">    </w:t>
            </w:r>
            <w:r>
              <w:rPr>
                <w:rFonts w:hint="eastAsia"/>
                <w:lang w:eastAsia="zh-CN"/>
              </w:rPr>
              <w:t>鲁山赵村镇境内郑石高速石人山北服务区</w:t>
            </w:r>
            <w:r>
              <w:rPr>
                <w:rFonts w:hint="default"/>
              </w:rPr>
              <w:t>，项目厂区地块总体近似为长方形，按功能划分为油品储罐区、站房区、加油区，加油区、储罐区位于项目中部区域</w:t>
            </w:r>
            <w:r>
              <w:rPr>
                <w:rFonts w:hint="eastAsia"/>
                <w:lang w:eastAsia="zh-CN"/>
              </w:rPr>
              <w:t>；</w:t>
            </w:r>
            <w:r>
              <w:rPr>
                <w:rFonts w:hint="default"/>
              </w:rPr>
              <w:t>站房位于加油区</w:t>
            </w:r>
            <w:r>
              <w:rPr>
                <w:rFonts w:hint="eastAsia"/>
                <w:lang w:eastAsia="zh-CN"/>
              </w:rPr>
              <w:t>南</w:t>
            </w:r>
            <w:r>
              <w:rPr>
                <w:rFonts w:hint="default"/>
              </w:rPr>
              <w:t>侧，项目出口和入口分开设置，总平面布置中各建筑物和构筑物按一定防火间距布置，考虑防火要求，设置消防设施。厂区平面布置严格按照《汽车加油加气站设计与施工规范》（GB50156-2012）（2014年局部修订版）中总平面布置标准要求，厂区平面布置见附图</w:t>
            </w:r>
            <w:r>
              <w:rPr>
                <w:rFonts w:hint="eastAsia"/>
                <w:lang w:eastAsia="zh-CN"/>
              </w:rPr>
              <w:t>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textAlignment w:val="auto"/>
            </w:pPr>
            <w:r>
              <w:rPr>
                <w:b/>
                <w:bCs/>
              </w:rPr>
              <w:t>1</w:t>
            </w:r>
            <w:r>
              <w:rPr>
                <w:rFonts w:hint="eastAsia"/>
                <w:b/>
                <w:bCs/>
                <w:lang w:val="en-US" w:eastAsia="zh-CN"/>
              </w:rPr>
              <w:t>1</w:t>
            </w:r>
            <w:r>
              <w:rPr>
                <w:rFonts w:hint="eastAsia"/>
                <w:b/>
                <w:bCs/>
              </w:rPr>
              <w:t>、与“三线一单”相符性分析</w:t>
            </w:r>
          </w:p>
          <w:p>
            <w:pPr>
              <w:snapToGrid w:val="0"/>
              <w:spacing w:line="520" w:lineRule="atLeast"/>
              <w:ind w:firstLine="480" w:firstLineChars="200"/>
            </w:pPr>
            <w:r>
              <w:rPr>
                <w:rFonts w:hint="eastAsia"/>
              </w:rPr>
              <w:t>本项目与“三线一单”相符性分析见表</w:t>
            </w:r>
            <w:r>
              <w:rPr>
                <w:rFonts w:hint="eastAsia"/>
                <w:lang w:val="en-US" w:eastAsia="zh-CN"/>
              </w:rPr>
              <w:t>7</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rPr>
            </w:pPr>
            <w:r>
              <w:rPr>
                <w:rFonts w:hint="eastAsia"/>
                <w:b/>
                <w:bCs/>
              </w:rPr>
              <w:t>表</w:t>
            </w:r>
            <w:r>
              <w:rPr>
                <w:rFonts w:hint="eastAsia"/>
                <w:b/>
                <w:bCs/>
                <w:lang w:val="en-US" w:eastAsia="zh-CN"/>
              </w:rPr>
              <w:t>7</w:t>
            </w:r>
            <w:r>
              <w:rPr>
                <w:rFonts w:hint="eastAsia"/>
                <w:b/>
                <w:bCs/>
              </w:rPr>
              <w:t xml:space="preserve"> </w:t>
            </w:r>
            <w:r>
              <w:rPr>
                <w:rFonts w:hint="eastAsia"/>
                <w:b/>
                <w:bCs/>
                <w:lang w:val="en-US" w:eastAsia="zh-CN"/>
              </w:rPr>
              <w:t xml:space="preserve">   </w:t>
            </w:r>
            <w:r>
              <w:rPr>
                <w:rFonts w:hint="eastAsia"/>
                <w:b/>
                <w:bCs/>
              </w:rPr>
              <w:t>本项目与“三线一单”符合性分析</w:t>
            </w:r>
          </w:p>
          <w:tbl>
            <w:tblPr>
              <w:tblStyle w:val="22"/>
              <w:tblW w:w="82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1201"/>
              <w:gridCol w:w="6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41" w:type="dxa"/>
                  <w:tcBorders>
                    <w:top w:val="single" w:color="auto" w:sz="8" w:space="0"/>
                    <w:left w:val="single" w:color="auto" w:sz="0" w:space="0"/>
                  </w:tcBorders>
                  <w:noWrap w:val="0"/>
                  <w:vAlign w:val="center"/>
                </w:tcPr>
                <w:p>
                  <w:pPr>
                    <w:spacing w:line="240" w:lineRule="auto"/>
                    <w:ind w:firstLine="0" w:firstLineChars="0"/>
                    <w:jc w:val="center"/>
                    <w:rPr>
                      <w:sz w:val="21"/>
                      <w:szCs w:val="21"/>
                    </w:rPr>
                  </w:pPr>
                  <w:r>
                    <w:rPr>
                      <w:rFonts w:hint="eastAsia"/>
                      <w:sz w:val="21"/>
                      <w:szCs w:val="21"/>
                    </w:rPr>
                    <w:t>序</w:t>
                  </w:r>
                  <w:r>
                    <w:rPr>
                      <w:sz w:val="21"/>
                      <w:szCs w:val="21"/>
                    </w:rPr>
                    <w:t>号</w:t>
                  </w:r>
                </w:p>
              </w:tc>
              <w:tc>
                <w:tcPr>
                  <w:tcW w:w="1201" w:type="dxa"/>
                  <w:tcBorders>
                    <w:top w:val="single" w:color="auto" w:sz="8" w:space="0"/>
                  </w:tcBorders>
                  <w:noWrap w:val="0"/>
                  <w:vAlign w:val="center"/>
                </w:tcPr>
                <w:p>
                  <w:pPr>
                    <w:spacing w:line="240" w:lineRule="auto"/>
                    <w:ind w:firstLine="0" w:firstLineChars="0"/>
                    <w:jc w:val="center"/>
                    <w:rPr>
                      <w:sz w:val="21"/>
                      <w:szCs w:val="21"/>
                    </w:rPr>
                  </w:pPr>
                  <w:r>
                    <w:rPr>
                      <w:sz w:val="21"/>
                      <w:szCs w:val="21"/>
                    </w:rPr>
                    <w:t>内容</w:t>
                  </w:r>
                </w:p>
              </w:tc>
              <w:tc>
                <w:tcPr>
                  <w:tcW w:w="6472" w:type="dxa"/>
                  <w:tcBorders>
                    <w:top w:val="single" w:color="auto" w:sz="8" w:space="0"/>
                    <w:right w:val="single" w:color="auto" w:sz="8" w:space="0"/>
                  </w:tcBorders>
                  <w:noWrap w:val="0"/>
                  <w:vAlign w:val="center"/>
                </w:tcPr>
                <w:p>
                  <w:pPr>
                    <w:spacing w:line="240" w:lineRule="auto"/>
                    <w:ind w:firstLine="0" w:firstLineChars="0"/>
                    <w:jc w:val="center"/>
                    <w:rPr>
                      <w:sz w:val="21"/>
                      <w:szCs w:val="21"/>
                    </w:rPr>
                  </w:pPr>
                  <w:r>
                    <w:rPr>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1"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1</w:t>
                  </w:r>
                </w:p>
              </w:tc>
              <w:tc>
                <w:tcPr>
                  <w:tcW w:w="1201" w:type="dxa"/>
                  <w:noWrap w:val="0"/>
                  <w:vAlign w:val="center"/>
                </w:tcPr>
                <w:p>
                  <w:pPr>
                    <w:spacing w:line="240" w:lineRule="auto"/>
                    <w:ind w:firstLine="0" w:firstLineChars="0"/>
                    <w:jc w:val="center"/>
                    <w:rPr>
                      <w:sz w:val="21"/>
                      <w:szCs w:val="21"/>
                    </w:rPr>
                  </w:pPr>
                  <w:r>
                    <w:rPr>
                      <w:sz w:val="21"/>
                      <w:szCs w:val="21"/>
                    </w:rPr>
                    <w:t>生态保护红线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项目建设地点位于</w:t>
                  </w:r>
                  <w:r>
                    <w:rPr>
                      <w:rFonts w:hint="eastAsia"/>
                      <w:sz w:val="21"/>
                      <w:szCs w:val="21"/>
                      <w:lang w:val="en-US" w:eastAsia="zh-CN"/>
                    </w:rPr>
                    <w:t>鲁山赵村镇境内郑石高速石人山北服务区</w:t>
                  </w:r>
                  <w:r>
                    <w:rPr>
                      <w:sz w:val="21"/>
                      <w:szCs w:val="21"/>
                    </w:rPr>
                    <w:t>，根据《河南省生态保护红线划定方案》（征求意见稿），项目不在河南省生态保护红线区范围内，符合生态保护红线要求。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2</w:t>
                  </w:r>
                </w:p>
              </w:tc>
              <w:tc>
                <w:tcPr>
                  <w:tcW w:w="1201" w:type="dxa"/>
                  <w:noWrap w:val="0"/>
                  <w:vAlign w:val="center"/>
                </w:tcPr>
                <w:p>
                  <w:pPr>
                    <w:spacing w:line="240" w:lineRule="auto"/>
                    <w:ind w:firstLine="0" w:firstLineChars="0"/>
                    <w:jc w:val="center"/>
                    <w:rPr>
                      <w:sz w:val="21"/>
                      <w:szCs w:val="21"/>
                    </w:rPr>
                  </w:pPr>
                  <w:r>
                    <w:rPr>
                      <w:sz w:val="21"/>
                      <w:szCs w:val="21"/>
                    </w:rPr>
                    <w:t>环境质量底线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根据项目区域环境质量现状分析，该项目所在区域大气、地表水、噪声等均能满足相关环境质量标准。</w:t>
                  </w:r>
                </w:p>
                <w:p>
                  <w:pPr>
                    <w:spacing w:line="240" w:lineRule="auto"/>
                    <w:ind w:firstLine="0" w:firstLineChars="0"/>
                    <w:jc w:val="left"/>
                    <w:rPr>
                      <w:sz w:val="21"/>
                      <w:szCs w:val="21"/>
                    </w:rPr>
                  </w:pPr>
                  <w:r>
                    <w:rPr>
                      <w:sz w:val="21"/>
                      <w:szCs w:val="21"/>
                    </w:rPr>
                    <w:t>本项目产生的污染物包括废气、废水、噪声、固体废物。</w:t>
                  </w:r>
                </w:p>
                <w:p>
                  <w:pPr>
                    <w:spacing w:line="240" w:lineRule="auto"/>
                    <w:ind w:firstLine="0" w:firstLineChars="0"/>
                    <w:jc w:val="left"/>
                    <w:rPr>
                      <w:sz w:val="21"/>
                      <w:szCs w:val="21"/>
                    </w:rPr>
                  </w:pPr>
                  <w:r>
                    <w:rPr>
                      <w:sz w:val="21"/>
                      <w:szCs w:val="21"/>
                    </w:rPr>
                    <w:t>1）项目</w:t>
                  </w:r>
                  <w:r>
                    <w:rPr>
                      <w:rFonts w:hint="eastAsia"/>
                      <w:sz w:val="21"/>
                      <w:szCs w:val="21"/>
                    </w:rPr>
                    <w:t>废气</w:t>
                  </w:r>
                  <w:r>
                    <w:rPr>
                      <w:rFonts w:hint="eastAsia"/>
                      <w:sz w:val="21"/>
                      <w:szCs w:val="21"/>
                      <w:lang w:eastAsia="zh-CN"/>
                    </w:rPr>
                    <w:t>非甲烷总烃</w:t>
                  </w:r>
                  <w:r>
                    <w:rPr>
                      <w:rFonts w:hint="eastAsia"/>
                      <w:sz w:val="21"/>
                      <w:szCs w:val="21"/>
                    </w:rPr>
                    <w:t>经</w:t>
                  </w:r>
                  <w:r>
                    <w:rPr>
                      <w:rFonts w:hint="eastAsia"/>
                      <w:sz w:val="21"/>
                      <w:szCs w:val="21"/>
                      <w:lang w:eastAsia="zh-CN"/>
                    </w:rPr>
                    <w:t>一次、二次油气回收系统回收后无组织排放，</w:t>
                  </w:r>
                  <w:r>
                    <w:rPr>
                      <w:sz w:val="21"/>
                      <w:szCs w:val="21"/>
                    </w:rPr>
                    <w:t>本项目废气对周围环境的影响较小。</w:t>
                  </w:r>
                </w:p>
                <w:p>
                  <w:pPr>
                    <w:spacing w:line="240" w:lineRule="auto"/>
                    <w:ind w:firstLine="0" w:firstLineChars="0"/>
                    <w:jc w:val="left"/>
                    <w:rPr>
                      <w:sz w:val="21"/>
                      <w:szCs w:val="21"/>
                    </w:rPr>
                  </w:pPr>
                  <w:r>
                    <w:rPr>
                      <w:sz w:val="21"/>
                      <w:szCs w:val="21"/>
                    </w:rPr>
                    <w:t>2）项目噪声主要来要自于设备运转噪声，主要噪声源源强较低，经采取减振、消声、建筑吸声等措施，厂界噪声符合《工业企业厂界环境噪声排放标准》（GB12348-2008）</w:t>
                  </w:r>
                  <w:r>
                    <w:rPr>
                      <w:rFonts w:hint="eastAsia"/>
                      <w:sz w:val="21"/>
                      <w:szCs w:val="21"/>
                      <w:lang w:val="en-US" w:eastAsia="zh-CN"/>
                    </w:rPr>
                    <w:t>2</w:t>
                  </w:r>
                  <w:r>
                    <w:rPr>
                      <w:sz w:val="21"/>
                      <w:szCs w:val="21"/>
                    </w:rPr>
                    <w:t>类</w:t>
                  </w:r>
                  <w:r>
                    <w:rPr>
                      <w:rFonts w:hint="eastAsia"/>
                      <w:sz w:val="21"/>
                      <w:szCs w:val="21"/>
                      <w:lang w:eastAsia="zh-CN"/>
                    </w:rPr>
                    <w:t>和</w:t>
                  </w:r>
                  <w:r>
                    <w:rPr>
                      <w:rFonts w:hint="eastAsia"/>
                      <w:sz w:val="21"/>
                      <w:szCs w:val="21"/>
                      <w:lang w:val="en-US" w:eastAsia="zh-CN"/>
                    </w:rPr>
                    <w:t>4类</w:t>
                  </w:r>
                  <w:r>
                    <w:rPr>
                      <w:sz w:val="21"/>
                      <w:szCs w:val="21"/>
                    </w:rPr>
                    <w:t>标准；</w:t>
                  </w:r>
                </w:p>
                <w:p>
                  <w:pPr>
                    <w:spacing w:line="240" w:lineRule="auto"/>
                    <w:ind w:firstLine="0" w:firstLineChars="0"/>
                    <w:jc w:val="left"/>
                    <w:rPr>
                      <w:sz w:val="21"/>
                      <w:szCs w:val="21"/>
                    </w:rPr>
                  </w:pPr>
                  <w:r>
                    <w:rPr>
                      <w:sz w:val="21"/>
                      <w:szCs w:val="21"/>
                    </w:rPr>
                    <w:t>3）</w:t>
                  </w:r>
                  <w:r>
                    <w:rPr>
                      <w:rFonts w:hint="eastAsia"/>
                      <w:sz w:val="21"/>
                      <w:szCs w:val="21"/>
                    </w:rPr>
                    <w:t>生活废水经化粪池处理后</w:t>
                  </w:r>
                  <w:r>
                    <w:rPr>
                      <w:rFonts w:hint="eastAsia"/>
                      <w:sz w:val="21"/>
                      <w:szCs w:val="21"/>
                      <w:lang w:eastAsia="zh-CN"/>
                    </w:rPr>
                    <w:t>由服务区统一收集处理</w:t>
                  </w:r>
                  <w:r>
                    <w:rPr>
                      <w:sz w:val="21"/>
                      <w:szCs w:val="21"/>
                    </w:rPr>
                    <w:t>。</w:t>
                  </w:r>
                </w:p>
                <w:p>
                  <w:pPr>
                    <w:spacing w:line="240" w:lineRule="auto"/>
                    <w:ind w:firstLine="0" w:firstLineChars="0"/>
                    <w:jc w:val="left"/>
                    <w:rPr>
                      <w:rFonts w:hint="eastAsia"/>
                      <w:sz w:val="21"/>
                      <w:szCs w:val="21"/>
                      <w:lang w:eastAsia="zh-CN"/>
                    </w:rPr>
                  </w:pPr>
                  <w:r>
                    <w:rPr>
                      <w:sz w:val="21"/>
                      <w:szCs w:val="21"/>
                    </w:rPr>
                    <w:t>4）项目产生的生活垃圾由环卫部门清运处理</w:t>
                  </w:r>
                  <w:r>
                    <w:rPr>
                      <w:rFonts w:hint="eastAsia"/>
                      <w:sz w:val="21"/>
                      <w:szCs w:val="21"/>
                      <w:lang w:eastAsia="zh-CN"/>
                    </w:rPr>
                    <w:t>。</w:t>
                  </w:r>
                </w:p>
                <w:p>
                  <w:pPr>
                    <w:spacing w:line="240" w:lineRule="auto"/>
                    <w:ind w:firstLine="0" w:firstLineChars="0"/>
                    <w:jc w:val="left"/>
                    <w:rPr>
                      <w:sz w:val="21"/>
                      <w:szCs w:val="21"/>
                    </w:rPr>
                  </w:pPr>
                  <w:r>
                    <w:rPr>
                      <w:sz w:val="21"/>
                      <w:szCs w:val="21"/>
                    </w:rPr>
                    <w:t>综上分析，项目产生的各类污染物均通过相关措施处理、处置，对环境质量产生的不利影响较小，不会超岀环境质量底线。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3</w:t>
                  </w:r>
                </w:p>
              </w:tc>
              <w:tc>
                <w:tcPr>
                  <w:tcW w:w="1201" w:type="dxa"/>
                  <w:noWrap w:val="0"/>
                  <w:vAlign w:val="center"/>
                </w:tcPr>
                <w:p>
                  <w:pPr>
                    <w:spacing w:line="240" w:lineRule="auto"/>
                    <w:ind w:firstLine="0" w:firstLineChars="0"/>
                    <w:jc w:val="center"/>
                    <w:rPr>
                      <w:sz w:val="21"/>
                      <w:szCs w:val="21"/>
                    </w:rPr>
                  </w:pPr>
                  <w:r>
                    <w:rPr>
                      <w:sz w:val="21"/>
                      <w:szCs w:val="21"/>
                    </w:rPr>
                    <w:t>资源利用上线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供电：该项目用电由</w:t>
                  </w:r>
                  <w:r>
                    <w:rPr>
                      <w:rFonts w:hint="eastAsia"/>
                      <w:sz w:val="21"/>
                      <w:szCs w:val="21"/>
                    </w:rPr>
                    <w:t>区域</w:t>
                  </w:r>
                  <w:r>
                    <w:rPr>
                      <w:sz w:val="21"/>
                      <w:szCs w:val="21"/>
                    </w:rPr>
                    <w:t>供电电网供给，项目用电量为</w:t>
                  </w:r>
                  <w:r>
                    <w:rPr>
                      <w:rFonts w:hint="eastAsia"/>
                      <w:sz w:val="21"/>
                      <w:szCs w:val="21"/>
                      <w:lang w:val="en-US" w:eastAsia="zh-CN"/>
                    </w:rPr>
                    <w:t>48000</w:t>
                  </w:r>
                  <w:r>
                    <w:rPr>
                      <w:sz w:val="21"/>
                      <w:szCs w:val="21"/>
                    </w:rPr>
                    <w:t>kw·h。</w:t>
                  </w:r>
                </w:p>
                <w:p>
                  <w:pPr>
                    <w:spacing w:line="240" w:lineRule="auto"/>
                    <w:ind w:firstLine="0" w:firstLineChars="0"/>
                    <w:jc w:val="left"/>
                    <w:rPr>
                      <w:sz w:val="21"/>
                      <w:szCs w:val="21"/>
                    </w:rPr>
                  </w:pPr>
                  <w:r>
                    <w:rPr>
                      <w:sz w:val="21"/>
                      <w:szCs w:val="21"/>
                    </w:rPr>
                    <w:t>给水：该项目用水水源来</w:t>
                  </w:r>
                  <w:r>
                    <w:rPr>
                      <w:rFonts w:hint="eastAsia"/>
                      <w:sz w:val="21"/>
                      <w:szCs w:val="21"/>
                      <w:lang w:eastAsia="zh-CN"/>
                    </w:rPr>
                    <w:t>自企业自备井水</w:t>
                  </w:r>
                  <w:r>
                    <w:rPr>
                      <w:sz w:val="21"/>
                      <w:szCs w:val="21"/>
                    </w:rPr>
                    <w:t>。项目用水量为</w:t>
                  </w:r>
                  <w:r>
                    <w:rPr>
                      <w:rFonts w:hint="eastAsia"/>
                      <w:sz w:val="21"/>
                      <w:szCs w:val="21"/>
                      <w:lang w:val="en-US" w:eastAsia="zh-CN"/>
                    </w:rPr>
                    <w:t>500</w:t>
                  </w:r>
                  <w:r>
                    <w:rPr>
                      <w:sz w:val="21"/>
                      <w:szCs w:val="21"/>
                    </w:rPr>
                    <w:t>t/a。</w:t>
                  </w:r>
                </w:p>
                <w:p>
                  <w:pPr>
                    <w:spacing w:line="240" w:lineRule="auto"/>
                    <w:ind w:firstLine="0" w:firstLineChars="0"/>
                    <w:jc w:val="left"/>
                    <w:rPr>
                      <w:sz w:val="21"/>
                      <w:szCs w:val="21"/>
                    </w:rPr>
                  </w:pPr>
                  <w:r>
                    <w:rPr>
                      <w:sz w:val="21"/>
                      <w:szCs w:val="21"/>
                    </w:rPr>
                    <w:t>本项目不属于高能耗、高水耗项目，用电量和用水量相对较少，符合资源利用上线要求。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541" w:type="dxa"/>
                  <w:tcBorders>
                    <w:left w:val="single" w:color="auto" w:sz="4" w:space="0"/>
                    <w:bottom w:val="single" w:color="auto" w:sz="8" w:space="0"/>
                  </w:tcBorders>
                  <w:noWrap w:val="0"/>
                  <w:vAlign w:val="center"/>
                </w:tcPr>
                <w:p>
                  <w:pPr>
                    <w:spacing w:line="240" w:lineRule="auto"/>
                    <w:ind w:firstLine="0" w:firstLineChars="0"/>
                    <w:jc w:val="center"/>
                    <w:rPr>
                      <w:sz w:val="21"/>
                      <w:szCs w:val="21"/>
                    </w:rPr>
                  </w:pPr>
                  <w:r>
                    <w:rPr>
                      <w:sz w:val="21"/>
                      <w:szCs w:val="21"/>
                    </w:rPr>
                    <w:t>4</w:t>
                  </w:r>
                </w:p>
              </w:tc>
              <w:tc>
                <w:tcPr>
                  <w:tcW w:w="1201" w:type="dxa"/>
                  <w:tcBorders>
                    <w:bottom w:val="single" w:color="auto" w:sz="8" w:space="0"/>
                  </w:tcBorders>
                  <w:noWrap w:val="0"/>
                  <w:vAlign w:val="center"/>
                </w:tcPr>
                <w:p>
                  <w:pPr>
                    <w:spacing w:line="240" w:lineRule="auto"/>
                    <w:ind w:firstLine="0" w:firstLineChars="0"/>
                    <w:jc w:val="center"/>
                    <w:rPr>
                      <w:sz w:val="21"/>
                      <w:szCs w:val="21"/>
                    </w:rPr>
                  </w:pPr>
                  <w:r>
                    <w:rPr>
                      <w:sz w:val="21"/>
                      <w:szCs w:val="21"/>
                    </w:rPr>
                    <w:t>环境准入负面清单</w:t>
                  </w:r>
                </w:p>
              </w:tc>
              <w:tc>
                <w:tcPr>
                  <w:tcW w:w="6472" w:type="dxa"/>
                  <w:tcBorders>
                    <w:bottom w:val="single" w:color="auto" w:sz="8" w:space="0"/>
                    <w:right w:val="single" w:color="auto" w:sz="8" w:space="0"/>
                  </w:tcBorders>
                  <w:noWrap w:val="0"/>
                  <w:vAlign w:val="center"/>
                </w:tcPr>
                <w:p>
                  <w:pPr>
                    <w:spacing w:line="240" w:lineRule="auto"/>
                    <w:ind w:firstLine="0" w:firstLineChars="0"/>
                    <w:jc w:val="left"/>
                    <w:rPr>
                      <w:sz w:val="21"/>
                      <w:szCs w:val="21"/>
                    </w:rPr>
                  </w:pPr>
                  <w:r>
                    <w:rPr>
                      <w:sz w:val="21"/>
                      <w:szCs w:val="21"/>
                    </w:rPr>
                    <w:t>本项目不属于高能耗、高水耗项目。项目生产工艺、设备均不属于淘汰类，而且项目所在地暂无环境淮入负面清单。</w:t>
                  </w:r>
                </w:p>
              </w:tc>
            </w:tr>
          </w:tbl>
          <w:p>
            <w:pPr>
              <w:adjustRightInd w:val="0"/>
              <w:snapToGrid w:val="0"/>
              <w:spacing w:line="440" w:lineRule="exact"/>
              <w:rPr>
                <w:rFonts w:ascii="Times New Roman" w:hAnsi="Times New Roman" w:eastAsia="宋体" w:cs="Times New Roman"/>
                <w:sz w:val="24"/>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8430" w:type="dxa"/>
            <w:tcBorders>
              <w:bottom w:val="single" w:color="auto" w:sz="4" w:space="0"/>
            </w:tcBorders>
          </w:tcPr>
          <w:p>
            <w:pPr>
              <w:spacing w:line="440" w:lineRule="exact"/>
              <w:ind w:firstLine="0" w:firstLineChars="0"/>
              <w:rPr>
                <w:rFonts w:hint="eastAsia" w:ascii="Times New Roman" w:hAnsi="Times New Roman" w:eastAsia="宋体" w:cs="Times New Roman"/>
                <w:b/>
                <w:bCs/>
                <w:sz w:val="24"/>
                <w:szCs w:val="24"/>
              </w:rPr>
            </w:pPr>
            <w:r>
              <w:rPr>
                <w:rFonts w:hint="eastAsia" w:ascii="Times New Roman" w:hAnsi="Times New Roman" w:eastAsia="宋体" w:cs="Times New Roman"/>
                <w:b/>
                <w:bCs/>
                <w:sz w:val="24"/>
                <w:szCs w:val="24"/>
              </w:rPr>
              <w:t>与本项目有关的原有污染情况及主要环境问题</w:t>
            </w:r>
          </w:p>
          <w:p>
            <w:pPr>
              <w:spacing w:line="520" w:lineRule="exact"/>
              <w:rPr>
                <w:rFonts w:hint="eastAsia" w:ascii="Times New Roman" w:hAnsi="Times New Roman" w:cs="宋体"/>
                <w:b/>
                <w:bCs/>
                <w:sz w:val="24"/>
                <w:szCs w:val="22"/>
              </w:rPr>
            </w:pPr>
            <w:r>
              <w:rPr>
                <w:rFonts w:hint="eastAsia" w:ascii="Times New Roman" w:hAnsi="Times New Roman" w:cs="宋体"/>
                <w:b/>
                <w:bCs/>
                <w:sz w:val="24"/>
                <w:szCs w:val="22"/>
              </w:rPr>
              <w:t>一、原加油站基本情况</w:t>
            </w:r>
          </w:p>
          <w:p>
            <w:pPr>
              <w:spacing w:line="360" w:lineRule="auto"/>
              <w:ind w:firstLine="480" w:firstLineChars="200"/>
              <w:rPr>
                <w:rFonts w:hint="eastAsia" w:ascii="Times New Roman" w:hAnsi="Times New Roman"/>
                <w:color w:val="auto"/>
                <w:sz w:val="24"/>
                <w:szCs w:val="22"/>
              </w:rPr>
            </w:pPr>
            <w:r>
              <w:rPr>
                <w:rFonts w:ascii="Times New Roman" w:hAnsi="Times New Roman"/>
                <w:color w:val="auto"/>
                <w:sz w:val="24"/>
              </w:rPr>
              <w:t>本项目为</w:t>
            </w:r>
            <w:r>
              <w:rPr>
                <w:rFonts w:hint="eastAsia" w:ascii="Times New Roman" w:hAnsi="Times New Roman"/>
                <w:color w:val="auto"/>
                <w:sz w:val="24"/>
              </w:rPr>
              <w:t>加油站</w:t>
            </w:r>
            <w:r>
              <w:rPr>
                <w:rFonts w:ascii="Times New Roman" w:hAnsi="Times New Roman"/>
                <w:color w:val="auto"/>
                <w:sz w:val="24"/>
              </w:rPr>
              <w:t>原地整体改造</w:t>
            </w:r>
            <w:r>
              <w:rPr>
                <w:rFonts w:hint="eastAsia"/>
                <w:color w:val="auto"/>
                <w:sz w:val="24"/>
                <w:lang w:eastAsia="zh-CN"/>
              </w:rPr>
              <w:t>扩建</w:t>
            </w:r>
            <w:r>
              <w:rPr>
                <w:rFonts w:hint="eastAsia" w:ascii="Times New Roman" w:hAnsi="Times New Roman"/>
                <w:color w:val="auto"/>
                <w:sz w:val="24"/>
              </w:rPr>
              <w:t>，原</w:t>
            </w:r>
            <w:r>
              <w:rPr>
                <w:rFonts w:ascii="Times New Roman" w:hAnsi="Times New Roman"/>
                <w:color w:val="auto"/>
                <w:sz w:val="24"/>
              </w:rPr>
              <w:t>加油站</w:t>
            </w:r>
            <w:r>
              <w:rPr>
                <w:rFonts w:hint="eastAsia" w:ascii="Times New Roman" w:hAnsi="Times New Roman"/>
                <w:bCs/>
                <w:color w:val="auto"/>
                <w:sz w:val="24"/>
              </w:rPr>
              <w:t>项目占地面积</w:t>
            </w:r>
            <w:r>
              <w:rPr>
                <w:rFonts w:hint="eastAsia" w:ascii="Times New Roman" w:hAnsi="Times New Roman" w:eastAsia="宋体"/>
                <w:color w:val="auto"/>
                <w:sz w:val="24"/>
                <w:szCs w:val="22"/>
                <w:lang w:val="en-US" w:eastAsia="zh-CN"/>
              </w:rPr>
              <w:t>4000</w:t>
            </w:r>
            <w:r>
              <w:rPr>
                <w:rFonts w:hint="eastAsia" w:ascii="Times New Roman" w:hAnsi="Times New Roman"/>
                <w:bCs/>
                <w:color w:val="auto"/>
                <w:sz w:val="24"/>
              </w:rPr>
              <w:t>m</w:t>
            </w:r>
            <w:r>
              <w:rPr>
                <w:rFonts w:hint="eastAsia" w:ascii="Times New Roman" w:hAnsi="Times New Roman"/>
                <w:bCs/>
                <w:color w:val="auto"/>
                <w:sz w:val="24"/>
                <w:vertAlign w:val="superscript"/>
              </w:rPr>
              <w:t>2</w:t>
            </w:r>
            <w:r>
              <w:rPr>
                <w:rFonts w:hint="eastAsia" w:ascii="Times New Roman" w:hAnsi="Times New Roman"/>
                <w:bCs/>
                <w:color w:val="auto"/>
                <w:sz w:val="24"/>
              </w:rPr>
              <w:t>，主要建设加油罩棚</w:t>
            </w:r>
            <w:r>
              <w:rPr>
                <w:rFonts w:hint="default" w:ascii="Times New Roman" w:hAnsi="Times New Roman" w:cs="Times New Roman"/>
                <w:bCs/>
                <w:color w:val="auto"/>
                <w:sz w:val="24"/>
              </w:rPr>
              <w:t>等</w:t>
            </w:r>
            <w:r>
              <w:rPr>
                <w:rFonts w:hint="default" w:ascii="Times New Roman" w:hAnsi="Times New Roman" w:cs="Times New Roman"/>
                <w:color w:val="auto"/>
                <w:sz w:val="24"/>
              </w:rPr>
              <w:t>。设</w:t>
            </w:r>
            <w:r>
              <w:rPr>
                <w:rFonts w:hint="default" w:ascii="Times New Roman" w:hAnsi="Times New Roman" w:eastAsia="宋体" w:cs="Times New Roman"/>
                <w:color w:val="auto"/>
                <w:sz w:val="24"/>
                <w:lang w:val="en-US" w:eastAsia="zh-CN"/>
              </w:rPr>
              <w:t>3</w:t>
            </w:r>
            <w:r>
              <w:rPr>
                <w:rFonts w:hint="default" w:ascii="Times New Roman" w:hAnsi="Times New Roman" w:cs="Times New Roman"/>
                <w:color w:val="auto"/>
                <w:sz w:val="24"/>
              </w:rPr>
              <w:t>个30m³单层钢质汽油罐，</w:t>
            </w:r>
            <w:r>
              <w:rPr>
                <w:rFonts w:hint="default" w:ascii="Times New Roman" w:hAnsi="Times New Roman" w:eastAsia="宋体" w:cs="Times New Roman"/>
                <w:color w:val="auto"/>
                <w:sz w:val="24"/>
                <w:lang w:val="en-US" w:eastAsia="zh-CN"/>
              </w:rPr>
              <w:t>3</w:t>
            </w:r>
            <w:r>
              <w:rPr>
                <w:rFonts w:hint="default" w:ascii="Times New Roman" w:hAnsi="Times New Roman" w:cs="Times New Roman"/>
                <w:color w:val="auto"/>
                <w:sz w:val="24"/>
              </w:rPr>
              <w:t>个</w:t>
            </w:r>
            <w:r>
              <w:rPr>
                <w:rFonts w:hint="eastAsia" w:cs="Times New Roman"/>
                <w:color w:val="auto"/>
                <w:sz w:val="24"/>
                <w:lang w:val="en-US" w:eastAsia="zh-CN"/>
              </w:rPr>
              <w:t>3</w:t>
            </w:r>
            <w:r>
              <w:rPr>
                <w:rFonts w:hint="default" w:ascii="Times New Roman" w:hAnsi="Times New Roman" w:cs="Times New Roman"/>
                <w:color w:val="auto"/>
                <w:sz w:val="24"/>
              </w:rPr>
              <w:t>0m³单层钢质柴油罐；成品油年销售量为</w:t>
            </w:r>
            <w:r>
              <w:rPr>
                <w:rFonts w:hint="default" w:ascii="Times New Roman" w:hAnsi="Times New Roman" w:eastAsia="宋体" w:cs="Times New Roman"/>
                <w:color w:val="auto"/>
                <w:sz w:val="24"/>
                <w:lang w:val="en-US" w:eastAsia="zh-CN"/>
              </w:rPr>
              <w:t>2750</w:t>
            </w:r>
            <w:r>
              <w:rPr>
                <w:rFonts w:hint="default" w:ascii="Times New Roman" w:hAnsi="Times New Roman" w:cs="Times New Roman"/>
                <w:color w:val="auto"/>
              </w:rPr>
              <w:t>t</w:t>
            </w:r>
            <w:r>
              <w:rPr>
                <w:rFonts w:hint="default" w:ascii="Times New Roman" w:hAnsi="Times New Roman" w:cs="Times New Roman"/>
                <w:color w:val="auto"/>
                <w:sz w:val="24"/>
              </w:rPr>
              <w:t>，其</w:t>
            </w:r>
            <w:r>
              <w:rPr>
                <w:rFonts w:hint="default" w:ascii="Times New Roman" w:hAnsi="Times New Roman" w:cs="Times New Roman"/>
                <w:color w:val="auto"/>
                <w:sz w:val="24"/>
                <w:szCs w:val="22"/>
              </w:rPr>
              <w:t>中汽油</w:t>
            </w:r>
            <w:r>
              <w:rPr>
                <w:rFonts w:hint="default" w:ascii="Times New Roman" w:hAnsi="Times New Roman" w:eastAsia="宋体" w:cs="Times New Roman"/>
                <w:color w:val="auto"/>
                <w:sz w:val="24"/>
                <w:szCs w:val="22"/>
                <w:lang w:val="en-US" w:eastAsia="zh-CN"/>
              </w:rPr>
              <w:t>25</w:t>
            </w:r>
            <w:r>
              <w:rPr>
                <w:rFonts w:hint="default" w:ascii="Times New Roman" w:hAnsi="Times New Roman" w:cs="Times New Roman"/>
                <w:color w:val="auto"/>
                <w:sz w:val="24"/>
                <w:szCs w:val="22"/>
              </w:rPr>
              <w:t>00t、柴油</w:t>
            </w:r>
            <w:r>
              <w:rPr>
                <w:rFonts w:hint="default" w:ascii="Times New Roman" w:hAnsi="Times New Roman" w:eastAsia="宋体" w:cs="Times New Roman"/>
                <w:color w:val="auto"/>
                <w:sz w:val="24"/>
                <w:szCs w:val="22"/>
                <w:lang w:val="en-US" w:eastAsia="zh-CN"/>
              </w:rPr>
              <w:t>25</w:t>
            </w:r>
            <w:r>
              <w:rPr>
                <w:rFonts w:hint="default" w:ascii="Times New Roman" w:hAnsi="Times New Roman" w:cs="Times New Roman"/>
                <w:color w:val="auto"/>
                <w:sz w:val="24"/>
                <w:szCs w:val="22"/>
              </w:rPr>
              <w:t>0t，</w:t>
            </w:r>
            <w:r>
              <w:rPr>
                <w:rFonts w:hint="eastAsia" w:ascii="Times New Roman" w:hAnsi="Times New Roman" w:cs="Times New Roman"/>
                <w:color w:val="auto"/>
                <w:sz w:val="24"/>
                <w:lang w:eastAsia="zh-CN"/>
              </w:rPr>
              <w:t>扩建</w:t>
            </w:r>
            <w:r>
              <w:rPr>
                <w:rFonts w:hint="default" w:ascii="Times New Roman" w:hAnsi="Times New Roman" w:cs="Times New Roman"/>
                <w:color w:val="auto"/>
                <w:sz w:val="24"/>
              </w:rPr>
              <w:t>后，</w:t>
            </w:r>
            <w:r>
              <w:rPr>
                <w:rFonts w:ascii="Times New Roman" w:hAnsi="Times New Roman"/>
                <w:color w:val="auto"/>
                <w:sz w:val="24"/>
              </w:rPr>
              <w:t>销</w:t>
            </w:r>
            <w:r>
              <w:rPr>
                <w:rFonts w:hint="eastAsia" w:ascii="Times New Roman" w:hAnsi="Times New Roman"/>
                <w:color w:val="auto"/>
                <w:sz w:val="24"/>
                <w:szCs w:val="22"/>
              </w:rPr>
              <w:t>售量</w:t>
            </w:r>
            <w:r>
              <w:rPr>
                <w:rFonts w:hint="eastAsia" w:ascii="Times New Roman" w:hAnsi="Times New Roman" w:eastAsia="宋体"/>
                <w:color w:val="auto"/>
                <w:sz w:val="24"/>
                <w:szCs w:val="22"/>
                <w:lang w:eastAsia="zh-CN"/>
              </w:rPr>
              <w:t>不增加</w:t>
            </w:r>
            <w:r>
              <w:rPr>
                <w:rFonts w:hint="eastAsia" w:ascii="Times New Roman" w:hAnsi="Times New Roman"/>
                <w:color w:val="auto"/>
                <w:sz w:val="24"/>
                <w:szCs w:val="22"/>
              </w:rPr>
              <w:t>。</w:t>
            </w:r>
          </w:p>
          <w:p>
            <w:pPr>
              <w:pStyle w:val="19"/>
              <w:spacing w:before="0" w:beforeAutospacing="0" w:after="0" w:afterAutospacing="0" w:line="360" w:lineRule="auto"/>
              <w:jc w:val="both"/>
              <w:rPr>
                <w:rFonts w:hint="eastAsia" w:ascii="Times New Roman" w:hAnsi="Times New Roman" w:cs="宋体"/>
                <w:b/>
                <w:bCs/>
                <w:color w:val="auto"/>
                <w:kern w:val="2"/>
                <w:szCs w:val="22"/>
              </w:rPr>
            </w:pPr>
            <w:r>
              <w:rPr>
                <w:rFonts w:hint="eastAsia" w:ascii="Times New Roman" w:hAnsi="Times New Roman" w:cs="宋体"/>
                <w:b/>
                <w:bCs/>
                <w:color w:val="auto"/>
                <w:kern w:val="2"/>
                <w:szCs w:val="22"/>
              </w:rPr>
              <w:t>二、原加油站污染物排放情况</w:t>
            </w:r>
          </w:p>
          <w:p>
            <w:pPr>
              <w:pStyle w:val="19"/>
              <w:spacing w:before="0" w:beforeAutospacing="0" w:after="0" w:afterAutospacing="0" w:line="360" w:lineRule="auto"/>
              <w:ind w:firstLine="482" w:firstLineChars="200"/>
              <w:jc w:val="both"/>
              <w:rPr>
                <w:rFonts w:ascii="Times New Roman" w:hAnsi="Times New Roman"/>
                <w:color w:val="auto"/>
                <w:kern w:val="2"/>
                <w:szCs w:val="22"/>
              </w:rPr>
            </w:pPr>
            <w:r>
              <w:rPr>
                <w:rFonts w:hint="eastAsia" w:ascii="Times New Roman" w:hAnsi="Times New Roman"/>
                <w:b/>
                <w:bCs/>
                <w:color w:val="auto"/>
                <w:kern w:val="2"/>
                <w:szCs w:val="22"/>
              </w:rPr>
              <w:t>1、</w:t>
            </w:r>
            <w:r>
              <w:rPr>
                <w:rFonts w:ascii="Times New Roman" w:hAnsi="Times New Roman"/>
                <w:b/>
                <w:bCs/>
                <w:color w:val="auto"/>
                <w:kern w:val="2"/>
                <w:szCs w:val="22"/>
              </w:rPr>
              <w:t>大气污染源</w:t>
            </w:r>
          </w:p>
          <w:p>
            <w:pPr>
              <w:pStyle w:val="19"/>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废气主要来源于卸油、储存、加油过程中挥发的非甲烷总烃、汽车尾气、备用发电机燃油废气。</w:t>
            </w:r>
            <w:r>
              <w:rPr>
                <w:rFonts w:hint="eastAsia" w:ascii="Times New Roman" w:hAnsi="Times New Roman"/>
                <w:b/>
                <w:bCs/>
                <w:color w:val="auto"/>
                <w:u w:val="single"/>
                <w:lang w:eastAsia="zh-CN"/>
              </w:rPr>
              <w:t>其中</w:t>
            </w:r>
            <w:r>
              <w:rPr>
                <w:rFonts w:ascii="Times New Roman" w:hAnsi="Times New Roman" w:cs="Arial"/>
                <w:b/>
                <w:bCs/>
                <w:color w:val="000000"/>
                <w:sz w:val="24"/>
                <w:u w:val="single"/>
              </w:rPr>
              <w:t>车辆进出加油站时会排放一定量的汽车尾气，主要污染物为CO、NOx、SO</w:t>
            </w:r>
            <w:r>
              <w:rPr>
                <w:rFonts w:ascii="Times New Roman" w:hAnsi="Times New Roman" w:cs="Arial"/>
                <w:b/>
                <w:bCs/>
                <w:color w:val="000000"/>
                <w:sz w:val="24"/>
                <w:u w:val="single"/>
                <w:vertAlign w:val="subscript"/>
              </w:rPr>
              <w:t>2</w:t>
            </w:r>
            <w:r>
              <w:rPr>
                <w:rFonts w:ascii="Times New Roman" w:hAnsi="Times New Roman" w:cs="Arial"/>
                <w:b/>
                <w:bCs/>
                <w:color w:val="000000"/>
                <w:sz w:val="24"/>
                <w:u w:val="single"/>
              </w:rPr>
              <w:t>、THC等，</w:t>
            </w:r>
            <w:r>
              <w:rPr>
                <w:rFonts w:hint="eastAsia" w:ascii="Times New Roman" w:hAnsi="Times New Roman" w:cs="Arial"/>
                <w:b/>
                <w:bCs/>
                <w:color w:val="000000"/>
                <w:sz w:val="24"/>
                <w:u w:val="single"/>
              </w:rPr>
              <w:t>加油时车辆均熄火，汽车尾气</w:t>
            </w:r>
            <w:r>
              <w:rPr>
                <w:rFonts w:ascii="Times New Roman" w:hAnsi="Times New Roman" w:cs="Arial"/>
                <w:b/>
                <w:bCs/>
                <w:color w:val="000000"/>
                <w:sz w:val="24"/>
                <w:u w:val="single"/>
              </w:rPr>
              <w:t>产生量较小</w:t>
            </w:r>
            <w:r>
              <w:rPr>
                <w:rFonts w:hint="eastAsia" w:ascii="Times New Roman" w:hAnsi="Times New Roman" w:cs="Arial"/>
                <w:b/>
                <w:bCs/>
                <w:color w:val="000000"/>
                <w:sz w:val="24"/>
                <w:u w:val="single"/>
              </w:rPr>
              <w:t>，不会改变区域环境空气质量，对周围环境影响很小</w:t>
            </w:r>
            <w:r>
              <w:rPr>
                <w:rFonts w:ascii="Times New Roman" w:hAnsi="Times New Roman" w:cs="Arial"/>
                <w:b/>
                <w:bCs/>
                <w:color w:val="000000"/>
                <w:sz w:val="24"/>
                <w:u w:val="single"/>
              </w:rPr>
              <w:t>。</w:t>
            </w:r>
            <w:r>
              <w:rPr>
                <w:rFonts w:ascii="Times New Roman" w:hAnsi="Times New Roman"/>
                <w:color w:val="auto"/>
              </w:rPr>
              <w:t>加油站不设置食堂，无油烟废气产生。加油站非甲烷总统产生量见表</w:t>
            </w:r>
            <w:r>
              <w:rPr>
                <w:rFonts w:hint="eastAsia" w:ascii="Times New Roman" w:hAnsi="Times New Roman"/>
                <w:color w:val="auto"/>
                <w:lang w:val="en-US" w:eastAsia="zh-CN"/>
              </w:rPr>
              <w:t>8</w:t>
            </w:r>
            <w:r>
              <w:rPr>
                <w:rFonts w:ascii="Times New Roman" w:hAnsi="Times New Roman"/>
                <w:color w:val="auto"/>
              </w:rPr>
              <w:t>所示。</w:t>
            </w:r>
          </w:p>
          <w:p>
            <w:pPr>
              <w:bidi w:val="0"/>
              <w:jc w:val="center"/>
              <w:rPr>
                <w:rFonts w:ascii="Times New Roman" w:hAnsi="Times New Roman"/>
                <w:b/>
                <w:bCs/>
                <w:color w:val="auto"/>
              </w:rPr>
            </w:pPr>
            <w:r>
              <w:rPr>
                <w:b/>
                <w:bCs/>
              </w:rPr>
              <w:t>表</w:t>
            </w:r>
            <w:r>
              <w:rPr>
                <w:rFonts w:hint="eastAsia"/>
                <w:b/>
                <w:bCs/>
                <w:lang w:val="en-US" w:eastAsia="zh-CN"/>
              </w:rPr>
              <w:t xml:space="preserve">8       </w:t>
            </w:r>
            <w:r>
              <w:rPr>
                <w:rFonts w:hint="eastAsia"/>
                <w:b/>
                <w:bCs/>
              </w:rPr>
              <w:t>项目</w:t>
            </w:r>
            <w:r>
              <w:rPr>
                <w:b/>
                <w:bCs/>
              </w:rPr>
              <w:t>非甲烷总烃排放</w:t>
            </w:r>
            <w:r>
              <w:rPr>
                <w:rFonts w:hint="eastAsia"/>
                <w:b/>
                <w:bCs/>
              </w:rPr>
              <w:t>情况</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2172"/>
              <w:gridCol w:w="999"/>
              <w:gridCol w:w="1050"/>
              <w:gridCol w:w="971"/>
              <w:gridCol w:w="1124"/>
              <w:gridCol w:w="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8" w:type="pct"/>
                  <w:gridSpan w:val="2"/>
                  <w:noWrap w:val="0"/>
                  <w:vAlign w:val="center"/>
                </w:tcPr>
                <w:p>
                  <w:pPr>
                    <w:pStyle w:val="11"/>
                    <w:bidi w:val="0"/>
                    <w:jc w:val="center"/>
                  </w:pPr>
                  <w:r>
                    <w:t>项 目</w:t>
                  </w:r>
                </w:p>
              </w:tc>
              <w:tc>
                <w:tcPr>
                  <w:tcW w:w="609" w:type="pct"/>
                  <w:noWrap w:val="0"/>
                  <w:vAlign w:val="center"/>
                </w:tcPr>
                <w:p>
                  <w:pPr>
                    <w:pStyle w:val="11"/>
                    <w:bidi w:val="0"/>
                    <w:jc w:val="center"/>
                    <w:rPr>
                      <w:rFonts w:hint="eastAsia"/>
                    </w:rPr>
                  </w:pPr>
                  <w:r>
                    <w:rPr>
                      <w:rFonts w:hint="eastAsia"/>
                    </w:rPr>
                    <w:t>排放系</w:t>
                  </w:r>
                </w:p>
                <w:p>
                  <w:pPr>
                    <w:pStyle w:val="11"/>
                    <w:bidi w:val="0"/>
                    <w:jc w:val="center"/>
                  </w:pPr>
                  <w:r>
                    <w:rPr>
                      <w:rFonts w:hint="eastAsia"/>
                    </w:rPr>
                    <w:t>数</w:t>
                  </w:r>
                </w:p>
              </w:tc>
              <w:tc>
                <w:tcPr>
                  <w:tcW w:w="640" w:type="pct"/>
                  <w:noWrap w:val="0"/>
                  <w:vAlign w:val="center"/>
                </w:tcPr>
                <w:p>
                  <w:pPr>
                    <w:pStyle w:val="11"/>
                    <w:bidi w:val="0"/>
                    <w:jc w:val="center"/>
                  </w:pPr>
                  <w:r>
                    <w:rPr>
                      <w:rFonts w:hint="eastAsia"/>
                    </w:rPr>
                    <w:t>年销售量</w:t>
                  </w:r>
                  <w:r>
                    <w:t>（</w:t>
                  </w:r>
                  <w:r>
                    <w:rPr>
                      <w:rFonts w:hint="eastAsia"/>
                    </w:rPr>
                    <w:t>t</w:t>
                  </w:r>
                  <w:r>
                    <w:t>/a）</w:t>
                  </w:r>
                </w:p>
              </w:tc>
              <w:tc>
                <w:tcPr>
                  <w:tcW w:w="592" w:type="pct"/>
                  <w:noWrap w:val="0"/>
                  <w:vAlign w:val="center"/>
                </w:tcPr>
                <w:p>
                  <w:pPr>
                    <w:pStyle w:val="11"/>
                    <w:bidi w:val="0"/>
                    <w:jc w:val="center"/>
                    <w:rPr>
                      <w:rFonts w:hint="eastAsia"/>
                    </w:rPr>
                  </w:pPr>
                  <w:r>
                    <w:rPr>
                      <w:rFonts w:hint="eastAsia"/>
                    </w:rPr>
                    <w:t>产生量</w:t>
                  </w:r>
                </w:p>
                <w:p>
                  <w:pPr>
                    <w:pStyle w:val="11"/>
                    <w:bidi w:val="0"/>
                    <w:jc w:val="center"/>
                  </w:pPr>
                  <w:r>
                    <w:rPr>
                      <w:rFonts w:hint="eastAsia"/>
                    </w:rPr>
                    <w:t>（t/a）</w:t>
                  </w:r>
                </w:p>
              </w:tc>
              <w:tc>
                <w:tcPr>
                  <w:tcW w:w="685" w:type="pct"/>
                  <w:noWrap w:val="0"/>
                  <w:vAlign w:val="center"/>
                </w:tcPr>
                <w:p>
                  <w:pPr>
                    <w:pStyle w:val="11"/>
                    <w:bidi w:val="0"/>
                    <w:jc w:val="center"/>
                  </w:pPr>
                  <w:r>
                    <w:rPr>
                      <w:rFonts w:hint="eastAsia"/>
                    </w:rPr>
                    <w:t>油气回收装置回收率</w:t>
                  </w:r>
                </w:p>
              </w:tc>
              <w:tc>
                <w:tcPr>
                  <w:tcW w:w="594" w:type="pct"/>
                  <w:noWrap w:val="0"/>
                  <w:vAlign w:val="center"/>
                </w:tcPr>
                <w:p>
                  <w:pPr>
                    <w:pStyle w:val="11"/>
                    <w:bidi w:val="0"/>
                    <w:jc w:val="center"/>
                    <w:rPr>
                      <w:rFonts w:hint="eastAsia"/>
                    </w:rPr>
                  </w:pPr>
                  <w:r>
                    <w:rPr>
                      <w:rFonts w:hint="eastAsia"/>
                    </w:rPr>
                    <w:t>排放量</w:t>
                  </w:r>
                </w:p>
                <w:p>
                  <w:pPr>
                    <w:pStyle w:val="11"/>
                    <w:bidi w:val="0"/>
                    <w:jc w:val="center"/>
                  </w:pP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储油罐</w:t>
                  </w:r>
                </w:p>
              </w:tc>
              <w:tc>
                <w:tcPr>
                  <w:tcW w:w="1323" w:type="pct"/>
                  <w:noWrap w:val="0"/>
                  <w:vAlign w:val="center"/>
                </w:tcPr>
                <w:p>
                  <w:pPr>
                    <w:pStyle w:val="11"/>
                    <w:bidi w:val="0"/>
                    <w:jc w:val="center"/>
                  </w:pPr>
                  <w:r>
                    <w:rPr>
                      <w:rFonts w:hint="eastAsia"/>
                    </w:rPr>
                    <w:t>汽油储油罐呼吸损失</w:t>
                  </w:r>
                </w:p>
              </w:tc>
              <w:tc>
                <w:tcPr>
                  <w:tcW w:w="609" w:type="pct"/>
                  <w:vMerge w:val="restart"/>
                  <w:noWrap w:val="0"/>
                  <w:vAlign w:val="center"/>
                </w:tcPr>
                <w:p>
                  <w:pPr>
                    <w:pStyle w:val="11"/>
                    <w:bidi w:val="0"/>
                    <w:jc w:val="center"/>
                  </w:pPr>
                  <w:r>
                    <w:rPr>
                      <w:rFonts w:hint="eastAsia"/>
                    </w:rPr>
                    <w:t>0.01%</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rPr>
                    <w:t>0.</w:t>
                  </w:r>
                  <w:r>
                    <w:rPr>
                      <w:rFonts w:hint="eastAsia"/>
                      <w:lang w:val="en-US" w:eastAsia="zh-CN"/>
                    </w:rPr>
                    <w:t>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rPr>
                    <w:t>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柴油储油罐呼吸损失</w:t>
                  </w:r>
                </w:p>
              </w:tc>
              <w:tc>
                <w:tcPr>
                  <w:tcW w:w="609" w:type="pct"/>
                  <w:vMerge w:val="continue"/>
                  <w:noWrap w:val="0"/>
                  <w:vAlign w:val="center"/>
                </w:tcPr>
                <w:p>
                  <w:pPr>
                    <w:pStyle w:val="11"/>
                    <w:bidi w:val="0"/>
                    <w:jc w:val="center"/>
                  </w:pP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rPr>
                    <w:t>0.0</w:t>
                  </w:r>
                  <w:r>
                    <w:rPr>
                      <w:rFonts w:hint="eastAsia"/>
                      <w:lang w:val="en-US" w:eastAsia="zh-CN"/>
                    </w:rPr>
                    <w:t>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eastAsia"/>
                      <w:lang w:val="en-US" w:eastAsia="zh-CN"/>
                    </w:rPr>
                  </w:pPr>
                  <w:r>
                    <w:rPr>
                      <w:rFonts w:hint="eastAsia"/>
                    </w:rPr>
                    <w:t>0.0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油罐车</w:t>
                  </w:r>
                </w:p>
              </w:tc>
              <w:tc>
                <w:tcPr>
                  <w:tcW w:w="1323" w:type="pct"/>
                  <w:noWrap w:val="0"/>
                  <w:vAlign w:val="center"/>
                </w:tcPr>
                <w:p>
                  <w:pPr>
                    <w:pStyle w:val="11"/>
                    <w:bidi w:val="0"/>
                    <w:jc w:val="center"/>
                  </w:pPr>
                  <w:r>
                    <w:rPr>
                      <w:rFonts w:hint="eastAsia"/>
                    </w:rPr>
                    <w:t>汽油卸油损失</w:t>
                  </w:r>
                </w:p>
              </w:tc>
              <w:tc>
                <w:tcPr>
                  <w:tcW w:w="609" w:type="pct"/>
                  <w:noWrap w:val="0"/>
                  <w:vAlign w:val="center"/>
                </w:tcPr>
                <w:p>
                  <w:pPr>
                    <w:pStyle w:val="11"/>
                    <w:bidi w:val="0"/>
                    <w:jc w:val="center"/>
                  </w:pPr>
                  <w:r>
                    <w:rPr>
                      <w:rFonts w:hint="eastAsia"/>
                    </w:rPr>
                    <w:t>0.23%</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lang w:val="en-US" w:eastAsia="zh-CN"/>
                    </w:rPr>
                    <w:t>5.75</w:t>
                  </w:r>
                </w:p>
              </w:tc>
              <w:tc>
                <w:tcPr>
                  <w:tcW w:w="685" w:type="pct"/>
                  <w:noWrap w:val="0"/>
                  <w:vAlign w:val="center"/>
                </w:tcPr>
                <w:p>
                  <w:pPr>
                    <w:pStyle w:val="11"/>
                    <w:bidi w:val="0"/>
                    <w:jc w:val="center"/>
                    <w:rPr>
                      <w:rFonts w:hint="eastAsia"/>
                    </w:rPr>
                  </w:pPr>
                  <w:r>
                    <w:rPr>
                      <w:rFonts w:hint="eastAsia"/>
                    </w:rPr>
                    <w:t>95%</w:t>
                  </w:r>
                </w:p>
              </w:tc>
              <w:tc>
                <w:tcPr>
                  <w:tcW w:w="594" w:type="pct"/>
                  <w:noWrap w:val="0"/>
                  <w:vAlign w:val="center"/>
                </w:tcPr>
                <w:p>
                  <w:pPr>
                    <w:pStyle w:val="11"/>
                    <w:bidi w:val="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柴油卸油损失</w:t>
                  </w:r>
                </w:p>
              </w:tc>
              <w:tc>
                <w:tcPr>
                  <w:tcW w:w="609" w:type="pct"/>
                  <w:noWrap w:val="0"/>
                  <w:vAlign w:val="center"/>
                </w:tcPr>
                <w:p>
                  <w:pPr>
                    <w:pStyle w:val="11"/>
                    <w:bidi w:val="0"/>
                    <w:jc w:val="center"/>
                  </w:pPr>
                  <w:r>
                    <w:rPr>
                      <w:rFonts w:hint="eastAsia"/>
                    </w:rPr>
                    <w:t>0.05%</w:t>
                  </w: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lang w:val="en-US" w:eastAsia="zh-CN"/>
                    </w:rPr>
                    <w:t>0.125</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rPr>
                    <w:t>0.</w:t>
                  </w:r>
                  <w:r>
                    <w:rPr>
                      <w:rFonts w:hint="eastAsia"/>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restart"/>
                  <w:noWrap w:val="0"/>
                  <w:vAlign w:val="center"/>
                </w:tcPr>
                <w:p>
                  <w:pPr>
                    <w:pStyle w:val="11"/>
                    <w:bidi w:val="0"/>
                    <w:jc w:val="center"/>
                  </w:pPr>
                  <w:r>
                    <w:t>加油站</w:t>
                  </w:r>
                </w:p>
              </w:tc>
              <w:tc>
                <w:tcPr>
                  <w:tcW w:w="1323" w:type="pct"/>
                  <w:noWrap w:val="0"/>
                  <w:vAlign w:val="center"/>
                </w:tcPr>
                <w:p>
                  <w:pPr>
                    <w:pStyle w:val="11"/>
                    <w:bidi w:val="0"/>
                    <w:jc w:val="center"/>
                  </w:pPr>
                  <w:r>
                    <w:rPr>
                      <w:rFonts w:hint="eastAsia"/>
                    </w:rPr>
                    <w:t>汽油加油损失</w:t>
                  </w:r>
                </w:p>
              </w:tc>
              <w:tc>
                <w:tcPr>
                  <w:tcW w:w="609" w:type="pct"/>
                  <w:noWrap w:val="0"/>
                  <w:vAlign w:val="center"/>
                </w:tcPr>
                <w:p>
                  <w:pPr>
                    <w:pStyle w:val="11"/>
                    <w:bidi w:val="0"/>
                    <w:jc w:val="center"/>
                  </w:pPr>
                  <w:r>
                    <w:rPr>
                      <w:rFonts w:hint="eastAsia"/>
                    </w:rPr>
                    <w:t>0.29%</w:t>
                  </w:r>
                </w:p>
              </w:tc>
              <w:tc>
                <w:tcPr>
                  <w:tcW w:w="640" w:type="pct"/>
                  <w:noWrap w:val="0"/>
                  <w:vAlign w:val="center"/>
                </w:tcPr>
                <w:p>
                  <w:pPr>
                    <w:pStyle w:val="11"/>
                    <w:bidi w:val="0"/>
                    <w:jc w:val="center"/>
                    <w:rPr>
                      <w:rFonts w:hint="default"/>
                      <w:lang w:val="en-US"/>
                    </w:rPr>
                  </w:pPr>
                  <w:r>
                    <w:rPr>
                      <w:rFonts w:hint="eastAsia"/>
                      <w:lang w:val="en-US" w:eastAsia="zh-CN"/>
                    </w:rPr>
                    <w:t>2500</w:t>
                  </w:r>
                </w:p>
              </w:tc>
              <w:tc>
                <w:tcPr>
                  <w:tcW w:w="592" w:type="pct"/>
                  <w:noWrap w:val="0"/>
                  <w:vAlign w:val="center"/>
                </w:tcPr>
                <w:p>
                  <w:pPr>
                    <w:pStyle w:val="11"/>
                    <w:bidi w:val="0"/>
                    <w:jc w:val="center"/>
                    <w:rPr>
                      <w:rFonts w:hint="default"/>
                      <w:lang w:val="en-US" w:eastAsia="zh-CN"/>
                    </w:rPr>
                  </w:pPr>
                  <w:r>
                    <w:rPr>
                      <w:rFonts w:hint="eastAsia"/>
                      <w:lang w:val="en-US" w:eastAsia="zh-CN"/>
                    </w:rPr>
                    <w:t>7.25</w:t>
                  </w:r>
                </w:p>
              </w:tc>
              <w:tc>
                <w:tcPr>
                  <w:tcW w:w="685" w:type="pct"/>
                  <w:noWrap w:val="0"/>
                  <w:vAlign w:val="center"/>
                </w:tcPr>
                <w:p>
                  <w:pPr>
                    <w:pStyle w:val="11"/>
                    <w:bidi w:val="0"/>
                    <w:jc w:val="center"/>
                    <w:rPr>
                      <w:rFonts w:hint="eastAsia"/>
                    </w:rPr>
                  </w:pPr>
                  <w:r>
                    <w:rPr>
                      <w:rFonts w:hint="eastAsia"/>
                    </w:rPr>
                    <w:t>95%</w:t>
                  </w:r>
                </w:p>
              </w:tc>
              <w:tc>
                <w:tcPr>
                  <w:tcW w:w="594" w:type="pct"/>
                  <w:noWrap w:val="0"/>
                  <w:vAlign w:val="center"/>
                </w:tcPr>
                <w:p>
                  <w:pPr>
                    <w:pStyle w:val="11"/>
                    <w:bidi w:val="0"/>
                    <w:jc w:val="center"/>
                    <w:rPr>
                      <w:rFonts w:hint="default"/>
                      <w:lang w:val="en-US" w:eastAsia="zh-CN"/>
                    </w:rPr>
                  </w:pPr>
                  <w:r>
                    <w:rPr>
                      <w:rFonts w:hint="eastAsia"/>
                      <w:lang w:val="en-US" w:eastAsia="zh-CN"/>
                    </w:rPr>
                    <w:t>0.3625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vMerge w:val="continue"/>
                  <w:noWrap w:val="0"/>
                  <w:vAlign w:val="center"/>
                </w:tcPr>
                <w:p>
                  <w:pPr>
                    <w:pStyle w:val="11"/>
                    <w:bidi w:val="0"/>
                    <w:jc w:val="center"/>
                  </w:pPr>
                </w:p>
              </w:tc>
              <w:tc>
                <w:tcPr>
                  <w:tcW w:w="1323" w:type="pct"/>
                  <w:noWrap w:val="0"/>
                  <w:vAlign w:val="center"/>
                </w:tcPr>
                <w:p>
                  <w:pPr>
                    <w:pStyle w:val="11"/>
                    <w:bidi w:val="0"/>
                    <w:jc w:val="center"/>
                  </w:pPr>
                  <w:r>
                    <w:rPr>
                      <w:rFonts w:hint="eastAsia"/>
                    </w:rPr>
                    <w:t>柴油加油损失</w:t>
                  </w:r>
                </w:p>
              </w:tc>
              <w:tc>
                <w:tcPr>
                  <w:tcW w:w="609" w:type="pct"/>
                  <w:noWrap w:val="0"/>
                  <w:vAlign w:val="center"/>
                </w:tcPr>
                <w:p>
                  <w:pPr>
                    <w:pStyle w:val="11"/>
                    <w:bidi w:val="0"/>
                    <w:jc w:val="center"/>
                  </w:pPr>
                  <w:r>
                    <w:rPr>
                      <w:rFonts w:hint="eastAsia"/>
                    </w:rPr>
                    <w:t>0.08%</w:t>
                  </w:r>
                </w:p>
              </w:tc>
              <w:tc>
                <w:tcPr>
                  <w:tcW w:w="640" w:type="pct"/>
                  <w:noWrap w:val="0"/>
                  <w:vAlign w:val="center"/>
                </w:tcPr>
                <w:p>
                  <w:pPr>
                    <w:pStyle w:val="11"/>
                    <w:bidi w:val="0"/>
                    <w:jc w:val="center"/>
                    <w:rPr>
                      <w:rFonts w:hint="default"/>
                      <w:lang w:val="en-US"/>
                    </w:rPr>
                  </w:pPr>
                  <w:r>
                    <w:rPr>
                      <w:rFonts w:hint="eastAsia"/>
                      <w:lang w:val="en-US" w:eastAsia="zh-CN"/>
                    </w:rPr>
                    <w:t>250</w:t>
                  </w:r>
                </w:p>
              </w:tc>
              <w:tc>
                <w:tcPr>
                  <w:tcW w:w="592" w:type="pct"/>
                  <w:noWrap w:val="0"/>
                  <w:vAlign w:val="center"/>
                </w:tcPr>
                <w:p>
                  <w:pPr>
                    <w:pStyle w:val="11"/>
                    <w:bidi w:val="0"/>
                    <w:jc w:val="center"/>
                    <w:rPr>
                      <w:rFonts w:hint="default"/>
                      <w:lang w:val="en-US" w:eastAsia="zh-CN"/>
                    </w:rPr>
                  </w:pPr>
                  <w:r>
                    <w:rPr>
                      <w:rFonts w:hint="eastAsia"/>
                      <w:lang w:val="en-US" w:eastAsia="zh-CN"/>
                    </w:rPr>
                    <w:t>0.2</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4" w:type="pct"/>
                  <w:noWrap w:val="0"/>
                  <w:vAlign w:val="center"/>
                </w:tcPr>
                <w:p>
                  <w:pPr>
                    <w:pStyle w:val="11"/>
                    <w:bidi w:val="0"/>
                    <w:jc w:val="center"/>
                  </w:pPr>
                  <w:r>
                    <w:t>合计</w:t>
                  </w:r>
                </w:p>
              </w:tc>
              <w:tc>
                <w:tcPr>
                  <w:tcW w:w="1323" w:type="pct"/>
                  <w:noWrap w:val="0"/>
                  <w:vAlign w:val="center"/>
                </w:tcPr>
                <w:p>
                  <w:pPr>
                    <w:pStyle w:val="11"/>
                    <w:bidi w:val="0"/>
                    <w:jc w:val="center"/>
                  </w:pPr>
                  <w:r>
                    <w:t>/</w:t>
                  </w:r>
                </w:p>
              </w:tc>
              <w:tc>
                <w:tcPr>
                  <w:tcW w:w="609" w:type="pct"/>
                  <w:noWrap w:val="0"/>
                  <w:vAlign w:val="center"/>
                </w:tcPr>
                <w:p>
                  <w:pPr>
                    <w:pStyle w:val="11"/>
                    <w:bidi w:val="0"/>
                    <w:jc w:val="center"/>
                  </w:pPr>
                  <w:r>
                    <w:t>/</w:t>
                  </w:r>
                </w:p>
              </w:tc>
              <w:tc>
                <w:tcPr>
                  <w:tcW w:w="640" w:type="pct"/>
                  <w:noWrap w:val="0"/>
                  <w:vAlign w:val="center"/>
                </w:tcPr>
                <w:p>
                  <w:pPr>
                    <w:pStyle w:val="11"/>
                    <w:bidi w:val="0"/>
                    <w:jc w:val="center"/>
                    <w:rPr>
                      <w:rFonts w:hint="default"/>
                      <w:lang w:val="en-US" w:eastAsia="zh-CN"/>
                    </w:rPr>
                  </w:pPr>
                  <w:r>
                    <w:rPr>
                      <w:rFonts w:hint="eastAsia"/>
                      <w:lang w:val="en-US" w:eastAsia="zh-CN"/>
                    </w:rPr>
                    <w:t>2750</w:t>
                  </w:r>
                </w:p>
              </w:tc>
              <w:tc>
                <w:tcPr>
                  <w:tcW w:w="592" w:type="pct"/>
                  <w:noWrap w:val="0"/>
                  <w:vAlign w:val="center"/>
                </w:tcPr>
                <w:p>
                  <w:pPr>
                    <w:pStyle w:val="11"/>
                    <w:bidi w:val="0"/>
                    <w:jc w:val="center"/>
                    <w:rPr>
                      <w:rFonts w:hint="default"/>
                      <w:lang w:val="en-US" w:eastAsia="zh-CN"/>
                    </w:rPr>
                  </w:pPr>
                  <w:r>
                    <w:rPr>
                      <w:rFonts w:hint="eastAsia"/>
                      <w:lang w:val="en-US" w:eastAsia="zh-CN"/>
                    </w:rPr>
                    <w:t>13.6</w:t>
                  </w:r>
                </w:p>
              </w:tc>
              <w:tc>
                <w:tcPr>
                  <w:tcW w:w="685" w:type="pct"/>
                  <w:noWrap w:val="0"/>
                  <w:vAlign w:val="center"/>
                </w:tcPr>
                <w:p>
                  <w:pPr>
                    <w:pStyle w:val="11"/>
                    <w:bidi w:val="0"/>
                    <w:jc w:val="center"/>
                    <w:rPr>
                      <w:rFonts w:hint="eastAsia"/>
                    </w:rPr>
                  </w:pPr>
                  <w:r>
                    <w:rPr>
                      <w:rFonts w:hint="eastAsia"/>
                    </w:rPr>
                    <w:t>/</w:t>
                  </w:r>
                </w:p>
              </w:tc>
              <w:tc>
                <w:tcPr>
                  <w:tcW w:w="594" w:type="pct"/>
                  <w:noWrap w:val="0"/>
                  <w:vAlign w:val="center"/>
                </w:tcPr>
                <w:p>
                  <w:pPr>
                    <w:pStyle w:val="11"/>
                    <w:bidi w:val="0"/>
                    <w:jc w:val="center"/>
                    <w:rPr>
                      <w:rFonts w:hint="default"/>
                      <w:lang w:val="en-US" w:eastAsia="zh-CN"/>
                    </w:rPr>
                  </w:pPr>
                  <w:r>
                    <w:rPr>
                      <w:rFonts w:hint="eastAsia"/>
                      <w:lang w:val="en-US" w:eastAsia="zh-CN"/>
                    </w:rPr>
                    <w:t>0.758</w:t>
                  </w:r>
                </w:p>
              </w:tc>
            </w:tr>
          </w:tbl>
          <w:p>
            <w:pPr>
              <w:spacing w:before="156" w:beforeLines="50" w:line="360" w:lineRule="auto"/>
              <w:ind w:firstLine="482" w:firstLineChars="200"/>
              <w:rPr>
                <w:rFonts w:hint="eastAsia" w:ascii="Times New Roman" w:hAnsi="Times New Roman" w:cs="Arial"/>
                <w:color w:val="auto"/>
                <w:sz w:val="24"/>
                <w:szCs w:val="22"/>
              </w:rPr>
            </w:pPr>
            <w:r>
              <w:rPr>
                <w:rFonts w:hint="eastAsia" w:ascii="Times New Roman" w:hAnsi="Times New Roman" w:cs="Arial"/>
                <w:b/>
                <w:bCs/>
                <w:color w:val="auto"/>
                <w:sz w:val="24"/>
                <w:szCs w:val="22"/>
              </w:rPr>
              <w:t>2</w:t>
            </w:r>
            <w:r>
              <w:rPr>
                <w:rFonts w:ascii="Times New Roman" w:hAnsi="Times New Roman" w:cs="Arial"/>
                <w:b/>
                <w:bCs/>
                <w:color w:val="auto"/>
                <w:sz w:val="24"/>
              </w:rPr>
              <w:t>、</w:t>
            </w:r>
            <w:r>
              <w:rPr>
                <w:rFonts w:hint="eastAsia" w:ascii="Times New Roman" w:hAnsi="Times New Roman" w:cs="Arial"/>
                <w:b/>
                <w:bCs/>
                <w:color w:val="auto"/>
                <w:sz w:val="24"/>
                <w:szCs w:val="22"/>
              </w:rPr>
              <w:t>废水污染源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u w:val="single"/>
              </w:rPr>
            </w:pPr>
            <w:r>
              <w:rPr>
                <w:rFonts w:hint="default"/>
                <w:b/>
                <w:bCs/>
                <w:u w:val="single"/>
                <w:lang w:val="en-US" w:eastAsia="zh-CN"/>
              </w:rPr>
              <w:t>项目劳动定员</w:t>
            </w:r>
            <w:r>
              <w:rPr>
                <w:rFonts w:hint="eastAsia"/>
                <w:b/>
                <w:bCs/>
                <w:u w:val="single"/>
                <w:lang w:val="en-US" w:eastAsia="zh-CN"/>
              </w:rPr>
              <w:t>6人</w:t>
            </w:r>
            <w:r>
              <w:rPr>
                <w:rFonts w:hint="default"/>
                <w:b/>
                <w:bCs/>
                <w:u w:val="single"/>
                <w:lang w:val="en-US" w:eastAsia="zh-CN"/>
              </w:rPr>
              <w:t>，</w:t>
            </w:r>
            <w:r>
              <w:rPr>
                <w:b/>
                <w:bCs/>
                <w:u w:val="single"/>
              </w:rPr>
              <w:t>均不在站区食宿，</w:t>
            </w:r>
            <w:r>
              <w:rPr>
                <w:rFonts w:hint="eastAsia"/>
                <w:b/>
                <w:bCs/>
                <w:u w:val="single"/>
              </w:rPr>
              <w:t>职工生活用水量按40</w:t>
            </w:r>
            <w:r>
              <w:rPr>
                <w:b/>
                <w:bCs/>
                <w:u w:val="single"/>
              </w:rPr>
              <w:t>L</w:t>
            </w:r>
            <w:r>
              <w:rPr>
                <w:rFonts w:hint="eastAsia"/>
                <w:b/>
                <w:bCs/>
                <w:u w:val="single"/>
              </w:rPr>
              <w:t>/（人</w:t>
            </w:r>
            <w:r>
              <w:rPr>
                <w:b/>
                <w:bCs/>
                <w:u w:val="single"/>
              </w:rPr>
              <w:t>·</w:t>
            </w:r>
            <w:r>
              <w:rPr>
                <w:rFonts w:hint="eastAsia"/>
                <w:b/>
                <w:bCs/>
                <w:u w:val="single"/>
              </w:rPr>
              <w:t>d）计</w:t>
            </w:r>
            <w:r>
              <w:rPr>
                <w:b/>
                <w:bCs/>
                <w:u w:val="single"/>
              </w:rPr>
              <w:t>，</w:t>
            </w:r>
            <w:r>
              <w:rPr>
                <w:rFonts w:hint="eastAsia"/>
                <w:b/>
                <w:bCs/>
                <w:u w:val="single"/>
              </w:rPr>
              <w:t>则营运期职工用水量</w:t>
            </w:r>
            <w:r>
              <w:rPr>
                <w:b/>
                <w:bCs/>
                <w:u w:val="single"/>
              </w:rPr>
              <w:t>为0.</w:t>
            </w:r>
            <w:r>
              <w:rPr>
                <w:rFonts w:hint="eastAsia"/>
                <w:b/>
                <w:bCs/>
                <w:u w:val="single"/>
                <w:lang w:val="en-US" w:eastAsia="zh-CN"/>
              </w:rPr>
              <w:t>24</w:t>
            </w:r>
            <w:r>
              <w:rPr>
                <w:b/>
                <w:bCs/>
                <w:u w:val="single"/>
              </w:rPr>
              <w:t>m</w:t>
            </w:r>
            <w:r>
              <w:rPr>
                <w:b/>
                <w:bCs/>
                <w:u w:val="single"/>
                <w:vertAlign w:val="superscript"/>
              </w:rPr>
              <w:t>3</w:t>
            </w:r>
            <w:r>
              <w:rPr>
                <w:rFonts w:hint="eastAsia"/>
                <w:b/>
                <w:bCs/>
                <w:u w:val="single"/>
                <w:vertAlign w:val="superscript"/>
              </w:rPr>
              <w:t>/</w:t>
            </w:r>
            <w:r>
              <w:rPr>
                <w:rFonts w:hint="eastAsia"/>
                <w:b/>
                <w:bCs/>
                <w:u w:val="single"/>
              </w:rPr>
              <w:t>d（</w:t>
            </w:r>
            <w:r>
              <w:rPr>
                <w:rFonts w:hint="eastAsia"/>
                <w:b/>
                <w:bCs/>
                <w:u w:val="single"/>
                <w:lang w:val="en-US" w:eastAsia="zh-CN"/>
              </w:rPr>
              <w:t>87.6</w:t>
            </w:r>
            <w:r>
              <w:rPr>
                <w:b/>
                <w:bCs/>
                <w:u w:val="single"/>
              </w:rPr>
              <w:t>m</w:t>
            </w:r>
            <w:r>
              <w:rPr>
                <w:b/>
                <w:bCs/>
                <w:u w:val="single"/>
                <w:vertAlign w:val="superscript"/>
              </w:rPr>
              <w:t>3</w:t>
            </w:r>
            <w:r>
              <w:rPr>
                <w:rFonts w:hint="eastAsia"/>
                <w:b/>
                <w:bCs/>
                <w:u w:val="single"/>
              </w:rPr>
              <w:t>/a）；项目投运后，每天接待客人约</w:t>
            </w:r>
            <w:r>
              <w:rPr>
                <w:b/>
                <w:bCs/>
                <w:u w:val="single"/>
              </w:rPr>
              <w:t>100</w:t>
            </w:r>
            <w:r>
              <w:rPr>
                <w:rFonts w:hint="eastAsia"/>
                <w:b/>
                <w:bCs/>
                <w:u w:val="single"/>
              </w:rPr>
              <w:t>人，</w:t>
            </w:r>
            <w:r>
              <w:rPr>
                <w:b/>
                <w:bCs/>
                <w:u w:val="single"/>
              </w:rPr>
              <w:t>用水量</w:t>
            </w:r>
            <w:r>
              <w:rPr>
                <w:rFonts w:hint="eastAsia"/>
                <w:b/>
                <w:bCs/>
                <w:u w:val="single"/>
              </w:rPr>
              <w:t>约</w:t>
            </w:r>
            <w:r>
              <w:rPr>
                <w:b/>
                <w:bCs/>
                <w:u w:val="single"/>
              </w:rPr>
              <w:t>5L/</w:t>
            </w:r>
            <w:r>
              <w:rPr>
                <w:rFonts w:hint="eastAsia"/>
                <w:b/>
                <w:bCs/>
                <w:u w:val="single"/>
              </w:rPr>
              <w:t>人</w:t>
            </w:r>
            <w:r>
              <w:rPr>
                <w:b/>
                <w:bCs/>
                <w:u w:val="single"/>
              </w:rPr>
              <w:t>.d</w:t>
            </w:r>
            <w:r>
              <w:rPr>
                <w:rFonts w:hint="eastAsia"/>
                <w:b/>
                <w:bCs/>
                <w:u w:val="single"/>
              </w:rPr>
              <w:t>，则用水量</w:t>
            </w:r>
            <w:r>
              <w:rPr>
                <w:b/>
                <w:bCs/>
                <w:u w:val="single"/>
              </w:rPr>
              <w:t>0.5m</w:t>
            </w:r>
            <w:r>
              <w:rPr>
                <w:b/>
                <w:bCs/>
                <w:u w:val="single"/>
                <w:vertAlign w:val="superscript"/>
              </w:rPr>
              <w:t>3</w:t>
            </w:r>
            <w:r>
              <w:rPr>
                <w:b/>
                <w:bCs/>
                <w:u w:val="single"/>
              </w:rPr>
              <w:t>/d</w:t>
            </w:r>
            <w:r>
              <w:rPr>
                <w:rFonts w:hint="eastAsia"/>
                <w:b/>
                <w:bCs/>
                <w:u w:val="single"/>
              </w:rPr>
              <w:t>，</w:t>
            </w:r>
            <w:r>
              <w:rPr>
                <w:b/>
                <w:bCs/>
                <w:u w:val="single"/>
              </w:rPr>
              <w:t>182.5m</w:t>
            </w:r>
            <w:r>
              <w:rPr>
                <w:b/>
                <w:bCs/>
                <w:u w:val="single"/>
                <w:vertAlign w:val="superscript"/>
              </w:rPr>
              <w:t>3</w:t>
            </w:r>
            <w:r>
              <w:rPr>
                <w:b/>
                <w:bCs/>
                <w:u w:val="single"/>
              </w:rPr>
              <w:t>/a</w:t>
            </w:r>
            <w:r>
              <w:rPr>
                <w:rFonts w:hint="eastAsia"/>
                <w:b/>
                <w:bCs/>
                <w:u w:val="single"/>
              </w:rPr>
              <w:t>。</w:t>
            </w:r>
          </w:p>
          <w:p>
            <w:pPr>
              <w:spacing w:line="360" w:lineRule="auto"/>
              <w:ind w:firstLine="482" w:firstLineChars="200"/>
              <w:rPr>
                <w:rFonts w:hint="eastAsia" w:ascii="Times New Roman" w:hAnsi="Times New Roman" w:eastAsia="宋体" w:cs="Arial"/>
                <w:b/>
                <w:bCs/>
                <w:color w:val="auto"/>
                <w:sz w:val="24"/>
                <w:u w:val="single"/>
                <w:lang w:eastAsia="zh-CN"/>
              </w:rPr>
            </w:pPr>
            <w:r>
              <w:rPr>
                <w:b/>
                <w:bCs/>
                <w:u w:val="single"/>
              </w:rPr>
              <w:t>本项目</w:t>
            </w:r>
            <w:r>
              <w:rPr>
                <w:rFonts w:hint="eastAsia"/>
                <w:b/>
                <w:bCs/>
                <w:u w:val="single"/>
              </w:rPr>
              <w:t>生活</w:t>
            </w:r>
            <w:r>
              <w:rPr>
                <w:b/>
                <w:bCs/>
                <w:u w:val="single"/>
              </w:rPr>
              <w:t>用水量为0.</w:t>
            </w:r>
            <w:r>
              <w:rPr>
                <w:rFonts w:hint="eastAsia"/>
                <w:b/>
                <w:bCs/>
                <w:u w:val="single"/>
                <w:lang w:val="en-US" w:eastAsia="zh-CN"/>
              </w:rPr>
              <w:t>74</w:t>
            </w:r>
            <w:r>
              <w:rPr>
                <w:b/>
                <w:bCs/>
                <w:u w:val="single"/>
              </w:rPr>
              <w:t xml:space="preserve"> m3/d（</w:t>
            </w:r>
            <w:r>
              <w:rPr>
                <w:rFonts w:hint="eastAsia"/>
                <w:b/>
                <w:bCs/>
                <w:u w:val="single"/>
                <w:lang w:val="en-US" w:eastAsia="zh-CN"/>
              </w:rPr>
              <w:t>270.1</w:t>
            </w:r>
            <w:r>
              <w:rPr>
                <w:b/>
                <w:bCs/>
                <w:u w:val="single"/>
              </w:rPr>
              <w:t>m</w:t>
            </w:r>
            <w:r>
              <w:rPr>
                <w:b/>
                <w:bCs/>
                <w:u w:val="single"/>
                <w:vertAlign w:val="superscript"/>
              </w:rPr>
              <w:t>3</w:t>
            </w:r>
            <w:r>
              <w:rPr>
                <w:b/>
                <w:bCs/>
                <w:u w:val="single"/>
              </w:rPr>
              <w:t>/a）</w:t>
            </w:r>
            <w:r>
              <w:rPr>
                <w:rFonts w:hint="eastAsia"/>
                <w:b/>
                <w:bCs/>
                <w:u w:val="single"/>
              </w:rPr>
              <w:t>，生活用水耗损按20%计，则本项目营运期生活污水（主要为盥洗废水）产生量为</w:t>
            </w:r>
            <w:r>
              <w:rPr>
                <w:b/>
                <w:bCs/>
                <w:u w:val="single"/>
              </w:rPr>
              <w:t>0.</w:t>
            </w:r>
            <w:r>
              <w:rPr>
                <w:rFonts w:hint="eastAsia"/>
                <w:b/>
                <w:bCs/>
                <w:u w:val="single"/>
                <w:lang w:val="en-US" w:eastAsia="zh-CN"/>
              </w:rPr>
              <w:t>59</w:t>
            </w:r>
            <w:r>
              <w:rPr>
                <w:b/>
                <w:bCs/>
                <w:u w:val="single"/>
              </w:rPr>
              <w:t>m</w:t>
            </w:r>
            <w:r>
              <w:rPr>
                <w:b/>
                <w:bCs/>
                <w:u w:val="single"/>
                <w:vertAlign w:val="superscript"/>
              </w:rPr>
              <w:t>3</w:t>
            </w:r>
            <w:r>
              <w:rPr>
                <w:b/>
                <w:bCs/>
                <w:u w:val="single"/>
              </w:rPr>
              <w:t>/d（</w:t>
            </w:r>
            <w:r>
              <w:rPr>
                <w:rFonts w:hint="eastAsia"/>
                <w:b/>
                <w:bCs/>
                <w:u w:val="single"/>
                <w:lang w:val="en-US" w:eastAsia="zh-CN"/>
              </w:rPr>
              <w:t>216.08</w:t>
            </w:r>
            <w:r>
              <w:rPr>
                <w:b/>
                <w:bCs/>
                <w:u w:val="single"/>
              </w:rPr>
              <w:t>m</w:t>
            </w:r>
            <w:r>
              <w:rPr>
                <w:b/>
                <w:bCs/>
                <w:u w:val="single"/>
                <w:vertAlign w:val="superscript"/>
              </w:rPr>
              <w:t>3</w:t>
            </w:r>
            <w:r>
              <w:rPr>
                <w:b/>
                <w:bCs/>
                <w:u w:val="single"/>
              </w:rPr>
              <w:t>/a）</w:t>
            </w:r>
            <w:r>
              <w:rPr>
                <w:rFonts w:hint="eastAsia"/>
                <w:b/>
                <w:bCs/>
                <w:u w:val="single"/>
              </w:rPr>
              <w:t>。</w:t>
            </w:r>
            <w:r>
              <w:rPr>
                <w:rFonts w:hint="eastAsia" w:ascii="Times New Roman" w:hAnsi="Times New Roman" w:cs="Arial"/>
                <w:b/>
                <w:bCs/>
                <w:color w:val="auto"/>
                <w:sz w:val="24"/>
                <w:u w:val="single"/>
                <w:lang w:eastAsia="zh-CN"/>
              </w:rPr>
              <w:t>生活污水经</w:t>
            </w:r>
            <w:r>
              <w:rPr>
                <w:rFonts w:hint="eastAsia" w:cs="Arial"/>
                <w:b/>
                <w:bCs/>
                <w:color w:val="auto"/>
                <w:sz w:val="24"/>
                <w:u w:val="single"/>
                <w:lang w:eastAsia="zh-CN"/>
              </w:rPr>
              <w:t>服务区</w:t>
            </w:r>
            <w:r>
              <w:rPr>
                <w:rFonts w:hint="eastAsia" w:ascii="Times New Roman" w:hAnsi="Times New Roman" w:cs="Arial"/>
                <w:b/>
                <w:bCs/>
                <w:color w:val="auto"/>
                <w:sz w:val="24"/>
                <w:u w:val="single"/>
                <w:lang w:eastAsia="zh-CN"/>
              </w:rPr>
              <w:t>生活污水处理站处理后用于服务区洒水降尘，加油站不设置卫生间，服务区卫生间废水经化粪池处理后定期由附近村民拉走肥田。</w:t>
            </w:r>
          </w:p>
          <w:p>
            <w:pPr>
              <w:spacing w:before="156" w:beforeLines="50" w:line="360" w:lineRule="auto"/>
              <w:ind w:firstLine="482" w:firstLineChars="200"/>
              <w:rPr>
                <w:rFonts w:hint="eastAsia" w:ascii="Times New Roman" w:hAnsi="Times New Roman" w:cs="Arial"/>
                <w:color w:val="auto"/>
                <w:sz w:val="24"/>
                <w:szCs w:val="22"/>
              </w:rPr>
            </w:pPr>
            <w:r>
              <w:rPr>
                <w:rFonts w:hint="eastAsia" w:ascii="Times New Roman" w:hAnsi="Times New Roman" w:cs="Arial"/>
                <w:b/>
                <w:bCs/>
                <w:color w:val="auto"/>
                <w:sz w:val="24"/>
                <w:szCs w:val="22"/>
              </w:rPr>
              <w:t>3</w:t>
            </w:r>
            <w:r>
              <w:rPr>
                <w:rFonts w:ascii="Times New Roman" w:hAnsi="Times New Roman" w:cs="Arial"/>
                <w:b/>
                <w:bCs/>
                <w:color w:val="auto"/>
                <w:sz w:val="24"/>
              </w:rPr>
              <w:t>、</w:t>
            </w:r>
            <w:r>
              <w:rPr>
                <w:rFonts w:hint="eastAsia" w:ascii="Times New Roman" w:hAnsi="Times New Roman" w:cs="Arial"/>
                <w:b/>
                <w:bCs/>
                <w:color w:val="auto"/>
                <w:sz w:val="24"/>
                <w:szCs w:val="22"/>
              </w:rPr>
              <w:t>噪声污染源</w:t>
            </w:r>
          </w:p>
          <w:p>
            <w:pPr>
              <w:pStyle w:val="19"/>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本项目的噪声源主要为加油泵、备用发电机等设备运行时产生的设备噪声以及加油车辆在进出加油站时产生的交通噪声。汽车在加油站内发动机处于关闭状态，所以噪声不大，根据同类规模加油站类比，加油泵噪声值为60～65dB（A）；备用发电机运行噪声80～85dB（A）；车辆噪声约为65～80dB（A）。</w:t>
            </w:r>
          </w:p>
          <w:p>
            <w:pPr>
              <w:pStyle w:val="19"/>
              <w:spacing w:before="0" w:beforeAutospacing="0" w:after="0" w:afterAutospacing="0" w:line="360" w:lineRule="auto"/>
              <w:ind w:firstLine="482" w:firstLineChars="200"/>
              <w:jc w:val="both"/>
              <w:rPr>
                <w:rFonts w:ascii="Times New Roman" w:hAnsi="Times New Roman"/>
                <w:color w:val="auto"/>
                <w:szCs w:val="22"/>
              </w:rPr>
            </w:pPr>
            <w:r>
              <w:rPr>
                <w:rFonts w:hint="eastAsia" w:ascii="Times New Roman" w:hAnsi="Times New Roman"/>
                <w:b/>
                <w:bCs/>
                <w:color w:val="auto"/>
                <w:szCs w:val="22"/>
              </w:rPr>
              <w:t>4</w:t>
            </w:r>
            <w:r>
              <w:rPr>
                <w:rFonts w:ascii="Times New Roman" w:hAnsi="Times New Roman" w:cs="Arial"/>
                <w:b/>
                <w:bCs/>
                <w:color w:val="auto"/>
              </w:rPr>
              <w:t>、</w:t>
            </w:r>
            <w:r>
              <w:rPr>
                <w:rFonts w:ascii="Times New Roman" w:hAnsi="Times New Roman"/>
                <w:b/>
                <w:bCs/>
                <w:color w:val="auto"/>
                <w:szCs w:val="22"/>
              </w:rPr>
              <w:t>固体废物</w:t>
            </w:r>
          </w:p>
          <w:p>
            <w:pPr>
              <w:pStyle w:val="19"/>
              <w:spacing w:before="0" w:beforeAutospacing="0" w:after="0" w:afterAutospacing="0" w:line="360" w:lineRule="auto"/>
              <w:ind w:firstLine="480" w:firstLineChars="200"/>
              <w:jc w:val="both"/>
              <w:rPr>
                <w:rFonts w:hint="eastAsia" w:ascii="Times New Roman" w:hAnsi="Times New Roman"/>
                <w:b/>
                <w:color w:val="auto"/>
              </w:rPr>
            </w:pPr>
            <w:r>
              <w:rPr>
                <w:rFonts w:hint="eastAsia" w:ascii="Times New Roman" w:hAnsi="Times New Roman" w:cs="Arial"/>
                <w:color w:val="auto"/>
              </w:rPr>
              <w:t>（1）一般</w:t>
            </w:r>
            <w:r>
              <w:rPr>
                <w:rFonts w:ascii="Times New Roman" w:hAnsi="Times New Roman" w:cs="Arial"/>
                <w:color w:val="auto"/>
              </w:rPr>
              <w:t>固体废物</w:t>
            </w:r>
          </w:p>
          <w:p>
            <w:pPr>
              <w:spacing w:line="360" w:lineRule="auto"/>
              <w:ind w:firstLine="480" w:firstLineChars="200"/>
              <w:rPr>
                <w:rFonts w:ascii="Times New Roman" w:hAnsi="Times New Roman" w:cs="Arial"/>
                <w:color w:val="auto"/>
                <w:sz w:val="24"/>
              </w:rPr>
            </w:pPr>
            <w:r>
              <w:rPr>
                <w:rFonts w:hint="eastAsia" w:ascii="Times New Roman" w:hAnsi="Times New Roman" w:cs="Arial"/>
                <w:color w:val="auto"/>
                <w:sz w:val="24"/>
              </w:rPr>
              <w:t>本项目固废主要是生活垃圾，本项目劳动定</w:t>
            </w:r>
            <w:r>
              <w:rPr>
                <w:rFonts w:hint="eastAsia" w:ascii="Times New Roman" w:hAnsi="Times New Roman" w:cs="Arial"/>
                <w:color w:val="auto"/>
                <w:sz w:val="24"/>
                <w:szCs w:val="22"/>
              </w:rPr>
              <w:t>员</w:t>
            </w:r>
            <w:r>
              <w:rPr>
                <w:rFonts w:hint="eastAsia" w:ascii="Times New Roman" w:hAnsi="Times New Roman" w:eastAsia="宋体" w:cs="Arial"/>
                <w:color w:val="auto"/>
                <w:sz w:val="24"/>
                <w:szCs w:val="22"/>
                <w:lang w:val="en-US" w:eastAsia="zh-CN"/>
              </w:rPr>
              <w:t>6</w:t>
            </w:r>
            <w:r>
              <w:rPr>
                <w:rFonts w:hint="eastAsia" w:ascii="Times New Roman" w:hAnsi="Times New Roman" w:cs="Arial"/>
                <w:color w:val="auto"/>
                <w:sz w:val="24"/>
                <w:szCs w:val="22"/>
              </w:rPr>
              <w:t>人，生</w:t>
            </w:r>
            <w:r>
              <w:rPr>
                <w:rFonts w:hint="eastAsia" w:ascii="Times New Roman" w:hAnsi="Times New Roman" w:cs="Arial"/>
                <w:color w:val="auto"/>
                <w:sz w:val="24"/>
              </w:rPr>
              <w:t>活垃圾按0.5kg/人·d，每 年生活垃圾产生量为</w:t>
            </w:r>
            <w:r>
              <w:rPr>
                <w:rFonts w:hint="eastAsia" w:ascii="Times New Roman" w:hAnsi="Times New Roman" w:eastAsia="宋体" w:cs="Arial"/>
                <w:color w:val="auto"/>
                <w:sz w:val="24"/>
                <w:lang w:val="en-US" w:eastAsia="zh-CN"/>
              </w:rPr>
              <w:t>1.095</w:t>
            </w:r>
            <w:r>
              <w:rPr>
                <w:rFonts w:hint="eastAsia" w:ascii="Times New Roman" w:hAnsi="Times New Roman" w:cs="Arial"/>
                <w:color w:val="auto"/>
                <w:sz w:val="24"/>
              </w:rPr>
              <w:t>t/a。加油站内设置垃圾桶，收集后交由环卫部门处置。</w:t>
            </w:r>
          </w:p>
          <w:p>
            <w:pPr>
              <w:spacing w:line="360" w:lineRule="auto"/>
              <w:ind w:firstLine="480" w:firstLineChars="200"/>
              <w:rPr>
                <w:rFonts w:hint="eastAsia" w:ascii="Times New Roman" w:hAnsi="Times New Roman" w:cs="Arial"/>
                <w:color w:val="auto"/>
                <w:sz w:val="24"/>
              </w:rPr>
            </w:pPr>
            <w:r>
              <w:rPr>
                <w:rFonts w:hint="eastAsia" w:ascii="Times New Roman" w:hAnsi="Times New Roman" w:cs="Arial"/>
                <w:color w:val="auto"/>
                <w:sz w:val="24"/>
              </w:rPr>
              <w:t>（2）</w:t>
            </w:r>
            <w:r>
              <w:rPr>
                <w:rFonts w:ascii="Times New Roman" w:hAnsi="Times New Roman" w:cs="Arial"/>
                <w:color w:val="auto"/>
                <w:sz w:val="24"/>
              </w:rPr>
              <w:t>危险废物</w:t>
            </w:r>
            <w:r>
              <w:rPr>
                <w:rFonts w:hint="eastAsia" w:ascii="Times New Roman" w:hAnsi="Times New Roman" w:cs="Arial"/>
                <w:color w:val="auto"/>
                <w:sz w:val="24"/>
              </w:rPr>
              <w:t>：</w:t>
            </w:r>
          </w:p>
          <w:p>
            <w:pPr>
              <w:spacing w:line="360" w:lineRule="auto"/>
              <w:ind w:firstLine="482" w:firstLineChars="200"/>
              <w:rPr>
                <w:rFonts w:ascii="Times New Roman" w:hAnsi="Times New Roman" w:cs="Arial"/>
                <w:color w:val="auto"/>
                <w:sz w:val="24"/>
              </w:rPr>
            </w:pPr>
            <w:r>
              <w:rPr>
                <w:rFonts w:ascii="Times New Roman" w:hAnsi="Times New Roman" w:cs="Arial"/>
                <w:b/>
                <w:bCs/>
                <w:color w:val="auto"/>
                <w:sz w:val="24"/>
                <w:u w:val="single"/>
              </w:rPr>
              <w:t>危险废物主要为油罐定期清洗产生的清洗废水和油泥。根据建设单位介绍，油罐</w:t>
            </w:r>
            <w:r>
              <w:rPr>
                <w:rFonts w:hint="eastAsia" w:ascii="Times New Roman" w:hAnsi="Times New Roman" w:cs="Arial"/>
                <w:b/>
                <w:bCs/>
                <w:color w:val="auto"/>
                <w:sz w:val="24"/>
                <w:u w:val="single"/>
              </w:rPr>
              <w:t>每5年</w:t>
            </w:r>
            <w:r>
              <w:rPr>
                <w:rFonts w:ascii="Times New Roman" w:hAnsi="Times New Roman" w:cs="Arial"/>
                <w:b/>
                <w:bCs/>
                <w:color w:val="auto"/>
                <w:sz w:val="24"/>
                <w:u w:val="single"/>
              </w:rPr>
              <w:t>清洗一次，</w:t>
            </w:r>
            <w:r>
              <w:rPr>
                <w:rFonts w:hint="eastAsia" w:ascii="Times New Roman" w:hAnsi="Times New Roman" w:cs="Arial"/>
                <w:b/>
                <w:bCs/>
                <w:color w:val="auto"/>
                <w:sz w:val="24"/>
                <w:u w:val="single"/>
              </w:rPr>
              <w:t>清洗</w:t>
            </w:r>
            <w:r>
              <w:rPr>
                <w:rFonts w:ascii="Times New Roman" w:hAnsi="Times New Roman" w:cs="Arial"/>
                <w:b/>
                <w:bCs/>
                <w:color w:val="auto"/>
                <w:sz w:val="24"/>
                <w:u w:val="single"/>
              </w:rPr>
              <w:t>工作由</w:t>
            </w:r>
            <w:r>
              <w:rPr>
                <w:rFonts w:hint="eastAsia" w:ascii="Times New Roman" w:hAnsi="Times New Roman" w:cs="Arial"/>
                <w:b/>
                <w:bCs/>
                <w:color w:val="auto"/>
                <w:sz w:val="24"/>
                <w:u w:val="single"/>
              </w:rPr>
              <w:t>具</w:t>
            </w:r>
            <w:r>
              <w:rPr>
                <w:rFonts w:ascii="Times New Roman" w:hAnsi="Times New Roman" w:cs="Arial"/>
                <w:b/>
                <w:bCs/>
                <w:color w:val="auto"/>
                <w:sz w:val="24"/>
                <w:u w:val="single"/>
              </w:rPr>
              <w:t>有废</w:t>
            </w:r>
            <w:r>
              <w:rPr>
                <w:rFonts w:hint="eastAsia" w:ascii="Times New Roman" w:hAnsi="Times New Roman" w:cs="Arial"/>
                <w:b/>
                <w:bCs/>
                <w:color w:val="auto"/>
                <w:sz w:val="24"/>
                <w:u w:val="single"/>
              </w:rPr>
              <w:t>矿物</w:t>
            </w:r>
            <w:r>
              <w:rPr>
                <w:rFonts w:ascii="Times New Roman" w:hAnsi="Times New Roman" w:cs="Arial"/>
                <w:b/>
                <w:bCs/>
                <w:color w:val="auto"/>
                <w:sz w:val="24"/>
                <w:u w:val="single"/>
              </w:rPr>
              <w:t>油处置资质</w:t>
            </w:r>
            <w:r>
              <w:rPr>
                <w:rFonts w:hint="eastAsia" w:ascii="Times New Roman" w:hAnsi="Times New Roman" w:cs="Arial"/>
                <w:b/>
                <w:bCs/>
                <w:color w:val="auto"/>
                <w:sz w:val="24"/>
                <w:u w:val="single"/>
              </w:rPr>
              <w:t>的</w:t>
            </w:r>
            <w:r>
              <w:rPr>
                <w:rFonts w:ascii="Times New Roman" w:hAnsi="Times New Roman" w:cs="Arial"/>
                <w:b/>
                <w:bCs/>
                <w:color w:val="auto"/>
                <w:sz w:val="24"/>
                <w:u w:val="single"/>
              </w:rPr>
              <w:t>单位进行，清洗废水</w:t>
            </w:r>
            <w:r>
              <w:rPr>
                <w:rFonts w:hint="eastAsia" w:ascii="Times New Roman" w:hAnsi="Times New Roman" w:cs="Arial"/>
                <w:b/>
                <w:bCs/>
                <w:color w:val="auto"/>
                <w:sz w:val="24"/>
                <w:u w:val="single"/>
              </w:rPr>
              <w:t>产</w:t>
            </w:r>
            <w:r>
              <w:rPr>
                <w:rFonts w:ascii="Times New Roman" w:hAnsi="Times New Roman" w:cs="Arial"/>
                <w:b/>
                <w:bCs/>
                <w:color w:val="auto"/>
                <w:sz w:val="24"/>
                <w:u w:val="single"/>
              </w:rPr>
              <w:t>生量</w:t>
            </w:r>
            <w:r>
              <w:rPr>
                <w:rFonts w:hint="eastAsia" w:ascii="Times New Roman" w:hAnsi="Times New Roman" w:cs="Arial"/>
                <w:b/>
                <w:bCs/>
                <w:color w:val="auto"/>
                <w:sz w:val="24"/>
                <w:u w:val="single"/>
              </w:rPr>
              <w:t>约</w:t>
            </w:r>
            <w:r>
              <w:rPr>
                <w:rFonts w:ascii="Times New Roman" w:hAnsi="Times New Roman" w:cs="Arial"/>
                <w:b/>
                <w:bCs/>
                <w:color w:val="auto"/>
                <w:sz w:val="24"/>
                <w:szCs w:val="22"/>
                <w:u w:val="single"/>
              </w:rPr>
              <w:t>2</w:t>
            </w:r>
            <w:r>
              <w:rPr>
                <w:rFonts w:hint="eastAsia" w:ascii="Times New Roman" w:hAnsi="Times New Roman" w:cs="Arial"/>
                <w:b/>
                <w:bCs/>
                <w:color w:val="auto"/>
                <w:sz w:val="24"/>
                <w:szCs w:val="22"/>
                <w:u w:val="single"/>
              </w:rPr>
              <w:t>t/次</w:t>
            </w:r>
            <w:r>
              <w:rPr>
                <w:rFonts w:ascii="Times New Roman" w:hAnsi="Times New Roman" w:cs="Arial"/>
                <w:b/>
                <w:bCs/>
                <w:color w:val="auto"/>
                <w:sz w:val="24"/>
                <w:szCs w:val="22"/>
                <w:u w:val="single"/>
              </w:rPr>
              <w:t>，油泥产生量约为</w:t>
            </w:r>
            <w:r>
              <w:rPr>
                <w:rFonts w:hint="eastAsia" w:cs="Arial"/>
                <w:b/>
                <w:bCs/>
                <w:color w:val="auto"/>
                <w:sz w:val="24"/>
                <w:szCs w:val="22"/>
                <w:u w:val="single"/>
                <w:lang w:eastAsia="zh-CN"/>
              </w:rPr>
              <w:t>0.22t/次</w:t>
            </w:r>
            <w:r>
              <w:rPr>
                <w:rFonts w:hint="eastAsia" w:ascii="Times New Roman" w:hAnsi="Times New Roman" w:cs="Arial"/>
                <w:b/>
                <w:bCs/>
                <w:color w:val="auto"/>
                <w:sz w:val="24"/>
                <w:szCs w:val="22"/>
                <w:u w:val="single"/>
              </w:rPr>
              <w:t>。根据《</w:t>
            </w:r>
            <w:r>
              <w:rPr>
                <w:rFonts w:hint="eastAsia" w:ascii="Times New Roman" w:hAnsi="Times New Roman" w:cs="Arial"/>
                <w:b/>
                <w:bCs/>
                <w:color w:val="auto"/>
                <w:sz w:val="24"/>
                <w:u w:val="single"/>
              </w:rPr>
              <w:t>国家危险废物名录》（环境</w:t>
            </w:r>
            <w:r>
              <w:rPr>
                <w:rFonts w:ascii="Times New Roman" w:hAnsi="Times New Roman" w:cs="Arial"/>
                <w:b/>
                <w:bCs/>
                <w:color w:val="auto"/>
                <w:sz w:val="24"/>
                <w:u w:val="single"/>
              </w:rPr>
              <w:t>保护部第</w:t>
            </w:r>
            <w:r>
              <w:rPr>
                <w:rFonts w:hint="eastAsia" w:ascii="Times New Roman" w:hAnsi="Times New Roman" w:cs="Arial"/>
                <w:b/>
                <w:bCs/>
                <w:color w:val="auto"/>
                <w:sz w:val="24"/>
                <w:u w:val="single"/>
              </w:rPr>
              <w:t>39号</w:t>
            </w:r>
            <w:r>
              <w:rPr>
                <w:rFonts w:ascii="Times New Roman" w:hAnsi="Times New Roman" w:cs="Arial"/>
                <w:b/>
                <w:bCs/>
                <w:color w:val="auto"/>
                <w:sz w:val="24"/>
                <w:u w:val="single"/>
              </w:rPr>
              <w:t>令，</w:t>
            </w:r>
            <w:r>
              <w:rPr>
                <w:rFonts w:hint="eastAsia" w:ascii="Times New Roman" w:hAnsi="Times New Roman" w:cs="Arial"/>
                <w:b/>
                <w:bCs/>
                <w:color w:val="auto"/>
                <w:sz w:val="24"/>
                <w:u w:val="single"/>
              </w:rPr>
              <w:t>2016年8月1日起施行），油</w:t>
            </w:r>
            <w:r>
              <w:rPr>
                <w:rFonts w:ascii="Times New Roman" w:hAnsi="Times New Roman" w:cs="Arial"/>
                <w:b/>
                <w:bCs/>
                <w:color w:val="auto"/>
                <w:sz w:val="24"/>
                <w:u w:val="single"/>
              </w:rPr>
              <w:t>罐清洗废水的危</w:t>
            </w:r>
            <w:r>
              <w:rPr>
                <w:rFonts w:hint="eastAsia" w:ascii="Times New Roman" w:hAnsi="Times New Roman" w:cs="Arial"/>
                <w:b/>
                <w:bCs/>
                <w:color w:val="auto"/>
                <w:sz w:val="24"/>
                <w:u w:val="single"/>
              </w:rPr>
              <w:t>废编号</w:t>
            </w:r>
            <w:r>
              <w:rPr>
                <w:rFonts w:ascii="Times New Roman" w:hAnsi="Times New Roman" w:cs="Arial"/>
                <w:b/>
                <w:bCs/>
                <w:color w:val="auto"/>
                <w:sz w:val="24"/>
                <w:u w:val="single"/>
              </w:rPr>
              <w:t>为</w:t>
            </w:r>
            <w:r>
              <w:rPr>
                <w:rFonts w:hint="eastAsia" w:ascii="Times New Roman" w:hAnsi="Times New Roman" w:cs="Arial"/>
                <w:b/>
                <w:bCs/>
                <w:color w:val="auto"/>
                <w:sz w:val="24"/>
                <w:u w:val="single"/>
              </w:rPr>
              <w:t>HW09，</w:t>
            </w:r>
            <w:r>
              <w:rPr>
                <w:rFonts w:ascii="Times New Roman" w:hAnsi="Times New Roman" w:cs="Arial"/>
                <w:b/>
                <w:bCs/>
                <w:color w:val="auto"/>
                <w:sz w:val="24"/>
                <w:u w:val="single"/>
              </w:rPr>
              <w:t>油泥的危</w:t>
            </w:r>
            <w:r>
              <w:rPr>
                <w:rFonts w:hint="eastAsia" w:ascii="Times New Roman" w:hAnsi="Times New Roman" w:cs="Arial"/>
                <w:b/>
                <w:bCs/>
                <w:color w:val="auto"/>
                <w:sz w:val="24"/>
                <w:u w:val="single"/>
              </w:rPr>
              <w:t>废编号</w:t>
            </w:r>
            <w:r>
              <w:rPr>
                <w:rFonts w:ascii="Times New Roman" w:hAnsi="Times New Roman" w:cs="Arial"/>
                <w:b/>
                <w:bCs/>
                <w:color w:val="auto"/>
                <w:sz w:val="24"/>
                <w:u w:val="single"/>
              </w:rPr>
              <w:t>为</w:t>
            </w:r>
            <w:r>
              <w:rPr>
                <w:rFonts w:hint="eastAsia" w:ascii="Times New Roman" w:hAnsi="Times New Roman" w:cs="Arial"/>
                <w:b/>
                <w:bCs/>
                <w:color w:val="auto"/>
                <w:sz w:val="24"/>
                <w:u w:val="single"/>
              </w:rPr>
              <w:t>HW08，</w:t>
            </w:r>
            <w:r>
              <w:rPr>
                <w:rFonts w:ascii="Times New Roman" w:hAnsi="Times New Roman" w:cs="Arial"/>
                <w:b/>
                <w:bCs/>
                <w:color w:val="auto"/>
                <w:sz w:val="24"/>
                <w:u w:val="single"/>
              </w:rPr>
              <w:t>均</w:t>
            </w:r>
            <w:r>
              <w:rPr>
                <w:rFonts w:hint="eastAsia" w:ascii="Times New Roman" w:hAnsi="Times New Roman" w:cs="Arial"/>
                <w:b/>
                <w:bCs/>
                <w:color w:val="auto"/>
                <w:sz w:val="24"/>
                <w:u w:val="single"/>
              </w:rPr>
              <w:t>在</w:t>
            </w:r>
            <w:r>
              <w:rPr>
                <w:rFonts w:ascii="Times New Roman" w:hAnsi="Times New Roman" w:cs="Arial"/>
                <w:b/>
                <w:bCs/>
                <w:color w:val="auto"/>
                <w:sz w:val="24"/>
                <w:u w:val="single"/>
              </w:rPr>
              <w:t>清洗</w:t>
            </w:r>
            <w:r>
              <w:rPr>
                <w:rFonts w:hint="eastAsia" w:ascii="Times New Roman" w:hAnsi="Times New Roman" w:cs="Arial"/>
                <w:b/>
                <w:bCs/>
                <w:color w:val="auto"/>
                <w:sz w:val="24"/>
                <w:u w:val="single"/>
              </w:rPr>
              <w:t>时</w:t>
            </w:r>
            <w:r>
              <w:rPr>
                <w:rFonts w:ascii="Times New Roman" w:hAnsi="Times New Roman" w:cs="Arial"/>
                <w:b/>
                <w:bCs/>
                <w:color w:val="auto"/>
                <w:sz w:val="24"/>
                <w:u w:val="single"/>
              </w:rPr>
              <w:t>一并交由</w:t>
            </w:r>
            <w:r>
              <w:rPr>
                <w:rFonts w:hint="eastAsia" w:ascii="Times New Roman" w:hAnsi="Times New Roman" w:cs="Arial"/>
                <w:b/>
                <w:bCs/>
                <w:color w:val="auto"/>
                <w:sz w:val="24"/>
                <w:u w:val="single"/>
              </w:rPr>
              <w:t>资质</w:t>
            </w:r>
            <w:r>
              <w:rPr>
                <w:rFonts w:ascii="Times New Roman" w:hAnsi="Times New Roman" w:cs="Arial"/>
                <w:b/>
                <w:bCs/>
                <w:color w:val="auto"/>
                <w:sz w:val="24"/>
                <w:u w:val="single"/>
              </w:rPr>
              <w:t>单位处理，不在站内暂存。</w:t>
            </w:r>
          </w:p>
          <w:p>
            <w:pPr>
              <w:spacing w:line="360" w:lineRule="auto"/>
              <w:ind w:firstLine="480" w:firstLineChars="200"/>
              <w:rPr>
                <w:rFonts w:hint="eastAsia" w:ascii="Times New Roman" w:hAnsi="Times New Roman" w:cs="Arial"/>
                <w:color w:val="auto"/>
                <w:sz w:val="24"/>
                <w:lang w:eastAsia="zh-CN"/>
              </w:rPr>
            </w:pPr>
            <w:r>
              <w:rPr>
                <w:rFonts w:hint="eastAsia" w:ascii="Times New Roman" w:hAnsi="Times New Roman" w:cs="Arial"/>
                <w:color w:val="auto"/>
                <w:sz w:val="24"/>
              </w:rPr>
              <w:t>综上所述，本项目固体废物均得到妥善处置，处理措施有效可行，对周围环境影响较小</w:t>
            </w:r>
            <w:r>
              <w:rPr>
                <w:rFonts w:hint="eastAsia" w:ascii="Times New Roman" w:hAnsi="Times New Roman" w:cs="Arial"/>
                <w:color w:val="auto"/>
                <w:sz w:val="24"/>
                <w:lang w:eastAsia="zh-CN"/>
              </w:rPr>
              <w:t>。</w:t>
            </w:r>
          </w:p>
          <w:p>
            <w:pPr>
              <w:pStyle w:val="31"/>
            </w:pPr>
          </w:p>
          <w:p>
            <w:pPr>
              <w:pStyle w:val="31"/>
            </w:pPr>
          </w:p>
          <w:p>
            <w:pPr>
              <w:pStyle w:val="31"/>
            </w:pPr>
          </w:p>
          <w:p>
            <w:pPr>
              <w:pStyle w:val="31"/>
            </w:pPr>
          </w:p>
          <w:p>
            <w:pPr>
              <w:pStyle w:val="31"/>
            </w:pPr>
          </w:p>
          <w:p>
            <w:pPr>
              <w:pStyle w:val="31"/>
            </w:pPr>
          </w:p>
          <w:p>
            <w:pPr>
              <w:pStyle w:val="31"/>
            </w:pPr>
          </w:p>
          <w:p>
            <w:pPr>
              <w:pStyle w:val="31"/>
            </w:pPr>
          </w:p>
          <w:p>
            <w:pPr>
              <w:pStyle w:val="31"/>
            </w:pPr>
          </w:p>
          <w:p>
            <w:pPr>
              <w:pStyle w:val="31"/>
            </w:pPr>
          </w:p>
          <w:p>
            <w:pPr>
              <w:pStyle w:val="31"/>
            </w:pPr>
          </w:p>
          <w:p>
            <w:pPr>
              <w:pStyle w:val="31"/>
            </w:pPr>
          </w:p>
          <w:p>
            <w:pPr>
              <w:pStyle w:val="31"/>
            </w:pPr>
          </w:p>
        </w:tc>
      </w:tr>
    </w:tbl>
    <w:p>
      <w:r>
        <w:br w:type="page"/>
      </w:r>
    </w:p>
    <w:p>
      <w:pPr>
        <w:spacing w:line="240" w:lineRule="auto"/>
        <w:ind w:firstLine="0" w:firstLineChars="0"/>
        <w:rPr>
          <w:rFonts w:ascii="Times New Roman" w:hAnsi="Times New Roman" w:eastAsia="宋体" w:cs="Times New Roman"/>
          <w:sz w:val="28"/>
          <w:szCs w:val="30"/>
        </w:rPr>
      </w:pPr>
      <w:bookmarkStart w:id="3" w:name="_Toc256177429"/>
      <w:bookmarkStart w:id="4" w:name="_Toc168387857"/>
      <w:bookmarkStart w:id="5" w:name="_Toc257241224"/>
      <w:r>
        <w:rPr>
          <w:rFonts w:ascii="Times New Roman" w:hAnsi="Times New Roman" w:eastAsia="宋体" w:cs="Times New Roman"/>
          <w:b/>
          <w:bCs/>
          <w:kern w:val="44"/>
          <w:sz w:val="30"/>
          <w:szCs w:val="30"/>
        </w:rPr>
        <w:t>建设项目所在地自然环境社会环境简况</w:t>
      </w:r>
      <w:bookmarkEnd w:id="3"/>
      <w:bookmarkEnd w:id="4"/>
      <w:bookmarkEnd w:id="5"/>
    </w:p>
    <w:tbl>
      <w:tblPr>
        <w:tblStyle w:val="22"/>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7" w:hRule="atLeast"/>
          <w:jc w:val="center"/>
        </w:trPr>
        <w:tc>
          <w:tcPr>
            <w:tcW w:w="8436" w:type="dxa"/>
          </w:tcPr>
          <w:p>
            <w:pPr>
              <w:adjustRightInd w:val="0"/>
              <w:snapToGrid w:val="0"/>
              <w:spacing w:line="500" w:lineRule="exact"/>
              <w:ind w:firstLine="0" w:firstLineChars="0"/>
              <w:rPr>
                <w:rFonts w:hint="default"/>
                <w:b/>
                <w:bCs/>
              </w:rPr>
            </w:pPr>
            <w:r>
              <w:rPr>
                <w:rFonts w:hint="default"/>
                <w:b/>
                <w:bCs/>
              </w:rPr>
              <w:t>自然环境简况（地形、地貌、地质、气候、气象、水文、植被、生物多样性等）</w:t>
            </w:r>
          </w:p>
          <w:p>
            <w:pPr>
              <w:adjustRightInd w:val="0"/>
              <w:snapToGrid w:val="0"/>
              <w:spacing w:line="500" w:lineRule="exact"/>
              <w:ind w:firstLine="0" w:firstLineChars="0"/>
              <w:rPr>
                <w:rFonts w:hint="default"/>
              </w:rPr>
            </w:pPr>
            <w:r>
              <w:rPr>
                <w:rFonts w:hint="default"/>
                <w:b/>
                <w:bCs/>
              </w:rPr>
              <w:t>1、地理位置</w:t>
            </w:r>
          </w:p>
          <w:p>
            <w:pPr>
              <w:widowControl/>
              <w:autoSpaceDE w:val="0"/>
              <w:spacing w:line="520" w:lineRule="exact"/>
              <w:ind w:firstLine="480"/>
              <w:jc w:val="left"/>
              <w:rPr>
                <w:rFonts w:hint="default"/>
                <w:lang w:val="en-US" w:eastAsia="zh-CN"/>
              </w:rPr>
            </w:pPr>
            <w:r>
              <w:rPr>
                <w:rFonts w:hint="default"/>
                <w:lang w:val="en-US" w:eastAsia="zh-CN"/>
              </w:rPr>
              <w:t>鲁山县位于河南省中部，伏牛山东麓，北依洛阳市、南临南阳市、东接平顶山，总面积2432平方公里，辖6镇15乡，558个行政村，人口87万，素有“七山一水二分田”之称。鲁山，古称鲁阳，汉置县，唐始名鲁山，现属河南省平顶山市。位于东经112度14-113度14，北纬33度34-34度00之间，在河南省中部偏西，淮河水系的沙河上游，地势西高东低，西、南、北三面环山，东与黄淮平原相连，最高海拔2153.1米，最低海拔90.1米。</w:t>
            </w:r>
          </w:p>
          <w:p>
            <w:pPr>
              <w:spacing w:line="520" w:lineRule="exact"/>
              <w:ind w:firstLine="0" w:firstLineChars="0"/>
              <w:rPr>
                <w:rFonts w:hint="default"/>
              </w:rPr>
            </w:pPr>
            <w:r>
              <w:rPr>
                <w:rFonts w:hint="default"/>
                <w:b/>
                <w:bCs/>
              </w:rPr>
              <w:t>2、地形地貌及地质特征</w:t>
            </w:r>
          </w:p>
          <w:p>
            <w:pPr>
              <w:adjustRightInd w:val="0"/>
              <w:snapToGrid w:val="0"/>
              <w:spacing w:line="520" w:lineRule="exact"/>
              <w:ind w:firstLine="480" w:firstLineChars="200"/>
              <w:rPr>
                <w:rFonts w:hint="default"/>
              </w:rPr>
            </w:pPr>
            <w:r>
              <w:rPr>
                <w:rFonts w:hint="default"/>
                <w:lang w:val="en-US" w:eastAsia="zh-CN"/>
              </w:rPr>
              <w:t>鲁山县县境东西长90km，南北宽44km，县域面积2432.32km2。地势西高东低，北、西、南三面环山，东部为沙河冲积平原，地势西高东低，为一簸箕形盆地。山地面积占28.9%，丘陵岗地占53%，平原(包括水面)占18.1%，耕地面积为178.23km2西部中山区一般海拔400～800m，其中石人山主峰2153.1m，该区山势陡峭，岩石裸露，群峰林立，面积约1070.33km2，约占总面积44%；中部低山区，海拔一般在250~400m，沟壑纵横，山川相间，土薄石厚，耕地多分布在山谷河川两岸，面积约53365km2，约占总面积21.9%东部南北两侧丘陵区，海拔一般在90～150m之间，地势平坦，土层深厚，土质肥沃，面积约828.34km2，占总面积34.1%。</w:t>
            </w:r>
            <w:r>
              <w:rPr>
                <w:rFonts w:hint="default"/>
              </w:rPr>
              <w:t>。</w:t>
            </w:r>
          </w:p>
          <w:p>
            <w:pPr>
              <w:spacing w:line="520" w:lineRule="exact"/>
              <w:ind w:firstLine="0" w:firstLineChars="0"/>
              <w:rPr>
                <w:rFonts w:hint="default"/>
              </w:rPr>
            </w:pPr>
            <w:r>
              <w:rPr>
                <w:rFonts w:hint="default"/>
                <w:b/>
                <w:bCs/>
              </w:rPr>
              <w:t>3、 气候气象</w:t>
            </w:r>
          </w:p>
          <w:p>
            <w:pPr>
              <w:bidi w:val="0"/>
              <w:rPr>
                <w:rFonts w:hint="default"/>
                <w:lang w:val="en-US" w:eastAsia="zh-CN"/>
              </w:rPr>
            </w:pPr>
            <w:r>
              <w:rPr>
                <w:rFonts w:hint="default"/>
                <w:lang w:val="en-US" w:eastAsia="zh-CN"/>
              </w:rPr>
              <w:t>鲁山县属暖温带半湿润大陆性季风性气候，四季分明，气候温和，雨热同期，降水年季变率大，多集中在每年6、7、8、9四个月，占全年降水量的61%；年均降水量为692.6mm，日最大降雨量210mm。历年最高气温44℃，最低气温为-</w:t>
            </w:r>
            <w:r>
              <w:rPr>
                <w:rFonts w:hint="eastAsia"/>
                <w:lang w:val="en-US" w:eastAsia="zh-CN"/>
              </w:rPr>
              <w:t>70.8</w:t>
            </w:r>
            <w:r>
              <w:rPr>
                <w:rFonts w:hint="default"/>
                <w:lang w:val="en-US" w:eastAsia="zh-CN"/>
              </w:rPr>
              <w:t>℃，平均气温为14.4℃;年平均蒸发量1600mm，无霜期213～218天。本区夏季多东南风，冬季多西北风，主导风向东北风，最大风速为20m/s，平均风速2.0m/s;冻土期从当年11月至来年2月，最大冻土深度8cm，最大积雪厚度27cm;五年一遇最大24h暴雨为204.0mm，十年一遇最大24h暴雨为274.5mm。</w:t>
            </w:r>
          </w:p>
          <w:p>
            <w:pPr>
              <w:bidi w:val="0"/>
              <w:rPr>
                <w:rFonts w:hint="eastAsia"/>
                <w:lang w:val="en-US" w:eastAsia="zh-CN"/>
              </w:rPr>
            </w:pPr>
            <w:r>
              <w:rPr>
                <w:rFonts w:hint="eastAsia"/>
                <w:b/>
                <w:bCs/>
                <w:lang w:val="en-US" w:eastAsia="zh-CN"/>
              </w:rPr>
              <w:t>4、水文地质</w:t>
            </w:r>
          </w:p>
          <w:p>
            <w:pPr>
              <w:autoSpaceDE w:val="0"/>
              <w:autoSpaceDN w:val="0"/>
              <w:adjustRightInd w:val="0"/>
              <w:spacing w:line="520" w:lineRule="exact"/>
              <w:ind w:firstLine="482" w:firstLineChars="200"/>
              <w:jc w:val="left"/>
              <w:rPr>
                <w:b/>
                <w:bCs/>
                <w:sz w:val="24"/>
                <w:u w:val="single"/>
                <w:lang w:val="zh-CN"/>
              </w:rPr>
            </w:pPr>
            <w:r>
              <w:rPr>
                <w:b/>
                <w:bCs/>
                <w:sz w:val="24"/>
                <w:u w:val="single"/>
                <w:lang w:val="zh-CN"/>
              </w:rPr>
              <w:t>（1）地表水</w:t>
            </w:r>
          </w:p>
          <w:p>
            <w:pPr>
              <w:spacing w:line="520" w:lineRule="exact"/>
              <w:ind w:firstLine="482" w:firstLineChars="200"/>
              <w:rPr>
                <w:b/>
                <w:bCs/>
                <w:sz w:val="24"/>
                <w:u w:val="single"/>
              </w:rPr>
            </w:pPr>
            <w:r>
              <w:rPr>
                <w:b/>
                <w:bCs/>
                <w:sz w:val="24"/>
                <w:u w:val="single"/>
              </w:rPr>
              <w:t>鲁山县属淮河流域沙颍河水系，沙河干流发源于尧山主峰东麓，自西向东贯穿全境，长108千米，流域总面积2432平方千米。境内流域面积在30平方千米以上的支流有23条，其中沙河、大浪河、将相河、荡泽河、清水河、七里河。人工渠包括昭平台北干渠和南水北调中线输水干渠。</w:t>
            </w:r>
          </w:p>
          <w:p>
            <w:pPr>
              <w:spacing w:line="520" w:lineRule="exact"/>
              <w:ind w:firstLine="482" w:firstLineChars="200"/>
              <w:rPr>
                <w:b/>
                <w:bCs/>
                <w:sz w:val="24"/>
                <w:u w:val="single"/>
              </w:rPr>
            </w:pPr>
            <w:r>
              <w:rPr>
                <w:rFonts w:hint="eastAsia" w:ascii="宋体" w:hAnsi="宋体" w:cs="宋体"/>
                <w:b/>
                <w:bCs/>
                <w:sz w:val="24"/>
                <w:u w:val="single"/>
              </w:rPr>
              <w:t>①</w:t>
            </w:r>
            <w:r>
              <w:rPr>
                <w:b/>
                <w:bCs/>
                <w:sz w:val="24"/>
                <w:u w:val="single"/>
              </w:rPr>
              <w:t>沙河</w:t>
            </w:r>
          </w:p>
          <w:p>
            <w:pPr>
              <w:spacing w:line="520" w:lineRule="exact"/>
              <w:ind w:firstLine="482" w:firstLineChars="200"/>
              <w:rPr>
                <w:b/>
                <w:bCs/>
                <w:sz w:val="24"/>
                <w:u w:val="single"/>
              </w:rPr>
            </w:pPr>
            <w:r>
              <w:rPr>
                <w:b/>
                <w:bCs/>
                <w:sz w:val="24"/>
                <w:u w:val="single"/>
              </w:rPr>
              <w:t>沙河是淮河上游北侧的一条支流，发源于尧山主峰东侧，是一条天然性河流，自西向东贯穿全境，长108km，流域总面积28800km</w:t>
            </w:r>
            <w:r>
              <w:rPr>
                <w:b/>
                <w:bCs/>
                <w:sz w:val="24"/>
                <w:u w:val="single"/>
                <w:vertAlign w:val="superscript"/>
              </w:rPr>
              <w:t>2</w:t>
            </w:r>
            <w:r>
              <w:rPr>
                <w:b/>
                <w:bCs/>
                <w:sz w:val="24"/>
                <w:u w:val="single"/>
              </w:rPr>
              <w:t>，境内流域面积为3910.5km</w:t>
            </w:r>
            <w:r>
              <w:rPr>
                <w:b/>
                <w:bCs/>
                <w:sz w:val="24"/>
                <w:u w:val="single"/>
                <w:vertAlign w:val="superscript"/>
              </w:rPr>
              <w:t>2</w:t>
            </w:r>
            <w:r>
              <w:rPr>
                <w:b/>
                <w:bCs/>
                <w:sz w:val="24"/>
                <w:u w:val="single"/>
              </w:rPr>
              <w:t>，多年平均径流量11.2亿m</w:t>
            </w:r>
            <w:r>
              <w:rPr>
                <w:b/>
                <w:bCs/>
                <w:sz w:val="24"/>
                <w:u w:val="single"/>
                <w:vertAlign w:val="superscript"/>
              </w:rPr>
              <w:t>3</w:t>
            </w:r>
            <w:r>
              <w:rPr>
                <w:b/>
                <w:bCs/>
                <w:sz w:val="24"/>
                <w:u w:val="single"/>
              </w:rPr>
              <w:t>，鲁山县境内长约90km，是鲁山最大的河流。沙河位于本项目的南侧10.0km。</w:t>
            </w:r>
          </w:p>
          <w:p>
            <w:pPr>
              <w:spacing w:line="520" w:lineRule="exact"/>
              <w:ind w:firstLine="482" w:firstLineChars="200"/>
              <w:rPr>
                <w:b/>
                <w:bCs/>
                <w:sz w:val="24"/>
                <w:u w:val="single"/>
              </w:rPr>
            </w:pPr>
            <w:r>
              <w:rPr>
                <w:rFonts w:hint="eastAsia" w:ascii="宋体" w:hAnsi="宋体" w:cs="宋体"/>
                <w:b/>
                <w:bCs/>
                <w:sz w:val="24"/>
                <w:u w:val="single"/>
              </w:rPr>
              <w:t>②</w:t>
            </w:r>
            <w:r>
              <w:rPr>
                <w:b/>
                <w:bCs/>
                <w:sz w:val="24"/>
                <w:u w:val="single"/>
              </w:rPr>
              <w:t>大浪河</w:t>
            </w:r>
          </w:p>
          <w:p>
            <w:pPr>
              <w:spacing w:line="520" w:lineRule="exact"/>
              <w:ind w:firstLine="482" w:firstLineChars="200"/>
              <w:rPr>
                <w:b/>
                <w:bCs/>
                <w:sz w:val="24"/>
                <w:u w:val="single"/>
              </w:rPr>
            </w:pPr>
            <w:r>
              <w:rPr>
                <w:b/>
                <w:bCs/>
                <w:sz w:val="24"/>
                <w:u w:val="single"/>
              </w:rPr>
              <w:t>大浪河位于本项目西侧约10.0km处，大浪河发源于宝丰葛花崖，经石龙区进入鲁山县，于辛集乡程村南汇入沙河，全长36km，因其上游经过石龙区，河床中山石起伏，好似石龙，因此上游段又称石龙河。</w:t>
            </w:r>
          </w:p>
          <w:p>
            <w:pPr>
              <w:spacing w:line="520" w:lineRule="exact"/>
              <w:ind w:firstLine="482" w:firstLineChars="200"/>
              <w:rPr>
                <w:b/>
                <w:bCs/>
                <w:sz w:val="24"/>
                <w:u w:val="single"/>
              </w:rPr>
            </w:pPr>
            <w:r>
              <w:rPr>
                <w:rFonts w:hint="eastAsia" w:ascii="宋体" w:hAnsi="宋体" w:cs="宋体"/>
                <w:b/>
                <w:bCs/>
                <w:sz w:val="24"/>
                <w:u w:val="single"/>
              </w:rPr>
              <w:t>③</w:t>
            </w:r>
            <w:r>
              <w:rPr>
                <w:b/>
                <w:bCs/>
                <w:sz w:val="24"/>
                <w:u w:val="single"/>
              </w:rPr>
              <w:t>昭平台水库</w:t>
            </w:r>
          </w:p>
          <w:p>
            <w:pPr>
              <w:spacing w:line="520" w:lineRule="exact"/>
              <w:ind w:firstLine="482" w:firstLineChars="200"/>
              <w:rPr>
                <w:rFonts w:hint="eastAsia"/>
                <w:b/>
                <w:bCs/>
                <w:sz w:val="24"/>
                <w:u w:val="single"/>
              </w:rPr>
            </w:pPr>
            <w:r>
              <w:rPr>
                <w:b/>
                <w:bCs/>
                <w:sz w:val="24"/>
                <w:u w:val="single"/>
              </w:rPr>
              <w:t>县域内有大型水库一座（昭平台水库），总库容71300万立方米；中型水库2座（澎河、米湾水库），总库容7290万立方米；小型水库35座，总库容2142万立方米；灌区3处（昭平台、澎河、米湾灌区），引水灌区1082处，修建塘堰坝776座，提灌站68座。并有干渠4条，支渠15条，机电井2952眼，与贯穿全境的沙河干流及支流基本上形成了完整的灌排体系。现有有效灌溉面积24753公顷，占耕地面积的60%，旱、涝保收田面积20953公顷，占耕地面积的51%。本项目位于昭平台水库东北侧23.7km处。</w:t>
            </w:r>
          </w:p>
          <w:p>
            <w:pPr>
              <w:pStyle w:val="13"/>
              <w:spacing w:after="0" w:line="520" w:lineRule="exact"/>
              <w:ind w:left="0" w:leftChars="0" w:firstLine="482" w:firstLineChars="200"/>
              <w:rPr>
                <w:rFonts w:hint="eastAsia"/>
                <w:b/>
                <w:bCs/>
                <w:color w:val="auto"/>
                <w:sz w:val="24"/>
                <w:u w:val="single"/>
                <w:lang w:val="en-US" w:eastAsia="zh-CN"/>
              </w:rPr>
            </w:pPr>
            <w:r>
              <w:rPr>
                <w:b/>
                <w:bCs/>
                <w:color w:val="auto"/>
                <w:sz w:val="24"/>
                <w:u w:val="single"/>
                <w:lang w:val="en-US" w:eastAsia="zh-CN"/>
              </w:rPr>
              <w:fldChar w:fldCharType="begin"/>
            </w:r>
            <w:r>
              <w:rPr>
                <w:b/>
                <w:bCs/>
                <w:color w:val="auto"/>
                <w:sz w:val="24"/>
                <w:u w:val="single"/>
                <w:lang w:val="en-US" w:eastAsia="zh-CN"/>
              </w:rPr>
              <w:instrText xml:space="preserve"> </w:instrText>
            </w:r>
            <w:r>
              <w:rPr>
                <w:rFonts w:hint="eastAsia"/>
                <w:b/>
                <w:bCs/>
                <w:color w:val="auto"/>
                <w:sz w:val="24"/>
                <w:u w:val="single"/>
                <w:lang w:val="en-US" w:eastAsia="zh-CN"/>
              </w:rPr>
              <w:instrText xml:space="preserve">= 4 \* GB3</w:instrText>
            </w:r>
            <w:r>
              <w:rPr>
                <w:b/>
                <w:bCs/>
                <w:color w:val="auto"/>
                <w:sz w:val="24"/>
                <w:u w:val="single"/>
                <w:lang w:val="en-US" w:eastAsia="zh-CN"/>
              </w:rPr>
              <w:instrText xml:space="preserve"> </w:instrText>
            </w:r>
            <w:r>
              <w:rPr>
                <w:b/>
                <w:bCs/>
                <w:color w:val="auto"/>
                <w:sz w:val="24"/>
                <w:u w:val="single"/>
                <w:lang w:val="en-US" w:eastAsia="zh-CN"/>
              </w:rPr>
              <w:fldChar w:fldCharType="separate"/>
            </w:r>
            <w:r>
              <w:rPr>
                <w:rFonts w:hint="eastAsia"/>
                <w:b/>
                <w:bCs/>
                <w:color w:val="auto"/>
                <w:sz w:val="24"/>
                <w:u w:val="single"/>
                <w:lang w:val="en-US" w:eastAsia="zh-CN"/>
              </w:rPr>
              <w:t>④</w:t>
            </w:r>
            <w:r>
              <w:rPr>
                <w:b/>
                <w:bCs/>
                <w:color w:val="auto"/>
                <w:sz w:val="24"/>
                <w:u w:val="single"/>
                <w:lang w:val="en-US" w:eastAsia="zh-CN"/>
              </w:rPr>
              <w:fldChar w:fldCharType="end"/>
            </w:r>
            <w:r>
              <w:rPr>
                <w:rFonts w:hint="eastAsia"/>
                <w:b/>
                <w:bCs/>
                <w:color w:val="auto"/>
                <w:sz w:val="24"/>
                <w:u w:val="single"/>
                <w:lang w:val="en-US" w:eastAsia="zh-CN"/>
              </w:rPr>
              <w:t>团城河</w:t>
            </w:r>
          </w:p>
          <w:p>
            <w:pPr>
              <w:pStyle w:val="13"/>
              <w:spacing w:after="0" w:line="520" w:lineRule="exact"/>
              <w:ind w:left="0" w:leftChars="0" w:firstLine="482" w:firstLineChars="200"/>
              <w:rPr>
                <w:b/>
                <w:bCs/>
                <w:color w:val="FF0000"/>
                <w:sz w:val="24"/>
                <w:u w:val="single"/>
                <w:lang w:val="en-US" w:eastAsia="zh-CN"/>
              </w:rPr>
            </w:pPr>
            <w:r>
              <w:rPr>
                <w:rFonts w:hint="eastAsia"/>
                <w:b/>
                <w:bCs/>
                <w:color w:val="auto"/>
                <w:kern w:val="0"/>
                <w:sz w:val="24"/>
                <w:u w:val="single"/>
              </w:rPr>
              <w:t>团城河原名鸡冢河，发源于团城乡五道庙，鲁山县境内长30km，流域面积66km</w:t>
            </w:r>
            <w:r>
              <w:rPr>
                <w:rFonts w:hint="eastAsia"/>
                <w:b/>
                <w:bCs/>
                <w:color w:val="auto"/>
                <w:kern w:val="0"/>
                <w:sz w:val="24"/>
                <w:u w:val="single"/>
                <w:vertAlign w:val="superscript"/>
              </w:rPr>
              <w:t>2</w:t>
            </w:r>
            <w:r>
              <w:rPr>
                <w:rFonts w:hint="eastAsia"/>
                <w:b/>
                <w:bCs/>
                <w:color w:val="auto"/>
                <w:kern w:val="0"/>
                <w:sz w:val="24"/>
                <w:u w:val="single"/>
              </w:rPr>
              <w:t>。</w:t>
            </w:r>
          </w:p>
          <w:p>
            <w:pPr>
              <w:pStyle w:val="13"/>
              <w:spacing w:after="0" w:line="520" w:lineRule="exact"/>
              <w:ind w:left="0" w:leftChars="0" w:firstLine="482" w:firstLineChars="200"/>
              <w:rPr>
                <w:b/>
                <w:bCs/>
                <w:sz w:val="24"/>
                <w:u w:val="single"/>
              </w:rPr>
            </w:pPr>
            <w:r>
              <w:rPr>
                <w:b/>
                <w:bCs/>
                <w:sz w:val="24"/>
                <w:u w:val="single"/>
              </w:rPr>
              <w:t>距离本项目最近地表水体</w:t>
            </w:r>
            <w:r>
              <w:rPr>
                <w:rFonts w:hint="eastAsia"/>
                <w:b/>
                <w:bCs/>
                <w:sz w:val="24"/>
                <w:u w:val="single"/>
                <w:lang w:eastAsia="zh-CN"/>
              </w:rPr>
              <w:t>沙河</w:t>
            </w:r>
            <w:r>
              <w:rPr>
                <w:b/>
                <w:bCs/>
                <w:sz w:val="24"/>
                <w:u w:val="single"/>
              </w:rPr>
              <w:t>。</w:t>
            </w:r>
          </w:p>
          <w:p>
            <w:pPr>
              <w:spacing w:line="520" w:lineRule="exact"/>
              <w:ind w:firstLine="482" w:firstLineChars="200"/>
              <w:jc w:val="left"/>
              <w:rPr>
                <w:b/>
                <w:bCs/>
                <w:sz w:val="24"/>
                <w:u w:val="single"/>
              </w:rPr>
            </w:pPr>
            <w:r>
              <w:rPr>
                <w:b/>
                <w:bCs/>
                <w:sz w:val="24"/>
                <w:u w:val="single"/>
              </w:rPr>
              <w:t>（2）地下水</w:t>
            </w:r>
          </w:p>
          <w:p>
            <w:pPr>
              <w:bidi w:val="0"/>
              <w:rPr>
                <w:b/>
                <w:bCs w:val="0"/>
                <w:u w:val="single"/>
              </w:rPr>
            </w:pPr>
            <w:r>
              <w:rPr>
                <w:b/>
                <w:bCs w:val="0"/>
                <w:u w:val="single"/>
              </w:rPr>
              <w:t>鲁山县区含水介质类型属于松散岩类孔隙水，埋藏条件为潜水。主要岩性为褐红色、褐黄色粘土、亚粘土角砾；主要含水层为更新统和全新统砂性土、砂砾石层。地下水分布广、水量大、埋藏浅，属于HCO3-Ca型水。</w:t>
            </w:r>
            <w:r>
              <w:rPr>
                <w:rFonts w:hint="eastAsia"/>
                <w:b/>
                <w:bCs w:val="0"/>
                <w:u w:val="single"/>
              </w:rPr>
              <w:t>城</w:t>
            </w:r>
            <w:r>
              <w:rPr>
                <w:b/>
                <w:bCs w:val="0"/>
                <w:u w:val="single"/>
              </w:rPr>
              <w:t>区地下水埋深在22～60m左右。</w:t>
            </w:r>
          </w:p>
          <w:p>
            <w:pPr>
              <w:bidi w:val="0"/>
              <w:rPr>
                <w:b/>
                <w:bCs w:val="0"/>
                <w:sz w:val="24"/>
                <w:szCs w:val="24"/>
                <w:u w:val="single"/>
              </w:rPr>
            </w:pPr>
            <w:r>
              <w:rPr>
                <w:b/>
                <w:bCs w:val="0"/>
                <w:sz w:val="24"/>
                <w:szCs w:val="24"/>
                <w:u w:val="single"/>
              </w:rPr>
              <w:t>地下水的补排条件和径流特征为：补给以大气降水、河流侧渗、灌溉水回渗为主；排泄主要以开发、蒸发、径流为主。该区地下水的径流方向为从</w:t>
            </w:r>
            <w:r>
              <w:rPr>
                <w:rFonts w:hint="eastAsia"/>
                <w:b/>
                <w:bCs w:val="0"/>
                <w:sz w:val="24"/>
                <w:szCs w:val="24"/>
                <w:u w:val="single"/>
                <w:lang w:eastAsia="zh-CN"/>
              </w:rPr>
              <w:t>西</w:t>
            </w:r>
            <w:r>
              <w:rPr>
                <w:b/>
                <w:bCs w:val="0"/>
                <w:sz w:val="24"/>
                <w:szCs w:val="24"/>
                <w:u w:val="single"/>
              </w:rPr>
              <w:t>到</w:t>
            </w:r>
            <w:r>
              <w:rPr>
                <w:rFonts w:hint="eastAsia"/>
                <w:b/>
                <w:bCs w:val="0"/>
                <w:sz w:val="24"/>
                <w:szCs w:val="24"/>
                <w:u w:val="single"/>
                <w:lang w:eastAsia="zh-CN"/>
              </w:rPr>
              <w:t>东</w:t>
            </w:r>
            <w:r>
              <w:rPr>
                <w:b/>
                <w:bCs w:val="0"/>
                <w:sz w:val="24"/>
                <w:szCs w:val="24"/>
                <w:u w:val="single"/>
              </w:rPr>
              <w:t>，水力坡度在2‰左右。</w:t>
            </w:r>
          </w:p>
          <w:p>
            <w:pPr>
              <w:bidi w:val="0"/>
              <w:rPr>
                <w:b/>
                <w:bCs w:val="0"/>
                <w:sz w:val="24"/>
                <w:szCs w:val="24"/>
                <w:u w:val="single"/>
              </w:rPr>
            </w:pPr>
            <w:r>
              <w:rPr>
                <w:b/>
                <w:bCs w:val="0"/>
                <w:sz w:val="24"/>
                <w:szCs w:val="24"/>
                <w:u w:val="single"/>
              </w:rPr>
              <w:t>项目所在区的含水层为粉质粘土含水层，粉质粘土含水层渗透系数为</w:t>
            </w:r>
            <w:r>
              <w:rPr>
                <w:rFonts w:hint="eastAsia"/>
                <w:b/>
                <w:bCs w:val="0"/>
                <w:sz w:val="24"/>
                <w:szCs w:val="24"/>
                <w:u w:val="single"/>
              </w:rPr>
              <w:t>30</w:t>
            </w:r>
            <w:r>
              <w:rPr>
                <w:b/>
                <w:bCs w:val="0"/>
                <w:sz w:val="24"/>
                <w:szCs w:val="24"/>
                <w:u w:val="single"/>
              </w:rPr>
              <w:t>m/d，地下水水力坡度为</w:t>
            </w:r>
            <w:r>
              <w:rPr>
                <w:rFonts w:hint="eastAsia"/>
                <w:b/>
                <w:bCs w:val="0"/>
                <w:sz w:val="24"/>
                <w:szCs w:val="24"/>
                <w:u w:val="single"/>
              </w:rPr>
              <w:t>3.6</w:t>
            </w:r>
            <w:r>
              <w:rPr>
                <w:b/>
                <w:bCs w:val="0"/>
                <w:sz w:val="24"/>
                <w:szCs w:val="24"/>
                <w:u w:val="single"/>
              </w:rPr>
              <w:t>‰，有效孔隙度为</w:t>
            </w:r>
            <w:r>
              <w:rPr>
                <w:rFonts w:hint="eastAsia"/>
                <w:b/>
                <w:bCs w:val="0"/>
                <w:sz w:val="24"/>
                <w:szCs w:val="24"/>
                <w:u w:val="single"/>
              </w:rPr>
              <w:t>45</w:t>
            </w:r>
            <w:r>
              <w:rPr>
                <w:b/>
                <w:bCs w:val="0"/>
                <w:sz w:val="24"/>
                <w:szCs w:val="24"/>
                <w:u w:val="single"/>
              </w:rPr>
              <w:t>%；地下水流速0.08m/d，纵向弥散系数取值为0.2m</w:t>
            </w:r>
            <w:r>
              <w:rPr>
                <w:b/>
                <w:bCs w:val="0"/>
                <w:sz w:val="24"/>
                <w:szCs w:val="24"/>
                <w:u w:val="single"/>
                <w:vertAlign w:val="superscript"/>
              </w:rPr>
              <w:t>2</w:t>
            </w:r>
            <w:r>
              <w:rPr>
                <w:b/>
                <w:bCs w:val="0"/>
                <w:sz w:val="24"/>
                <w:szCs w:val="24"/>
                <w:u w:val="single"/>
              </w:rPr>
              <w:t>/d。</w:t>
            </w:r>
          </w:p>
          <w:p>
            <w:pPr>
              <w:pStyle w:val="2"/>
              <w:rPr>
                <w:rFonts w:hint="eastAsia"/>
                <w:b/>
                <w:bCs w:val="0"/>
                <w:sz w:val="24"/>
                <w:szCs w:val="24"/>
                <w:u w:val="single"/>
                <w:lang w:val="en-US" w:eastAsia="zh-CN"/>
              </w:rPr>
            </w:pPr>
            <w:r>
              <w:rPr>
                <w:rFonts w:hint="eastAsia"/>
                <w:b/>
                <w:bCs w:val="0"/>
                <w:sz w:val="24"/>
                <w:szCs w:val="24"/>
                <w:u w:val="single"/>
                <w:lang w:eastAsia="zh-CN"/>
              </w:rPr>
              <w:t>鲁山县地热温泉群位于车村</w:t>
            </w:r>
            <w:r>
              <w:rPr>
                <w:rFonts w:hint="eastAsia"/>
                <w:b/>
                <w:bCs w:val="0"/>
                <w:sz w:val="24"/>
                <w:szCs w:val="24"/>
                <w:u w:val="single"/>
                <w:lang w:val="en-US" w:eastAsia="zh-CN"/>
              </w:rPr>
              <w:t>-下汤深大断裂中段，附近山脉总体走向NW向，主要赋存于燕山期花岗岩内。处于东西向断裂与NE-SW向扭性断裂的交汇部位，导致温泉呈泉群排泄，主要泉眼有六处。</w:t>
            </w:r>
          </w:p>
          <w:p>
            <w:pPr>
              <w:pStyle w:val="2"/>
              <w:rPr>
                <w:rFonts w:hint="eastAsia"/>
                <w:b/>
                <w:bCs w:val="0"/>
                <w:sz w:val="24"/>
                <w:szCs w:val="24"/>
                <w:u w:val="single"/>
                <w:lang w:val="en-US" w:eastAsia="zh-CN"/>
              </w:rPr>
            </w:pPr>
            <w:r>
              <w:rPr>
                <w:rFonts w:hint="eastAsia"/>
                <w:b/>
                <w:bCs w:val="0"/>
                <w:sz w:val="24"/>
                <w:szCs w:val="24"/>
                <w:u w:val="single"/>
                <w:lang w:val="en-US" w:eastAsia="zh-CN"/>
              </w:rPr>
              <w:t>上汤泉：出露标高279米，断层上升泉，水温59℃，矿化度0.306g/L，单泉涌水量9.00升/秒。</w:t>
            </w:r>
          </w:p>
          <w:p>
            <w:pPr>
              <w:pStyle w:val="2"/>
              <w:rPr>
                <w:rFonts w:hint="eastAsia"/>
                <w:b/>
                <w:bCs w:val="0"/>
                <w:sz w:val="24"/>
                <w:szCs w:val="24"/>
                <w:u w:val="single"/>
                <w:lang w:val="en-US" w:eastAsia="zh-CN"/>
              </w:rPr>
            </w:pPr>
            <w:r>
              <w:rPr>
                <w:rFonts w:hint="eastAsia"/>
                <w:b/>
                <w:bCs w:val="0"/>
                <w:sz w:val="24"/>
                <w:szCs w:val="24"/>
                <w:u w:val="single"/>
                <w:lang w:val="en-US" w:eastAsia="zh-CN"/>
              </w:rPr>
              <w:t>中汤泉：出露标高216.5米，构造上升泉，水温64.2℃，单泉涌水量3.90升/秒。</w:t>
            </w:r>
          </w:p>
          <w:p>
            <w:pPr>
              <w:pStyle w:val="2"/>
              <w:rPr>
                <w:rFonts w:hint="eastAsia"/>
                <w:b/>
                <w:bCs w:val="0"/>
                <w:sz w:val="24"/>
                <w:szCs w:val="24"/>
                <w:u w:val="single"/>
                <w:lang w:val="en-US" w:eastAsia="zh-CN"/>
              </w:rPr>
            </w:pPr>
            <w:r>
              <w:rPr>
                <w:rFonts w:hint="eastAsia"/>
                <w:b/>
                <w:bCs w:val="0"/>
                <w:sz w:val="24"/>
                <w:szCs w:val="24"/>
                <w:u w:val="single"/>
                <w:lang w:val="en-US" w:eastAsia="zh-CN"/>
              </w:rPr>
              <w:t>温汤泉：出露标高225米，构造上升泉，水温49℃，单泉涌水量0.365升/秒。</w:t>
            </w:r>
          </w:p>
          <w:p>
            <w:pPr>
              <w:pStyle w:val="2"/>
              <w:rPr>
                <w:rFonts w:hint="eastAsia"/>
                <w:b/>
                <w:bCs w:val="0"/>
                <w:sz w:val="24"/>
                <w:szCs w:val="24"/>
                <w:u w:val="single"/>
                <w:lang w:val="en-US" w:eastAsia="zh-CN"/>
              </w:rPr>
            </w:pPr>
            <w:r>
              <w:rPr>
                <w:rFonts w:hint="eastAsia"/>
                <w:b/>
                <w:bCs w:val="0"/>
                <w:sz w:val="24"/>
                <w:szCs w:val="24"/>
                <w:u w:val="single"/>
                <w:lang w:val="en-US" w:eastAsia="zh-CN"/>
              </w:rPr>
              <w:t>下汤泉：出露标高180米，构造上升泉，水温63℃，矿化度0.386g/L，单泉涌水量10.36升/秒。</w:t>
            </w:r>
          </w:p>
          <w:p>
            <w:pPr>
              <w:pStyle w:val="2"/>
              <w:rPr>
                <w:rFonts w:hint="eastAsia"/>
                <w:b/>
                <w:bCs w:val="0"/>
                <w:sz w:val="24"/>
                <w:szCs w:val="24"/>
                <w:u w:val="single"/>
                <w:lang w:val="en-US" w:eastAsia="zh-CN"/>
              </w:rPr>
            </w:pPr>
            <w:r>
              <w:rPr>
                <w:rFonts w:hint="eastAsia"/>
                <w:b/>
                <w:bCs w:val="0"/>
                <w:sz w:val="24"/>
                <w:szCs w:val="24"/>
                <w:u w:val="single"/>
                <w:lang w:val="en-US" w:eastAsia="zh-CN"/>
              </w:rPr>
              <w:t>婆娑街泉：出露标高140米，上升泉，水温45℃，单泉涌水量3.10升/秒。</w:t>
            </w:r>
          </w:p>
          <w:p>
            <w:pPr>
              <w:pStyle w:val="2"/>
              <w:rPr>
                <w:rFonts w:hint="eastAsia"/>
                <w:b/>
                <w:bCs w:val="0"/>
                <w:u w:val="single"/>
                <w:lang w:val="en-US" w:eastAsia="zh-CN"/>
              </w:rPr>
            </w:pPr>
            <w:r>
              <w:rPr>
                <w:rFonts w:hint="eastAsia"/>
                <w:b/>
                <w:bCs w:val="0"/>
                <w:sz w:val="24"/>
                <w:szCs w:val="24"/>
                <w:u w:val="single"/>
                <w:lang w:val="en-US" w:eastAsia="zh-CN"/>
              </w:rPr>
              <w:t>碱厂泉：出露标高140米，上升泉，水温40℃，单泉涌水量2.89升/秒。</w:t>
            </w:r>
          </w:p>
          <w:p>
            <w:pPr>
              <w:keepNext w:val="0"/>
              <w:keepLines w:val="0"/>
              <w:pageBreakBefore w:val="0"/>
              <w:widowControl w:val="0"/>
              <w:tabs>
                <w:tab w:val="left" w:pos="8160"/>
              </w:tabs>
              <w:kinsoku/>
              <w:wordWrap/>
              <w:overflowPunct/>
              <w:topLinePunct w:val="0"/>
              <w:autoSpaceDE/>
              <w:autoSpaceDN/>
              <w:bidi w:val="0"/>
              <w:adjustRightInd/>
              <w:snapToGrid/>
              <w:spacing w:line="520" w:lineRule="exact"/>
              <w:ind w:firstLine="482" w:firstLineChars="200"/>
              <w:textAlignment w:val="baseline"/>
              <w:rPr>
                <w:rFonts w:hint="eastAsia"/>
                <w:lang w:val="en-US" w:eastAsia="zh-CN"/>
              </w:rPr>
            </w:pPr>
            <w:r>
              <w:rPr>
                <w:rFonts w:hint="eastAsia" w:ascii="Times New Roman" w:hAnsi="Times New Roman" w:cs="宋体"/>
                <w:b/>
                <w:bCs/>
                <w:szCs w:val="24"/>
                <w:u w:val="single"/>
              </w:rPr>
              <w:t>鲁山县有一处县级集中式饮用水水源地，为鲁山县鲁阳镇地下水井群（共6眼井）本项目</w:t>
            </w:r>
            <w:r>
              <w:rPr>
                <w:rFonts w:hint="eastAsia" w:cs="宋体"/>
                <w:b/>
                <w:bCs/>
                <w:szCs w:val="24"/>
                <w:u w:val="single"/>
                <w:lang w:eastAsia="zh-CN"/>
              </w:rPr>
              <w:t>距离</w:t>
            </w:r>
            <w:r>
              <w:rPr>
                <w:rFonts w:hint="eastAsia" w:ascii="Times New Roman" w:hAnsi="Times New Roman" w:cs="宋体"/>
                <w:b/>
                <w:bCs/>
                <w:szCs w:val="24"/>
                <w:u w:val="single"/>
              </w:rPr>
              <w:t>鲁山县鲁阳镇地下水井群</w:t>
            </w:r>
            <w:r>
              <w:rPr>
                <w:rFonts w:hint="eastAsia" w:cs="宋体"/>
                <w:b/>
                <w:bCs/>
                <w:szCs w:val="24"/>
                <w:u w:val="single"/>
                <w:lang w:val="en-US" w:eastAsia="zh-CN"/>
              </w:rPr>
              <w:t>39km，不在保护区范围内。</w:t>
            </w:r>
          </w:p>
          <w:p>
            <w:pPr>
              <w:bidi w:val="0"/>
              <w:rPr>
                <w:rFonts w:hint="eastAsia"/>
                <w:lang w:val="en-US" w:eastAsia="zh-CN"/>
              </w:rPr>
            </w:pPr>
            <w:r>
              <w:rPr>
                <w:rFonts w:hint="eastAsia"/>
                <w:b/>
                <w:bCs/>
                <w:lang w:val="en-US" w:eastAsia="zh-CN"/>
              </w:rPr>
              <w:t>5、土壤</w:t>
            </w:r>
          </w:p>
          <w:p>
            <w:pPr>
              <w:bidi w:val="0"/>
              <w:rPr>
                <w:rFonts w:hint="eastAsia"/>
                <w:lang w:val="en-US" w:eastAsia="zh-CN"/>
              </w:rPr>
            </w:pPr>
            <w:r>
              <w:rPr>
                <w:rFonts w:hint="eastAsia"/>
                <w:lang w:val="en-US" w:eastAsia="zh-CN"/>
              </w:rPr>
              <w:t>按照全国第二次土壤普查分类标准，鲁山县土壤分9类，即黄棕壤、棕壤、褐土、潮土、沙姜黑土、紫色土、水稻土、粗骨土和石质土。主要分布情况为：海拔在800米以上的山区为棕壤，占8%；海拔在800米以下的山丘地带为褐土，占22%；平原区主要为黄棕壤、潮土、沙姜黑土，占70%。</w:t>
            </w:r>
          </w:p>
          <w:p>
            <w:pPr>
              <w:bidi w:val="0"/>
              <w:rPr>
                <w:rFonts w:hint="eastAsia"/>
                <w:lang w:val="en-US" w:eastAsia="zh-CN"/>
              </w:rPr>
            </w:pPr>
            <w:r>
              <w:rPr>
                <w:rFonts w:hint="eastAsia"/>
                <w:b/>
                <w:bCs/>
                <w:lang w:val="en-US" w:eastAsia="zh-CN"/>
              </w:rPr>
              <w:t>6、生物概况</w:t>
            </w:r>
          </w:p>
          <w:p>
            <w:pPr>
              <w:bidi w:val="0"/>
              <w:rPr>
                <w:rFonts w:hint="eastAsia"/>
                <w:lang w:val="en-US" w:eastAsia="zh-CN"/>
              </w:rPr>
            </w:pPr>
            <w:r>
              <w:rPr>
                <w:rFonts w:hint="eastAsia"/>
                <w:lang w:val="en-US" w:eastAsia="zh-CN"/>
              </w:rPr>
              <w:t>鲁山县是河南省二十五个以林为主的山区县之一，全县总面积365万亩，有林地面积195万亩，活立木蓄积150万立方米，森林覆盖率62.3%，林业产值2.5亿元。有国家级保护植物水杉、银杏、连香、华榛、杜仲、秦岭冷杉、垂直冷杉、青檀、领春木、金钱槭等13种；省级保护植物铁杉、青线柳、楸皮杨、大叶三七等19种；中药材和菌类种类繁多，有人参、天麻、石斛、辛夷、杜仲等近500种；有陆栖脊椎动物125种以上，国家级保护的珍贵动物有金钱豹、艾叶豹、大鲵、金雕、羚羊、红腹锦鸡、豪猪、大灵猫等17种；鲁山有古树名木千余株，有全国罕见的千年古银杏群，有彰显悠久人文历史的古柏，有昭示岁月沧桑的柿树王，有蕴含美丽传说的老栎树。</w:t>
            </w:r>
          </w:p>
          <w:p>
            <w:pPr>
              <w:bidi w:val="0"/>
              <w:rPr>
                <w:rFonts w:hint="default"/>
                <w:lang w:val="en-US" w:eastAsia="zh-CN"/>
              </w:rPr>
            </w:pPr>
            <w:r>
              <w:rPr>
                <w:rFonts w:hint="eastAsia"/>
                <w:lang w:val="en-US" w:eastAsia="zh-CN"/>
              </w:rPr>
              <w:t>根据现场勘查及建设方提供资料，项目厂址及厂界外500米范围内生物资源较小，生物量也不大，无列入《国家重点保护野生植物名录》和《国家重点保护野生动物名录》的动植物。</w:t>
            </w:r>
          </w:p>
          <w:p>
            <w:pPr>
              <w:snapToGrid w:val="0"/>
              <w:spacing w:line="360" w:lineRule="auto"/>
              <w:rPr>
                <w:rFonts w:ascii="Times New Roman" w:hAnsi="Times New Roman"/>
                <w:b/>
                <w:bCs/>
                <w:sz w:val="24"/>
                <w:szCs w:val="24"/>
              </w:rPr>
            </w:pPr>
            <w:r>
              <w:rPr>
                <w:rFonts w:hint="eastAsia"/>
                <w:b/>
                <w:bCs/>
                <w:sz w:val="24"/>
                <w:szCs w:val="24"/>
                <w:lang w:val="en-US" w:eastAsia="zh-CN"/>
              </w:rPr>
              <w:t>7</w:t>
            </w:r>
            <w:r>
              <w:rPr>
                <w:rFonts w:ascii="Times New Roman" w:hAnsi="Times New Roman"/>
                <w:b/>
                <w:bCs/>
                <w:sz w:val="24"/>
                <w:szCs w:val="24"/>
              </w:rPr>
              <w:t>、集中式饮用水源保护区划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（1）河南省城市集中式饮用水源保护区划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关于平顶山市城市饮用水源保护区划的相关内容：</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2009年3月，平顶山市政府对平顶山市饮用水源保护区范围重新进行了界定，并报请河南省政府批示。2009年4月13日，河南省环境保护厅签发了文号为豫环函【2009】57号的《关于进一步明确平顶山地表饮用水源保护区范围的函》，同意平顶山市提出的地表水饮用水源保护区范围。</w:t>
            </w:r>
          </w:p>
          <w:p>
            <w:pPr>
              <w:adjustRightInd w:val="0"/>
              <w:snapToGrid w:val="0"/>
              <w:spacing w:line="360" w:lineRule="auto"/>
              <w:ind w:firstLine="480" w:firstLineChars="200"/>
              <w:rPr>
                <w:rFonts w:ascii="Times New Roman" w:hAnsi="Times New Roman"/>
                <w:sz w:val="24"/>
                <w:szCs w:val="24"/>
              </w:rPr>
            </w:pPr>
            <w:r>
              <w:rPr>
                <w:rFonts w:hint="eastAsia"/>
                <w:sz w:val="24"/>
                <w:szCs w:val="24"/>
                <w:lang w:eastAsia="zh-CN"/>
              </w:rPr>
              <w:t>昭平台</w:t>
            </w:r>
            <w:r>
              <w:rPr>
                <w:rFonts w:ascii="Times New Roman" w:hAnsi="Times New Roman"/>
                <w:sz w:val="24"/>
                <w:szCs w:val="24"/>
              </w:rPr>
              <w:t>水库地表水饮用水源保护区划分情况如下：</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一级保护区：昭平台水库环库路内的区域；应河、大浪河、澎河、荡泽河、沙河、团城河、清水河等主要支流入库口上游2000米的水域及其沿岸50米的陆域；沙河干流昭平台至白龟山水库间的水域；将相河、三里河、七里河、瀼河、肥河入沙河口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二级保护区：白龟山水库，环湖路东起东刘村、西至西太平村以南除一级保护区外的区域，环湖其它区域为水库高程104.0米以下除一级保护区外的区域；昭平台水库高程177.1米内的区域；将相河、大浪河一级保护区外所有的水域；其它主要支流一级水体保护区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准保护区：汇入昭平台水库、沙河所有二级保护区上游水域及其沿岸500米的陆域。</w:t>
            </w:r>
          </w:p>
          <w:p>
            <w:pPr>
              <w:spacing w:line="360" w:lineRule="auto"/>
              <w:rPr>
                <w:rFonts w:hint="eastAsia" w:ascii="Times New Roman" w:hAnsi="Times New Roman" w:cs="宋体"/>
                <w:b/>
                <w:bCs/>
                <w:sz w:val="24"/>
                <w:szCs w:val="22"/>
                <w:highlight w:val="none"/>
              </w:rPr>
            </w:pPr>
            <w:r>
              <w:rPr>
                <w:rFonts w:hint="eastAsia" w:ascii="Times New Roman" w:hAnsi="Times New Roman" w:cs="宋体"/>
                <w:szCs w:val="24"/>
              </w:rPr>
              <w:t>本项目位于平顶山市</w:t>
            </w:r>
            <w:r>
              <w:rPr>
                <w:rFonts w:hint="eastAsia" w:cs="宋体"/>
                <w:szCs w:val="24"/>
                <w:lang w:eastAsia="zh-CN"/>
              </w:rPr>
              <w:t>鲁山县郑石高速石人山服务区南</w:t>
            </w:r>
            <w:r>
              <w:rPr>
                <w:rFonts w:hint="eastAsia" w:ascii="Times New Roman" w:hAnsi="Times New Roman" w:eastAsia="宋体" w:cs="宋体"/>
                <w:szCs w:val="24"/>
                <w:lang w:eastAsia="zh-CN"/>
              </w:rPr>
              <w:t>侧</w:t>
            </w:r>
            <w:r>
              <w:rPr>
                <w:rFonts w:hint="eastAsia" w:ascii="Times New Roman" w:hAnsi="Times New Roman" w:cs="宋体"/>
                <w:szCs w:val="24"/>
              </w:rPr>
              <w:t>，</w:t>
            </w:r>
            <w:r>
              <w:rPr>
                <w:rFonts w:hint="eastAsia" w:cs="宋体"/>
                <w:szCs w:val="24"/>
                <w:lang w:eastAsia="zh-CN"/>
              </w:rPr>
              <w:t>距离沙河</w:t>
            </w:r>
            <w:r>
              <w:rPr>
                <w:rFonts w:hint="eastAsia" w:cs="宋体"/>
                <w:szCs w:val="24"/>
                <w:lang w:val="en-US" w:eastAsia="zh-CN"/>
              </w:rPr>
              <w:t>150米，</w:t>
            </w:r>
            <w:r>
              <w:rPr>
                <w:rFonts w:hint="eastAsia" w:cs="宋体"/>
                <w:szCs w:val="24"/>
                <w:lang w:eastAsia="zh-CN"/>
              </w:rPr>
              <w:t>位于昭平台水库准保护区，由于本项目无废水外排</w:t>
            </w:r>
            <w:r>
              <w:rPr>
                <w:rFonts w:hint="eastAsia" w:ascii="Times New Roman" w:hAnsi="Times New Roman" w:cs="宋体"/>
                <w:szCs w:val="24"/>
              </w:rPr>
              <w:t>，</w:t>
            </w:r>
            <w:r>
              <w:rPr>
                <w:rFonts w:hint="eastAsia" w:cs="宋体"/>
                <w:szCs w:val="24"/>
                <w:lang w:eastAsia="zh-CN"/>
              </w:rPr>
              <w:t>因此</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sz w:val="24"/>
                <w:szCs w:val="24"/>
              </w:rPr>
            </w:pPr>
            <w:r>
              <w:rPr>
                <w:rFonts w:hint="eastAsia" w:cs="宋体"/>
                <w:b/>
                <w:bCs/>
                <w:sz w:val="24"/>
                <w:szCs w:val="24"/>
                <w:lang w:val="en-US" w:eastAsia="zh-CN"/>
              </w:rPr>
              <w:t>8</w:t>
            </w:r>
            <w:r>
              <w:rPr>
                <w:rFonts w:hint="eastAsia" w:ascii="Times New Roman" w:hAnsi="Times New Roman" w:cs="宋体"/>
                <w:b/>
                <w:bCs/>
                <w:sz w:val="24"/>
                <w:szCs w:val="24"/>
                <w:lang w:val="en-US" w:eastAsia="zh-CN"/>
              </w:rPr>
              <w:t>、</w:t>
            </w:r>
            <w:r>
              <w:rPr>
                <w:rFonts w:hint="eastAsia" w:ascii="Times New Roman" w:hAnsi="Times New Roman" w:cs="宋体"/>
                <w:b/>
                <w:bCs/>
                <w:sz w:val="24"/>
                <w:szCs w:val="24"/>
              </w:rPr>
              <w:t>项目与《河南省县级集中式饮用水水源保护区划》相符性分析</w:t>
            </w:r>
          </w:p>
          <w:p>
            <w:pPr>
              <w:pStyle w:val="39"/>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rPr>
            </w:pPr>
            <w:r>
              <w:rPr>
                <w:rFonts w:hint="eastAsia" w:ascii="Times New Roman" w:hAnsi="Times New Roman" w:cs="宋体"/>
                <w:szCs w:val="24"/>
              </w:rPr>
              <w:t>根据《河南省县级集中式饮用水水源保护区划》（豫政办[2013]107号），鲁山县有一处县级集中式饮用水水源地，为鲁山县鲁阳镇地下水井群（共6眼井）。其一级保护区范围为：1号、2号、5号、7号取水井外围50m的区域；3号、8号井群外包线内及外围50m的区域。其二级保护区范围为：一级保护区外，取水井外围550m外公切线所包含的区域。准保护区范围：二级保护区外，东至墨公路、南至鲁平大道、北至311国道、西至鲁平大道—311国道连线。</w:t>
            </w:r>
          </w:p>
          <w:p>
            <w:pPr>
              <w:pStyle w:val="39"/>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shd w:val="clear" w:color="auto" w:fill="FFFFFF"/>
              </w:rPr>
            </w:pPr>
            <w:r>
              <w:rPr>
                <w:rFonts w:hint="eastAsia" w:ascii="Times New Roman" w:hAnsi="Times New Roman" w:cs="宋体"/>
                <w:szCs w:val="24"/>
              </w:rPr>
              <w:t>本项目位于平顶山市鲁山县</w:t>
            </w:r>
            <w:r>
              <w:rPr>
                <w:rFonts w:hint="eastAsia" w:cs="宋体"/>
                <w:szCs w:val="24"/>
                <w:lang w:eastAsia="zh-CN"/>
              </w:rPr>
              <w:t>郑石高速石人山服务区南</w:t>
            </w:r>
            <w:r>
              <w:rPr>
                <w:rFonts w:hint="eastAsia" w:ascii="Times New Roman" w:hAnsi="Times New Roman" w:eastAsia="宋体" w:cs="宋体"/>
                <w:szCs w:val="24"/>
                <w:lang w:eastAsia="zh-CN"/>
              </w:rPr>
              <w:t>侧</w:t>
            </w:r>
            <w:r>
              <w:rPr>
                <w:rFonts w:hint="eastAsia" w:ascii="Times New Roman" w:hAnsi="Times New Roman" w:cs="宋体"/>
                <w:szCs w:val="24"/>
              </w:rPr>
              <w:t>，</w:t>
            </w:r>
            <w:r>
              <w:rPr>
                <w:rFonts w:hint="eastAsia" w:cs="宋体"/>
                <w:szCs w:val="24"/>
                <w:lang w:eastAsia="zh-CN"/>
              </w:rPr>
              <w:t>距离</w:t>
            </w:r>
            <w:r>
              <w:rPr>
                <w:rFonts w:hint="eastAsia" w:ascii="Times New Roman" w:hAnsi="Times New Roman" w:cs="宋体"/>
                <w:szCs w:val="24"/>
              </w:rPr>
              <w:t>鲁山县鲁阳镇地下水井群</w:t>
            </w:r>
            <w:r>
              <w:rPr>
                <w:rFonts w:hint="eastAsia" w:cs="宋体"/>
                <w:szCs w:val="24"/>
                <w:lang w:val="en-US" w:eastAsia="zh-CN"/>
              </w:rPr>
              <w:t>39km，不在保护区范围内，</w:t>
            </w:r>
            <w:r>
              <w:rPr>
                <w:rFonts w:hint="eastAsia" w:cs="宋体"/>
                <w:szCs w:val="24"/>
                <w:lang w:eastAsia="zh-CN"/>
              </w:rPr>
              <w:t>项目无废水外排</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b/>
                <w:bCs/>
                <w:sz w:val="24"/>
                <w:szCs w:val="24"/>
              </w:rPr>
            </w:pPr>
            <w:r>
              <w:rPr>
                <w:rFonts w:hint="eastAsia" w:cs="宋体"/>
                <w:b/>
                <w:bCs/>
                <w:sz w:val="24"/>
                <w:szCs w:val="24"/>
                <w:lang w:val="en-US" w:eastAsia="zh-CN"/>
              </w:rPr>
              <w:t>9</w:t>
            </w:r>
            <w:r>
              <w:rPr>
                <w:rFonts w:hint="eastAsia" w:ascii="Times New Roman" w:hAnsi="Times New Roman" w:cs="宋体"/>
                <w:b/>
                <w:bCs/>
                <w:sz w:val="24"/>
                <w:szCs w:val="24"/>
              </w:rPr>
              <w:t>、项目与南水北调工程水源保护区的相符性分析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根据河南省南水北调中线工程建设领导小组办公室、河南省环境保护厅、河南省水利厅、河南省国土资源厅《关于印发南水北调中线一期工程总干渠（河南段）两侧饮用水水源保护区划的通知》（豫调办[2018]56 号），文件规定南水北调中线一期工程总干渠在河南省境内的工程类型分为建筑物段和总干渠明渠段。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（一）建筑物段（渡槽、倒虹吸、暗涵、隧洞）。一级保护区范围自总干渠管理范围边线 （防护栏网）外延50米，不设二级保护区。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（二）总干渠明渠段。根据地下水位与总干渠渠底高程的关系，分为以下几种类型：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1、地下水水位低于总干渠渠底的渠段。一级保护区范围自总干渠管理范围边线（防护栏网）外延 50 米；二级保护区范围自一级保护区边线外延 150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2、地下水水位高于总干渠渠底的渠段。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（1）微～弱透水性地层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一级保护区范围自总干渠管理范围边线（防护栏网）外延50 米；二级保护区范围自一级 保护区边线外延 500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弱～中透水性地层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 100 米；二级保护区范围自一 级保护区边线外延 1000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强透水性地层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一级保护区范围自总干渠管理范围边线（防护栏网）外延 200 米；二级保护区范围自一 级保护区边线外延 2000 米、1500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根据《南水北调中线一期工程总干渠（河南段）两侧饮用水水源保护区划》的规定：</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（1）在饮用水水源保护区内，禁止设置排污口；禁止使用剧毒和高残留农药，不得滥用化肥；禁止利用渗坑、渗井、裂隙等排放污水和其他有害废弃物；禁止利用储水层空隙、裂 隙及废弃矿坑储存石油、放射性物质、有毒化学品、农药等；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（2）在一级保护区内，禁止新建、改建、扩建与供水设施和保护水源无关的建设项目；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（3）在二级保护区内，禁止新建、改建、扩建排放污染物的建设项目。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根据现场踏勘，该加油站距南水北调干渠围栏距离约为</w:t>
            </w:r>
            <w:r>
              <w:rPr>
                <w:rFonts w:hint="eastAsia" w:cs="宋体"/>
                <w:sz w:val="24"/>
                <w:szCs w:val="24"/>
                <w:lang w:val="en-US" w:eastAsia="zh-CN"/>
              </w:rPr>
              <w:t>46</w:t>
            </w:r>
            <w:r>
              <w:rPr>
                <w:rFonts w:hint="eastAsia" w:ascii="Times New Roman" w:hAnsi="Times New Roman" w:cs="宋体"/>
                <w:sz w:val="24"/>
                <w:szCs w:val="24"/>
              </w:rPr>
              <w:t>km。因此，本项目不在南水北调工程水源保护区之内，符合《南水北调中线一期工程总干渠（河南段）两侧水源保护区划分方案》的要求。</w:t>
            </w: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ascii="Times New Roman" w:hAnsi="Times New Roman"/>
                <w:b/>
                <w:bCs/>
                <w:sz w:val="24"/>
                <w:szCs w:val="24"/>
              </w:rPr>
            </w:pPr>
            <w:r>
              <w:rPr>
                <w:rFonts w:hint="eastAsia"/>
                <w:b/>
                <w:bCs/>
                <w:sz w:val="24"/>
                <w:szCs w:val="24"/>
                <w:lang w:val="en-US" w:eastAsia="zh-CN"/>
              </w:rPr>
              <w:t>10</w:t>
            </w:r>
            <w:r>
              <w:rPr>
                <w:rFonts w:ascii="Times New Roman" w:hAnsi="Times New Roman"/>
                <w:b/>
                <w:bCs/>
                <w:sz w:val="24"/>
                <w:szCs w:val="24"/>
              </w:rPr>
              <w:t>、《“十三五”挥发性有机污染防治工作方案》（环大气【2017】121号）</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全面加强油品储运销油气回收治理。全面加强汽油储运销油气排放控制，重点地区逐步推进港口储存和装卸、油品装船油气回收治理任务。加强汽油储运销油气排放控制。减少油品周转次数。严格按照排放标准要求，加快完成</w:t>
            </w:r>
            <w:bookmarkStart w:id="6" w:name="baidusnap9"/>
            <w:bookmarkEnd w:id="6"/>
            <w:r>
              <w:rPr>
                <w:rFonts w:ascii="Times New Roman" w:hAnsi="Times New Roman"/>
                <w:bCs/>
                <w:sz w:val="24"/>
                <w:szCs w:val="24"/>
              </w:rPr>
              <w:t>加油站、储油库、油罐车油气回收治理工作，重点地区全面推进行政区域内所有加油站油气回收治理。建设油气回收自动监测系统平台，储油库和年销售汽油量大于5000吨的及其他具备条件的加油站加快安装油气回收自动监测设备。制定加油站、储油库油气回收自动监测系统技术规范，企业要加强对油气回收系统外观检测和仪器检测，确保油气回收系统正常运转。推进港口储存装卸、船舶运输油气回收治理。修订储油库大气污染物排放标准，增加港口储存装卸过程油气回收要求；修订汽油运输大气污染物排放标准，修订船舶法定检验规则，提出船舶油气回收要求。</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本项目加油站配备有一级油气回收装置和二级油气回收装置，符合《“十三五”挥发性有机污染防治工作方案》相关要求。</w:t>
            </w:r>
          </w:p>
          <w:p>
            <w:pPr>
              <w:snapToGrid w:val="0"/>
              <w:spacing w:line="360" w:lineRule="auto"/>
              <w:rPr>
                <w:rFonts w:ascii="Times New Roman" w:hAnsi="Times New Roman"/>
                <w:b/>
                <w:bCs/>
                <w:sz w:val="24"/>
                <w:szCs w:val="24"/>
              </w:rPr>
            </w:pPr>
            <w:r>
              <w:rPr>
                <w:rFonts w:hint="eastAsia"/>
                <w:b/>
                <w:bCs/>
                <w:sz w:val="24"/>
                <w:szCs w:val="24"/>
                <w:lang w:val="en-US" w:eastAsia="zh-CN"/>
              </w:rPr>
              <w:t>11</w:t>
            </w:r>
            <w:r>
              <w:rPr>
                <w:rFonts w:ascii="Times New Roman" w:hAnsi="Times New Roman"/>
                <w:b/>
                <w:bCs/>
                <w:sz w:val="24"/>
                <w:szCs w:val="24"/>
              </w:rPr>
              <w:t>、《河南省2019年挥发性有机物治理工作方案》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为贯彻落实《河南省人民政府关于印发河南省污染防治攻坚战三年行动计划（</w:t>
            </w:r>
            <w:r>
              <w:rPr>
                <w:rFonts w:ascii="Times New Roman" w:hAnsi="Times New Roman"/>
                <w:bCs/>
                <w:sz w:val="24"/>
                <w:szCs w:val="24"/>
              </w:rPr>
              <w:t>2018-2020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号）和《河南省污染防治攻坚战领导小组办公室关于印发河南省</w:t>
            </w:r>
            <w:r>
              <w:rPr>
                <w:rFonts w:ascii="Times New Roman" w:hAnsi="Times New Roman"/>
                <w:bCs/>
                <w:sz w:val="24"/>
                <w:szCs w:val="24"/>
              </w:rPr>
              <w:t>2019</w:t>
            </w:r>
            <w:r>
              <w:rPr>
                <w:rFonts w:hint="eastAsia" w:ascii="Times New Roman" w:hAnsi="Times New Roman"/>
                <w:bCs/>
                <w:sz w:val="24"/>
                <w:szCs w:val="24"/>
              </w:rPr>
              <w:t>年大气污染防治攻坚战实施方案的通知》（豫环攻坚办〔</w:t>
            </w:r>
            <w:r>
              <w:rPr>
                <w:rFonts w:ascii="Times New Roman" w:hAnsi="Times New Roman"/>
                <w:bCs/>
                <w:sz w:val="24"/>
                <w:szCs w:val="24"/>
              </w:rPr>
              <w:t>2019</w:t>
            </w:r>
            <w:r>
              <w:rPr>
                <w:rFonts w:hint="eastAsia" w:ascii="Times New Roman" w:hAnsi="Times New Roman"/>
                <w:bCs/>
                <w:sz w:val="24"/>
                <w:szCs w:val="24"/>
              </w:rPr>
              <w:t>〕</w:t>
            </w:r>
            <w:r>
              <w:rPr>
                <w:rFonts w:ascii="Times New Roman" w:hAnsi="Times New Roman"/>
                <w:bCs/>
                <w:sz w:val="24"/>
                <w:szCs w:val="24"/>
              </w:rPr>
              <w:t>25</w:t>
            </w:r>
            <w:r>
              <w:rPr>
                <w:rFonts w:hint="eastAsia" w:ascii="Times New Roman" w:hAnsi="Times New Roman"/>
                <w:bCs/>
                <w:sz w:val="24"/>
                <w:szCs w:val="24"/>
              </w:rPr>
              <w:t>号），深入开展挥发性有机物（</w:t>
            </w:r>
            <w:r>
              <w:rPr>
                <w:rFonts w:ascii="Times New Roman" w:hAnsi="Times New Roman"/>
                <w:bCs/>
                <w:sz w:val="24"/>
                <w:szCs w:val="24"/>
              </w:rPr>
              <w:t>VOCs</w:t>
            </w:r>
            <w:r>
              <w:rPr>
                <w:rFonts w:hint="eastAsia" w:ascii="Times New Roman" w:hAnsi="Times New Roman"/>
                <w:bCs/>
                <w:sz w:val="24"/>
                <w:szCs w:val="24"/>
              </w:rPr>
              <w:t>）污染专项治理，持续改善全省环境空气质量，依据国家《</w:t>
            </w:r>
            <w:r>
              <w:rPr>
                <w:rFonts w:ascii="Times New Roman" w:hAnsi="Times New Roman"/>
                <w:bCs/>
                <w:sz w:val="24"/>
                <w:szCs w:val="24"/>
              </w:rPr>
              <w:t>“</w:t>
            </w:r>
            <w:r>
              <w:rPr>
                <w:rFonts w:hint="eastAsia" w:ascii="Times New Roman" w:hAnsi="Times New Roman"/>
                <w:bCs/>
                <w:sz w:val="24"/>
                <w:szCs w:val="24"/>
              </w:rPr>
              <w:t>十三五</w:t>
            </w:r>
            <w:r>
              <w:rPr>
                <w:rFonts w:ascii="Times New Roman" w:hAnsi="Times New Roman"/>
                <w:bCs/>
                <w:sz w:val="24"/>
                <w:szCs w:val="24"/>
              </w:rPr>
              <w:t>”</w:t>
            </w:r>
            <w:r>
              <w:rPr>
                <w:rFonts w:hint="eastAsia" w:ascii="Times New Roman" w:hAnsi="Times New Roman"/>
                <w:bCs/>
                <w:sz w:val="24"/>
                <w:szCs w:val="24"/>
              </w:rPr>
              <w:t>挥发性有机物污染防治工作方案》和</w:t>
            </w:r>
            <w:r>
              <w:rPr>
                <w:rFonts w:ascii="Times New Roman" w:hAnsi="Times New Roman"/>
                <w:bCs/>
                <w:sz w:val="24"/>
                <w:szCs w:val="24"/>
              </w:rPr>
              <w:t>VOCs</w:t>
            </w:r>
            <w:r>
              <w:rPr>
                <w:rFonts w:hint="eastAsia" w:ascii="Times New Roman" w:hAnsi="Times New Roman"/>
                <w:bCs/>
                <w:sz w:val="24"/>
                <w:szCs w:val="24"/>
              </w:rPr>
              <w:t>排放控制有关要求，制定本方案。</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一、总体要求及工作目标</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（一）总体要求。以改善环境空气质量为核心，坚持源头控制、过程管理、末端治理和强化减排相结合的全方位综合治理原则，大力推进原辅材料源头替代，深入开展涉</w:t>
            </w:r>
            <w:r>
              <w:rPr>
                <w:rFonts w:ascii="Times New Roman" w:hAnsi="Times New Roman"/>
                <w:bCs/>
                <w:sz w:val="24"/>
                <w:szCs w:val="24"/>
              </w:rPr>
              <w:t>VOCs</w:t>
            </w:r>
            <w:r>
              <w:rPr>
                <w:rFonts w:hint="eastAsia" w:ascii="Times New Roman" w:hAnsi="Times New Roman"/>
                <w:bCs/>
                <w:sz w:val="24"/>
                <w:szCs w:val="24"/>
              </w:rPr>
              <w:t>重点行业提标改造工作，持续进行</w:t>
            </w:r>
            <w:r>
              <w:rPr>
                <w:rFonts w:ascii="Times New Roman" w:hAnsi="Times New Roman"/>
                <w:bCs/>
                <w:sz w:val="24"/>
                <w:szCs w:val="24"/>
              </w:rPr>
              <w:t>VOCs</w:t>
            </w:r>
            <w:r>
              <w:rPr>
                <w:rFonts w:hint="eastAsia" w:ascii="Times New Roman" w:hAnsi="Times New Roman"/>
                <w:bCs/>
                <w:sz w:val="24"/>
                <w:szCs w:val="24"/>
              </w:rPr>
              <w:t>整治专项执法检查，逐步推广</w:t>
            </w:r>
            <w:r>
              <w:rPr>
                <w:rFonts w:ascii="Times New Roman" w:hAnsi="Times New Roman"/>
                <w:bCs/>
                <w:sz w:val="24"/>
                <w:szCs w:val="24"/>
              </w:rPr>
              <w:t>VOCs</w:t>
            </w:r>
            <w:r>
              <w:rPr>
                <w:rFonts w:hint="eastAsia" w:ascii="Times New Roman" w:hAnsi="Times New Roman"/>
                <w:bCs/>
                <w:sz w:val="24"/>
                <w:szCs w:val="24"/>
              </w:rPr>
              <w:t>在线监测设施建设，全面建成</w:t>
            </w:r>
            <w:r>
              <w:rPr>
                <w:rFonts w:ascii="Times New Roman" w:hAnsi="Times New Roman"/>
                <w:bCs/>
                <w:sz w:val="24"/>
                <w:szCs w:val="24"/>
              </w:rPr>
              <w:t>VOCs</w:t>
            </w:r>
            <w:r>
              <w:rPr>
                <w:rFonts w:hint="eastAsia" w:ascii="Times New Roman" w:hAnsi="Times New Roman"/>
                <w:bCs/>
                <w:sz w:val="24"/>
                <w:szCs w:val="24"/>
              </w:rPr>
              <w:t>综合防控体系，大幅减少</w:t>
            </w:r>
            <w:r>
              <w:rPr>
                <w:rFonts w:ascii="Times New Roman" w:hAnsi="Times New Roman"/>
                <w:bCs/>
                <w:sz w:val="24"/>
                <w:szCs w:val="24"/>
              </w:rPr>
              <w:t>VOCs</w:t>
            </w:r>
            <w:r>
              <w:rPr>
                <w:rFonts w:hint="eastAsia" w:ascii="Times New Roman" w:hAnsi="Times New Roman"/>
                <w:bCs/>
                <w:sz w:val="24"/>
                <w:szCs w:val="24"/>
              </w:rPr>
              <w:t>排放总量。</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（二）工作目标。</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6</w:t>
            </w:r>
            <w:r>
              <w:rPr>
                <w:rFonts w:hint="eastAsia" w:ascii="Times New Roman" w:hAnsi="Times New Roman"/>
                <w:bCs/>
                <w:sz w:val="24"/>
                <w:szCs w:val="24"/>
              </w:rPr>
              <w:t>月底前，全省石油化学、石油炼制、工业涂装、包装印刷、化工、制药等工业企业，全面完成</w:t>
            </w:r>
            <w:r>
              <w:rPr>
                <w:rFonts w:ascii="Times New Roman" w:hAnsi="Times New Roman"/>
                <w:bCs/>
                <w:sz w:val="24"/>
                <w:szCs w:val="24"/>
              </w:rPr>
              <w:t>VOCs</w:t>
            </w:r>
            <w:r>
              <w:rPr>
                <w:rFonts w:hint="eastAsia" w:ascii="Times New Roman" w:hAnsi="Times New Roman"/>
                <w:bCs/>
                <w:sz w:val="24"/>
                <w:szCs w:val="24"/>
              </w:rPr>
              <w:t>污染治理；</w:t>
            </w:r>
            <w:r>
              <w:rPr>
                <w:rFonts w:ascii="Times New Roman" w:hAnsi="Times New Roman"/>
                <w:bCs/>
                <w:sz w:val="24"/>
                <w:szCs w:val="24"/>
              </w:rPr>
              <w:t>8</w:t>
            </w:r>
            <w:r>
              <w:rPr>
                <w:rFonts w:hint="eastAsia" w:ascii="Times New Roman" w:hAnsi="Times New Roman"/>
                <w:bCs/>
                <w:sz w:val="24"/>
                <w:szCs w:val="24"/>
              </w:rPr>
              <w:t>月底前，全省石油化学、石油炼制企业完成</w:t>
            </w:r>
            <w:r>
              <w:rPr>
                <w:rFonts w:ascii="Times New Roman" w:hAnsi="Times New Roman"/>
                <w:bCs/>
                <w:sz w:val="24"/>
                <w:szCs w:val="24"/>
              </w:rPr>
              <w:t>VOCs</w:t>
            </w:r>
            <w:r>
              <w:rPr>
                <w:rFonts w:hint="eastAsia" w:ascii="Times New Roman" w:hAnsi="Times New Roman"/>
                <w:bCs/>
                <w:sz w:val="24"/>
                <w:szCs w:val="24"/>
              </w:rPr>
              <w:t>深度治理和泄漏检测与修复（</w:t>
            </w:r>
            <w:r>
              <w:rPr>
                <w:rFonts w:ascii="Times New Roman" w:hAnsi="Times New Roman"/>
                <w:bCs/>
                <w:sz w:val="24"/>
                <w:szCs w:val="24"/>
              </w:rPr>
              <w:t>LDAR</w:t>
            </w:r>
            <w:r>
              <w:rPr>
                <w:rFonts w:hint="eastAsia" w:ascii="Times New Roman" w:hAnsi="Times New Roman"/>
                <w:bCs/>
                <w:sz w:val="24"/>
                <w:szCs w:val="24"/>
              </w:rPr>
              <w:t>）治理；</w:t>
            </w:r>
            <w:r>
              <w:rPr>
                <w:rFonts w:ascii="Times New Roman" w:hAnsi="Times New Roman"/>
                <w:bCs/>
                <w:sz w:val="24"/>
                <w:szCs w:val="24"/>
              </w:rPr>
              <w:t>12</w:t>
            </w:r>
            <w:r>
              <w:rPr>
                <w:rFonts w:hint="eastAsia" w:ascii="Times New Roman" w:hAnsi="Times New Roman"/>
                <w:bCs/>
                <w:sz w:val="24"/>
                <w:szCs w:val="24"/>
              </w:rPr>
              <w:t>月底前，省辖市建成区全面淘汰开启式干洗机。</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）》特别排放限值要求，其他行业</w:t>
            </w:r>
            <w:r>
              <w:rPr>
                <w:rFonts w:ascii="Times New Roman" w:hAnsi="Times New Roman"/>
                <w:bCs/>
                <w:sz w:val="24"/>
                <w:szCs w:val="24"/>
              </w:rPr>
              <w:t>VOCs</w:t>
            </w:r>
            <w:r>
              <w:rPr>
                <w:rFonts w:hint="eastAsia" w:ascii="Times New Roman" w:hAnsi="Times New Roman"/>
                <w:bCs/>
                <w:sz w:val="24"/>
                <w:szCs w:val="24"/>
              </w:rPr>
              <w:t>排放全面达到《河南省污染防治攻坚战领导小组办公室关于全省开展工业企业挥发性有机物专项治理工作中排放建议值的通知》（豫环攻坚办〔</w:t>
            </w:r>
            <w:r>
              <w:rPr>
                <w:rFonts w:ascii="Times New Roman" w:hAnsi="Times New Roman"/>
                <w:bCs/>
                <w:sz w:val="24"/>
                <w:szCs w:val="24"/>
              </w:rPr>
              <w:t>2017</w:t>
            </w:r>
            <w:r>
              <w:rPr>
                <w:rFonts w:hint="eastAsia" w:ascii="Times New Roman" w:hAnsi="Times New Roman"/>
                <w:bCs/>
                <w:sz w:val="24"/>
                <w:szCs w:val="24"/>
              </w:rPr>
              <w:t>〕</w:t>
            </w:r>
            <w:r>
              <w:rPr>
                <w:rFonts w:ascii="Times New Roman" w:hAnsi="Times New Roman"/>
                <w:bCs/>
                <w:sz w:val="24"/>
                <w:szCs w:val="24"/>
              </w:rPr>
              <w:t>162</w:t>
            </w:r>
            <w:r>
              <w:rPr>
                <w:rFonts w:hint="eastAsia" w:ascii="Times New Roman" w:hAnsi="Times New Roman"/>
                <w:bCs/>
                <w:sz w:val="24"/>
                <w:szCs w:val="24"/>
              </w:rPr>
              <w:t>号）要求。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二、重点任务</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（一）推进石油炼制、石油化学行业全面达标排放治理。</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8</w:t>
            </w:r>
            <w:r>
              <w:rPr>
                <w:rFonts w:hint="eastAsia" w:ascii="Times New Roman" w:hAnsi="Times New Roman"/>
                <w:bCs/>
                <w:sz w:val="24"/>
                <w:szCs w:val="24"/>
              </w:rPr>
              <w:t>月底前，全省石油炼制、石油化学企业全面完成</w:t>
            </w:r>
            <w:r>
              <w:rPr>
                <w:rFonts w:ascii="Times New Roman" w:hAnsi="Times New Roman"/>
                <w:bCs/>
                <w:sz w:val="24"/>
                <w:szCs w:val="24"/>
              </w:rPr>
              <w:t>VOCs</w:t>
            </w:r>
            <w:r>
              <w:rPr>
                <w:rFonts w:hint="eastAsia" w:ascii="Times New Roman" w:hAnsi="Times New Roman"/>
                <w:bCs/>
                <w:sz w:val="24"/>
                <w:szCs w:val="24"/>
              </w:rPr>
              <w:t>深度治理和</w:t>
            </w:r>
            <w:r>
              <w:rPr>
                <w:rFonts w:ascii="Times New Roman" w:hAnsi="Times New Roman"/>
                <w:bCs/>
                <w:sz w:val="24"/>
                <w:szCs w:val="24"/>
              </w:rPr>
              <w:t>LDAR</w:t>
            </w:r>
            <w:r>
              <w:rPr>
                <w:rFonts w:hint="eastAsia" w:ascii="Times New Roman" w:hAnsi="Times New Roman"/>
                <w:bCs/>
                <w:sz w:val="24"/>
                <w:szCs w:val="24"/>
              </w:rPr>
              <w:t>（泄漏检测与修复）治理。有机液体储罐应采用压力罐、低温罐、高效密封的浮顶罐或安装顶空联通置换油气回收装置的拱顶罐。有机液体装卸采取全密闭、液下装载等方式，并使用具备油气回收接口的运输车辆。强化废水处理系统等逸散废气收集治理，废水集输、储存、处理处置过程中高浓度</w:t>
            </w:r>
            <w:r>
              <w:rPr>
                <w:rFonts w:ascii="Times New Roman" w:hAnsi="Times New Roman"/>
                <w:bCs/>
                <w:sz w:val="24"/>
                <w:szCs w:val="24"/>
              </w:rPr>
              <w:t>VOCs</w:t>
            </w:r>
            <w:r>
              <w:rPr>
                <w:rFonts w:hint="eastAsia" w:ascii="Times New Roman" w:hAnsi="Times New Roman"/>
                <w:bCs/>
                <w:sz w:val="24"/>
                <w:szCs w:val="24"/>
              </w:rPr>
              <w:t>逸散环节应采用密闭收集措施，并回收利用，难以回收的应安装高效治理设施。加强有组织工艺废气治理，工艺弛放气、酸性水罐工艺尾气、氧化尾气、重整催化剂再生尾气等工艺废气优先回收利用，难以利用的，应送火炬系统处理，或采用催化焚烧、热力焚烧等销毁措施。非正常工况排放的有机废气送火炬系统处理。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本项目加油站配备有一级油气回收装置和二级油气回收装置，符合《河南省2019年挥发性有机物治理工作方案》相关要求。</w:t>
            </w:r>
          </w:p>
          <w:p>
            <w:pPr>
              <w:adjustRightInd w:val="0"/>
              <w:snapToGrid w:val="0"/>
              <w:spacing w:line="360" w:lineRule="auto"/>
              <w:rPr>
                <w:rFonts w:ascii="Times New Roman" w:hAnsi="Times New Roman"/>
                <w:sz w:val="24"/>
                <w:szCs w:val="24"/>
              </w:rPr>
            </w:pPr>
            <w:r>
              <w:rPr>
                <w:rFonts w:ascii="Times New Roman" w:hAnsi="Times New Roman"/>
                <w:b/>
                <w:bCs/>
                <w:sz w:val="24"/>
                <w:szCs w:val="24"/>
              </w:rPr>
              <w:t>1</w:t>
            </w:r>
            <w:r>
              <w:rPr>
                <w:rFonts w:hint="eastAsia"/>
                <w:b/>
                <w:bCs/>
                <w:sz w:val="24"/>
                <w:szCs w:val="24"/>
                <w:lang w:val="en-US" w:eastAsia="zh-CN"/>
              </w:rPr>
              <w:t>2</w:t>
            </w:r>
            <w:r>
              <w:rPr>
                <w:rFonts w:ascii="Times New Roman" w:hAnsi="Times New Roman"/>
                <w:b/>
                <w:bCs/>
                <w:sz w:val="24"/>
                <w:szCs w:val="24"/>
              </w:rPr>
              <w:t>、《</w:t>
            </w:r>
            <w:r>
              <w:rPr>
                <w:rFonts w:hint="eastAsia" w:ascii="Times New Roman" w:hAnsi="Times New Roman"/>
                <w:b/>
                <w:bCs/>
                <w:sz w:val="24"/>
                <w:szCs w:val="24"/>
              </w:rPr>
              <w:t>重点行业挥发性有机物综合治理方案</w:t>
            </w:r>
            <w:r>
              <w:rPr>
                <w:rFonts w:ascii="Times New Roman" w:hAnsi="Times New Roman"/>
                <w:b/>
                <w:bCs/>
                <w:sz w:val="24"/>
                <w:szCs w:val="24"/>
              </w:rPr>
              <w:t>》</w:t>
            </w:r>
            <w:r>
              <w:rPr>
                <w:rFonts w:hint="eastAsia" w:ascii="Times New Roman" w:hAnsi="Times New Roman"/>
                <w:b/>
                <w:bCs/>
                <w:sz w:val="24"/>
                <w:szCs w:val="24"/>
              </w:rPr>
              <w:t>环大气[2019]53号</w:t>
            </w:r>
          </w:p>
          <w:p>
            <w:pPr>
              <w:pStyle w:val="31"/>
              <w:spacing w:line="360" w:lineRule="auto"/>
              <w:ind w:firstLine="480" w:firstLineChars="200"/>
              <w:rPr>
                <w:rFonts w:ascii="Times New Roman" w:hAnsi="Times New Roman"/>
                <w:color w:val="auto"/>
              </w:rPr>
            </w:pPr>
            <w:r>
              <w:rPr>
                <w:rFonts w:ascii="Times New Roman" w:hAnsi="Times New Roman"/>
                <w:color w:val="auto"/>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四、重点行业治理任务</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（五）油品储运销VOCs综合治理。加大汽油（含乙醇汽油）、石脑油、煤油（含航空煤油）以及原油等VOCs排放控制，重点推进加油站、油罐车、储油库油气回收治理。重点区域还应推进油船油气回收治理工作。</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深化加油站油气回收工作。O</w:t>
            </w:r>
            <w:r>
              <w:rPr>
                <w:rFonts w:hint="eastAsia" w:ascii="Times New Roman" w:hAnsi="Times New Roman"/>
                <w:sz w:val="24"/>
                <w:szCs w:val="24"/>
                <w:vertAlign w:val="subscript"/>
              </w:rPr>
              <w:t>3</w:t>
            </w:r>
            <w:r>
              <w:rPr>
                <w:rFonts w:hint="eastAsia" w:ascii="Times New Roman" w:hAnsi="Times New Roman"/>
                <w:sz w:val="24"/>
                <w:szCs w:val="24"/>
              </w:rPr>
              <w:t>污染较重的地区，行政区域内大力推进加油站储油、加油油气回收治理工作，重点区域2019年年底前基本完成。埋地油罐全面采用电子液位仪进行汽油密闭测量。规范油气回收设施运行，自行或聘请第三方加强加油枪气液比、系统密闭性及管线液阻等检查，提高检测频次，重点区域原则上每半年开展一次，确保油气回收系统正常运行。重点区域加快推进年销售汽油量大于5000吨的加油站安装油气回收自动监控设备，并与生态环境部门联网，2020年年底前基本完成。</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推进储油库油气回收治理。汽油、航空煤油、原油以及真实蒸气压小于76.6 kPa的石脑油应采用浮顶罐储存，其中，油品容积小于等于100立方米的，可采用卧式储罐。真实蒸气压大于等于76.6kPa的石脑油应采用低压罐、压力罐或其他等效措施储存。加快推进油品收发过程排放的油气收集处理。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《重点行业挥发性有机物综合治理方案》（环大气[2019]53号）</w:t>
            </w:r>
            <w:r>
              <w:rPr>
                <w:rFonts w:ascii="Times New Roman" w:hAnsi="Times New Roman"/>
                <w:bCs/>
                <w:sz w:val="24"/>
                <w:szCs w:val="24"/>
              </w:rPr>
              <w:t>相关要求</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3</w:t>
            </w:r>
            <w:r>
              <w:rPr>
                <w:rFonts w:ascii="Times New Roman" w:hAnsi="Times New Roman"/>
                <w:b/>
                <w:bCs/>
                <w:sz w:val="24"/>
                <w:szCs w:val="24"/>
              </w:rPr>
              <w:t>、</w:t>
            </w:r>
            <w:r>
              <w:rPr>
                <w:rFonts w:hint="eastAsia" w:ascii="Times New Roman" w:hAnsi="Times New Roman"/>
                <w:b/>
                <w:bCs/>
                <w:sz w:val="24"/>
                <w:szCs w:val="24"/>
              </w:rPr>
              <w:t>《</w:t>
            </w:r>
            <w:r>
              <w:rPr>
                <w:rFonts w:ascii="Times New Roman" w:hAnsi="Times New Roman"/>
                <w:b/>
                <w:bCs/>
                <w:sz w:val="24"/>
                <w:szCs w:val="24"/>
              </w:rPr>
              <w:t>2020</w:t>
            </w:r>
            <w:r>
              <w:rPr>
                <w:rFonts w:hint="eastAsia" w:ascii="Times New Roman" w:hAnsi="Times New Roman"/>
                <w:b/>
                <w:bCs/>
                <w:sz w:val="24"/>
                <w:szCs w:val="24"/>
              </w:rPr>
              <w:t>年挥发性有机物治理攻坚方案》（环大气〔</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33</w:t>
            </w:r>
            <w:r>
              <w:rPr>
                <w:rFonts w:hint="eastAsia" w:ascii="Times New Roman" w:hAnsi="Times New Roman"/>
                <w:b/>
                <w:bCs/>
                <w:sz w:val="24"/>
                <w:szCs w:val="24"/>
              </w:rPr>
              <w:t>号）</w:t>
            </w:r>
          </w:p>
          <w:p>
            <w:pPr>
              <w:adjustRightInd w:val="0"/>
              <w:snapToGrid w:val="0"/>
              <w:spacing w:line="360" w:lineRule="auto"/>
              <w:ind w:firstLine="480" w:firstLineChars="200"/>
              <w:rPr>
                <w:rFonts w:hint="eastAsia" w:ascii="Times New Roman" w:hAnsi="Times New Roman"/>
                <w:bCs/>
                <w:sz w:val="24"/>
                <w:szCs w:val="24"/>
              </w:rPr>
            </w:pPr>
            <w:r>
              <w:rPr>
                <w:rFonts w:hint="eastAsia" w:ascii="Times New Roman" w:hAnsi="Times New Roman"/>
                <w:bCs/>
                <w:sz w:val="24"/>
                <w:szCs w:val="24"/>
              </w:rPr>
              <w:t>五、强化油品储运销监管，实现减污降耗增效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加大汽油、石脑油、煤油以及原油等油品储运销全过程VOCs排放控制，在保障安全的前提下，重点推进储油库、油罐车、加油站油气回收治理，加大油气排放监管力度，并要求企业建立日查、自检、年检和维保制度。储油库应采用底部装油方式，装油时产生的油气应进行密闭收集和回收处理，处理装置出入口应安装气体流量传感器。7月15日前，对储油库油气密闭收集系统进行一次检测，任何泄漏点排放的油气体积分数浓度不应超过0.05%。运输汽油的油罐汽车应具备底部装卸油系统和油气回收系统，装油时能够将汽车油罐内排出的油气密闭输入储油库回收系统，往返运输过程中能够保证汽油和油气不泄漏，卸油时能够将产生的油气回收到汽车的油罐内，除必要应急维修外，不应因操作、维修和管理等方面的原因发生油气泄漏；运输汽油的铁路罐车要采取相应措施，减少装油、卸油和运输过程的油气排放。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《2020年挥发性有机物治理攻坚方案》（环大气〔2020〕33号）</w:t>
            </w:r>
            <w:r>
              <w:rPr>
                <w:rFonts w:ascii="Times New Roman" w:hAnsi="Times New Roman"/>
                <w:bCs/>
                <w:sz w:val="24"/>
                <w:szCs w:val="24"/>
              </w:rPr>
              <w:t>相关要求</w:t>
            </w:r>
            <w:r>
              <w:rPr>
                <w:rFonts w:hint="eastAsia" w:ascii="Times New Roman" w:hAnsi="Times New Roman"/>
                <w:bCs/>
                <w:sz w:val="24"/>
                <w:szCs w:val="24"/>
              </w:rPr>
              <w:t>。</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4</w:t>
            </w:r>
            <w:r>
              <w:rPr>
                <w:rFonts w:hint="eastAsia" w:ascii="Times New Roman" w:hAnsi="Times New Roman"/>
                <w:b/>
                <w:bCs/>
                <w:sz w:val="24"/>
                <w:szCs w:val="24"/>
              </w:rPr>
              <w:t>、《河南省</w:t>
            </w:r>
            <w:r>
              <w:rPr>
                <w:rFonts w:ascii="Times New Roman" w:hAnsi="Times New Roman"/>
                <w:b/>
                <w:bCs/>
                <w:sz w:val="24"/>
                <w:szCs w:val="24"/>
              </w:rPr>
              <w:t>2020</w:t>
            </w:r>
            <w:r>
              <w:rPr>
                <w:rFonts w:hint="eastAsia" w:ascii="Times New Roman" w:hAnsi="Times New Roman"/>
                <w:b/>
                <w:bCs/>
                <w:sz w:val="24"/>
                <w:szCs w:val="24"/>
              </w:rPr>
              <w:t>年大气污染防治攻坚战实施方案》（豫环攻坚办〔</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7</w:t>
            </w:r>
            <w:r>
              <w:rPr>
                <w:rFonts w:hint="eastAsia" w:ascii="Times New Roman" w:hAnsi="Times New Roman"/>
                <w:b/>
                <w:bCs/>
                <w:sz w:val="24"/>
                <w:szCs w:val="24"/>
              </w:rPr>
              <w:t>号）</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为贯彻落实《国务院关于印发打赢蓝天保卫战三年行动计划的通知》（国发〔</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22</w:t>
            </w:r>
            <w:r>
              <w:rPr>
                <w:rFonts w:hint="eastAsia" w:ascii="Times New Roman" w:hAnsi="Times New Roman"/>
                <w:bCs/>
                <w:sz w:val="24"/>
                <w:szCs w:val="24"/>
              </w:rPr>
              <w:t>号）和《河南省人民政府关于印发河南省污染防治攻坚战三年行动计划（</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号），持续改善全省环境空气质量，坚决打赢蓝天保卫战，制定本方案。</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28.</w:t>
            </w:r>
            <w:r>
              <w:rPr>
                <w:rFonts w:hint="eastAsia" w:ascii="Times New Roman" w:hAnsi="Times New Roman"/>
                <w:bCs/>
                <w:sz w:val="24"/>
                <w:szCs w:val="24"/>
              </w:rPr>
              <w:t>全面提升“扬尘”污染治理水平。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46.</w:t>
            </w:r>
            <w:r>
              <w:rPr>
                <w:rFonts w:hint="eastAsia" w:ascii="Times New Roman" w:hAnsi="Times New Roman"/>
                <w:sz w:val="24"/>
                <w:szCs w:val="24"/>
              </w:rPr>
              <w:t>持续加强油气排放日常执法监管。各级生态环境部门将储油库、加油站纳入固定污染源进行管理，强化对储油库、加油站和油罐车油气排放日常执法监管，确保油气回收设施正常运行</w:t>
            </w:r>
            <w:r>
              <w:rPr>
                <w:rFonts w:ascii="Times New Roman" w:hAnsi="Times New Roman"/>
                <w:sz w:val="24"/>
                <w:szCs w:val="24"/>
              </w:rPr>
              <w:t>2020</w:t>
            </w:r>
            <w:r>
              <w:rPr>
                <w:rFonts w:hint="eastAsia" w:ascii="Times New Roman" w:hAnsi="Times New Roman"/>
                <w:sz w:val="24"/>
                <w:szCs w:val="24"/>
              </w:rPr>
              <w:t>年底前，采取定期检查和现场抽查方式，至少组织一次对辖区内所有汽油储油库、</w:t>
            </w:r>
            <w:r>
              <w:rPr>
                <w:rFonts w:ascii="Times New Roman" w:hAnsi="Times New Roman"/>
                <w:sz w:val="24"/>
                <w:szCs w:val="24"/>
              </w:rPr>
              <w:t>20%</w:t>
            </w:r>
            <w:r>
              <w:rPr>
                <w:rFonts w:hint="eastAsia" w:ascii="Times New Roman" w:hAnsi="Times New Roman"/>
                <w:sz w:val="24"/>
                <w:szCs w:val="24"/>
              </w:rPr>
              <w:t>以上的汽油加油站和油罐车进行监督性检测；对于监督性检测和日常检查中发现的未按照相关要求安装、管理、运行油气回收设备或检查结果不合格的单位，要坚决依法依规进行查处。储油库、加油站和油罐车业主单位每季度按规范对油气回收治理系统进行检测和维护，按照国家规范填写自检报告，检修</w:t>
            </w:r>
            <w:r>
              <w:rPr>
                <w:rFonts w:ascii="Times New Roman" w:hAnsi="Times New Roman"/>
                <w:sz w:val="24"/>
                <w:szCs w:val="24"/>
              </w:rPr>
              <w:t>/</w:t>
            </w:r>
            <w:r>
              <w:rPr>
                <w:rFonts w:hint="eastAsia" w:ascii="Times New Roman" w:hAnsi="Times New Roman"/>
                <w:sz w:val="24"/>
                <w:szCs w:val="24"/>
              </w:rPr>
              <w:t>维护记录、定期检测的原始结果数据至少保留两年以上；业主单位要安装卸油区视频监控，保证清晰监控到卸油情况，视频数据保留一年以上。</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47.</w:t>
            </w:r>
            <w:r>
              <w:rPr>
                <w:rFonts w:hint="eastAsia" w:ascii="Times New Roman" w:hAnsi="Times New Roman"/>
                <w:sz w:val="24"/>
                <w:szCs w:val="24"/>
              </w:rPr>
              <w:t>强化油品质量监管。各地要坚持“挖幕后、断链条、打黑油、端窝点”，严厉打击生产、销售、储存和使用不合格油品和车用尿素行为，依法追究相关方面责任并向社会公开。按照省政府办公厅《关于加强联合执法建立成品油流通市场监管长效机制的通知》（豫政办〔</w:t>
            </w:r>
            <w:r>
              <w:rPr>
                <w:rFonts w:ascii="Times New Roman" w:hAnsi="Times New Roman"/>
                <w:sz w:val="24"/>
                <w:szCs w:val="24"/>
              </w:rPr>
              <w:t>2017</w:t>
            </w:r>
            <w:r>
              <w:rPr>
                <w:rFonts w:hint="eastAsia" w:ascii="Times New Roman" w:hAnsi="Times New Roman"/>
                <w:sz w:val="24"/>
                <w:szCs w:val="24"/>
              </w:rPr>
              <w:t>〕</w:t>
            </w:r>
            <w:r>
              <w:rPr>
                <w:rFonts w:ascii="Times New Roman" w:hAnsi="Times New Roman"/>
                <w:sz w:val="24"/>
                <w:szCs w:val="24"/>
              </w:rPr>
              <w:t>57</w:t>
            </w:r>
            <w:r>
              <w:rPr>
                <w:rFonts w:hint="eastAsia" w:ascii="Times New Roman" w:hAnsi="Times New Roman"/>
                <w:sz w:val="24"/>
                <w:szCs w:val="24"/>
              </w:rPr>
              <w:t>号）有关要求，通过采取有奖举报，随机抽查和重点检查等手段，严厉打击违法销售车用油品的行为。市场监管部门加强对炼油厂、储油库、加油站等成品油生产、销售和储存环节，以及高速公路、国省道沿线加油站和尿素加注点质量检查，提高抽检比例和频次，严厉处罚违法行为；商务部门牵头组织，持续深入开展“河南省油品质量专项检查行动”，以物流基地、货运车辆停车场和休息区、油品运输车、施工工地等为重点，集中打击和清理取缔黑加油站点、流动加油车对不达标的油品、尿素追踪溯源，查处劣质油品、尿素存储销售集散地和生产加工企业，对有关涉案人员依法追究相关法律责任。</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rPr>
            </w:pPr>
            <w:r>
              <w:rPr>
                <w:rFonts w:hint="eastAsia"/>
              </w:rPr>
              <w:t>本项目施工过程中须做到“六个百分之百”（施工现场百分之百围挡，物料堆放百分之百覆盖，裸露地面百分之百绿化或覆盖，进出车辆百分之百冲洗，拆除和土方作业百分之百喷淋，渣土运输车辆百分之百封闭）、开复工验收、“三员</w:t>
            </w:r>
            <w:r>
              <w:t>"</w:t>
            </w:r>
            <w:r>
              <w:rPr>
                <w:rFonts w:hint="eastAsia"/>
              </w:rPr>
              <w:t>（扬尘污染防治监督员、网格员、管理员）管理、扬尘防治预算管理等制度。项目建成后储油罐采用卧式埋地油罐，加油站配备有一级油气回收装置和二级油气回收装置，建设单位定期开展油枪气液比、系统密闭性及管线液阻的监测，项目的建设符合《河南省</w:t>
            </w:r>
            <w:r>
              <w:t>2020</w:t>
            </w:r>
            <w:r>
              <w:rPr>
                <w:rFonts w:hint="eastAsia"/>
              </w:rPr>
              <w:t>年大气污染防治攻坚战实施方案》（豫环攻坚办〔</w:t>
            </w:r>
            <w:r>
              <w:t>2020</w:t>
            </w:r>
            <w:r>
              <w:rPr>
                <w:rFonts w:hint="eastAsia"/>
              </w:rPr>
              <w:t>〕</w:t>
            </w:r>
            <w:r>
              <w:t>7</w:t>
            </w:r>
            <w:r>
              <w:rPr>
                <w:rFonts w:hint="eastAsia"/>
              </w:rPr>
              <w:t>号）相关要求。</w:t>
            </w: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ind w:left="0" w:leftChars="0" w:firstLine="0" w:firstLineChars="0"/>
              <w:rPr>
                <w:rFonts w:hint="eastAsia" w:ascii="Times New Roman" w:hAnsi="Times New Roman" w:eastAsia="宋体" w:cs="Times New Roman"/>
                <w:sz w:val="24"/>
                <w:szCs w:val="24"/>
                <w:lang w:eastAsia="zh-CN"/>
              </w:rPr>
            </w:pPr>
          </w:p>
        </w:tc>
      </w:tr>
    </w:tbl>
    <w:p>
      <w:pPr>
        <w:rPr>
          <w:rFonts w:ascii="Times New Roman" w:hAnsi="Times New Roman" w:eastAsia="宋体" w:cs="Times New Roman"/>
          <w:b/>
          <w:bCs/>
          <w:kern w:val="44"/>
          <w:sz w:val="30"/>
          <w:szCs w:val="30"/>
        </w:rPr>
      </w:pPr>
      <w:bookmarkStart w:id="7" w:name="_Toc257241225"/>
      <w:bookmarkStart w:id="8" w:name="_Toc256177430"/>
      <w:bookmarkStart w:id="9" w:name="_Toc168387858"/>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环境质量状况</w:t>
      </w:r>
      <w:bookmarkEnd w:id="7"/>
      <w:bookmarkEnd w:id="8"/>
      <w:bookmarkEnd w:id="9"/>
    </w:p>
    <w:tbl>
      <w:tblPr>
        <w:tblStyle w:val="22"/>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8436" w:type="dxa"/>
          </w:tcPr>
          <w:p>
            <w:pPr>
              <w:spacing w:line="520" w:lineRule="atLeast"/>
              <w:rPr>
                <w:rFonts w:ascii="Times New Roman" w:hAnsi="Times New Roman"/>
                <w:color w:val="000000"/>
                <w:sz w:val="24"/>
              </w:rPr>
            </w:pPr>
            <w:r>
              <w:rPr>
                <w:rFonts w:ascii="Times New Roman" w:hAnsi="Times New Roman"/>
                <w:b/>
                <w:color w:val="000000"/>
                <w:sz w:val="24"/>
              </w:rPr>
              <w:t>建设项目所在地区域环境质量现状及主要环境问题(环境空气、地表水、声环境、生态环境等</w:t>
            </w:r>
            <w:r>
              <w:rPr>
                <w:rFonts w:ascii="Times New Roman" w:hAnsi="Times New Roman"/>
                <w:color w:val="000000"/>
                <w:sz w:val="24"/>
              </w:rPr>
              <w:t>)</w:t>
            </w:r>
          </w:p>
          <w:p>
            <w:pPr>
              <w:spacing w:line="600" w:lineRule="exact"/>
              <w:ind w:firstLine="482" w:firstLineChars="200"/>
              <w:rPr>
                <w:rFonts w:ascii="Times New Roman" w:hAnsi="Times New Roman"/>
                <w:b/>
                <w:color w:val="000000"/>
                <w:sz w:val="24"/>
              </w:rPr>
            </w:pPr>
            <w:r>
              <w:rPr>
                <w:rFonts w:ascii="Times New Roman" w:hAnsi="Times New Roman"/>
                <w:b/>
                <w:color w:val="000000"/>
                <w:sz w:val="24"/>
              </w:rPr>
              <w:t>1、环境空气</w:t>
            </w:r>
          </w:p>
          <w:p>
            <w:pPr>
              <w:spacing w:line="520" w:lineRule="exact"/>
              <w:ind w:firstLine="482" w:firstLineChars="200"/>
              <w:rPr>
                <w:rFonts w:hint="default" w:ascii="Times New Roman" w:hAnsi="Times New Roman" w:cs="Times New Roman"/>
                <w:b/>
                <w:bCs w:val="0"/>
                <w:sz w:val="24"/>
                <w:u w:val="single"/>
              </w:rPr>
            </w:pPr>
            <w:r>
              <w:rPr>
                <w:rFonts w:hint="default" w:ascii="Times New Roman" w:hAnsi="Times New Roman" w:cs="Times New Roman"/>
                <w:b/>
                <w:bCs w:val="0"/>
                <w:sz w:val="24"/>
                <w:u w:val="single"/>
              </w:rPr>
              <w:t>根据环境空气质量功能区划分，项目所在地为二类功能区。环境空气质量执行《环境空气质量标准》（GB3095-2012）中规定的二级标准。本次环境空气质量现状引用河南省城市环境空气质量自动监控中对鲁山县的监测数据，监测时间为201</w:t>
            </w:r>
            <w:r>
              <w:rPr>
                <w:rFonts w:hint="eastAsia" w:ascii="Times New Roman" w:hAnsi="Times New Roman" w:cs="Times New Roman"/>
                <w:b/>
                <w:bCs w:val="0"/>
                <w:sz w:val="24"/>
                <w:u w:val="single"/>
                <w:lang w:val="en-US" w:eastAsia="zh-CN"/>
              </w:rPr>
              <w:t>9</w:t>
            </w:r>
            <w:r>
              <w:rPr>
                <w:rFonts w:hint="default" w:ascii="Times New Roman" w:hAnsi="Times New Roman" w:cs="Times New Roman"/>
                <w:b/>
                <w:bCs w:val="0"/>
                <w:sz w:val="24"/>
                <w:u w:val="single"/>
              </w:rPr>
              <w:t>年</w:t>
            </w:r>
            <w:r>
              <w:rPr>
                <w:rFonts w:hint="eastAsia" w:ascii="Times New Roman" w:hAnsi="Times New Roman" w:cs="Times New Roman"/>
                <w:b/>
                <w:bCs w:val="0"/>
                <w:sz w:val="24"/>
                <w:u w:val="single"/>
                <w:lang w:val="en-US" w:eastAsia="zh-CN"/>
              </w:rPr>
              <w:t>01月~2019年12月</w:t>
            </w:r>
            <w:r>
              <w:rPr>
                <w:rFonts w:hint="default" w:ascii="Times New Roman" w:hAnsi="Times New Roman" w:cs="Times New Roman"/>
                <w:b/>
                <w:bCs w:val="0"/>
                <w:sz w:val="24"/>
                <w:u w:val="single"/>
              </w:rPr>
              <w:t>，监测因子为SO</w:t>
            </w:r>
            <w:r>
              <w:rPr>
                <w:rFonts w:hint="default" w:ascii="Times New Roman" w:hAnsi="Times New Roman" w:cs="Times New Roman"/>
                <w:b/>
                <w:bCs w:val="0"/>
                <w:sz w:val="24"/>
                <w:u w:val="single"/>
                <w:vertAlign w:val="subscript"/>
              </w:rPr>
              <w:t>2</w:t>
            </w:r>
            <w:r>
              <w:rPr>
                <w:rFonts w:hint="default" w:ascii="Times New Roman" w:hAnsi="Times New Roman" w:cs="Times New Roman"/>
                <w:b/>
                <w:bCs w:val="0"/>
                <w:sz w:val="24"/>
                <w:u w:val="single"/>
              </w:rPr>
              <w:t>、NO</w:t>
            </w:r>
            <w:r>
              <w:rPr>
                <w:rFonts w:hint="default" w:ascii="Times New Roman" w:hAnsi="Times New Roman" w:cs="Times New Roman"/>
                <w:b/>
                <w:bCs w:val="0"/>
                <w:sz w:val="24"/>
                <w:u w:val="single"/>
                <w:vertAlign w:val="subscript"/>
              </w:rPr>
              <w:t>2</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10</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2.5</w:t>
            </w:r>
            <w:r>
              <w:rPr>
                <w:rFonts w:hint="default" w:ascii="Times New Roman" w:hAnsi="Times New Roman" w:cs="Times New Roman"/>
                <w:b/>
                <w:bCs w:val="0"/>
                <w:sz w:val="24"/>
                <w:u w:val="single"/>
              </w:rPr>
              <w:t>、CO、O</w:t>
            </w:r>
            <w:r>
              <w:rPr>
                <w:rFonts w:hint="default" w:ascii="Times New Roman" w:hAnsi="Times New Roman" w:cs="Times New Roman"/>
                <w:b/>
                <w:bCs w:val="0"/>
                <w:sz w:val="24"/>
                <w:u w:val="single"/>
                <w:vertAlign w:val="subscript"/>
              </w:rPr>
              <w:t>3</w:t>
            </w:r>
            <w:r>
              <w:rPr>
                <w:rFonts w:hint="default" w:ascii="Times New Roman" w:hAnsi="Times New Roman" w:cs="Times New Roman"/>
                <w:b/>
                <w:bCs w:val="0"/>
                <w:sz w:val="24"/>
                <w:u w:val="single"/>
              </w:rPr>
              <w:t>共6项，环境空气质量常规监测数据统计结果见下表。</w:t>
            </w:r>
          </w:p>
          <w:p>
            <w:pPr>
              <w:adjustRightInd w:val="0"/>
              <w:snapToGrid w:val="0"/>
              <w:spacing w:line="500" w:lineRule="exact"/>
              <w:ind w:left="567" w:firstLine="1370" w:firstLineChars="650"/>
              <w:rPr>
                <w:rFonts w:ascii="Times New Roman" w:hAnsi="Times New Roman"/>
                <w:b/>
                <w:bCs w:val="0"/>
                <w:sz w:val="21"/>
                <w:szCs w:val="21"/>
                <w:u w:val="single"/>
              </w:rPr>
            </w:pPr>
            <w:r>
              <w:rPr>
                <w:rFonts w:ascii="Times New Roman"/>
                <w:b/>
                <w:bCs w:val="0"/>
                <w:sz w:val="21"/>
                <w:szCs w:val="21"/>
                <w:u w:val="single"/>
              </w:rPr>
              <w:t>表</w:t>
            </w:r>
            <w:r>
              <w:rPr>
                <w:rFonts w:hint="eastAsia" w:ascii="Times New Roman"/>
                <w:b/>
                <w:bCs w:val="0"/>
                <w:sz w:val="21"/>
                <w:szCs w:val="21"/>
                <w:u w:val="single"/>
                <w:lang w:val="en-US" w:eastAsia="zh-CN"/>
              </w:rPr>
              <w:t>10</w:t>
            </w:r>
            <w:r>
              <w:rPr>
                <w:rFonts w:hint="eastAsia" w:ascii="Times New Roman" w:hAnsi="Times New Roman"/>
                <w:b/>
                <w:bCs w:val="0"/>
                <w:sz w:val="21"/>
                <w:szCs w:val="21"/>
                <w:u w:val="single"/>
                <w:lang w:val="en-US" w:eastAsia="zh-CN"/>
              </w:rPr>
              <w:t xml:space="preserve">         </w:t>
            </w:r>
            <w:r>
              <w:rPr>
                <w:rFonts w:ascii="Times New Roman"/>
                <w:b/>
                <w:bCs w:val="0"/>
                <w:sz w:val="21"/>
                <w:szCs w:val="21"/>
                <w:u w:val="single"/>
              </w:rPr>
              <w:t>常规环境空气质量监测数据</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98"/>
              <w:gridCol w:w="1569"/>
              <w:gridCol w:w="1648"/>
              <w:gridCol w:w="1542"/>
              <w:gridCol w:w="1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监测点位</w:t>
                  </w: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监测因子</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取样时间</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监测结果</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标准限值</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restart"/>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鲁山县</w:t>
                  </w:r>
                </w:p>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SO</w:t>
                  </w:r>
                  <w:r>
                    <w:rPr>
                      <w:rFonts w:hint="default" w:ascii="Times New Roman" w:hAnsi="Times New Roman" w:cs="Times New Roman"/>
                      <w:b/>
                      <w:bCs w:val="0"/>
                      <w:color w:val="000000"/>
                      <w:sz w:val="21"/>
                      <w:szCs w:val="21"/>
                      <w:u w:val="singl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11</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60ug/m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NO</w:t>
                  </w:r>
                  <w:r>
                    <w:rPr>
                      <w:rFonts w:hint="default" w:ascii="Times New Roman" w:hAnsi="Times New Roman" w:cs="Times New Roman"/>
                      <w:b/>
                      <w:bCs w:val="0"/>
                      <w:color w:val="000000"/>
                      <w:sz w:val="21"/>
                      <w:szCs w:val="21"/>
                      <w:u w:val="singl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28</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40ug/m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PM</w:t>
                  </w:r>
                  <w:r>
                    <w:rPr>
                      <w:rFonts w:hint="default" w:ascii="Times New Roman" w:hAnsi="Times New Roman" w:cs="Times New Roman"/>
                      <w:b/>
                      <w:bCs w:val="0"/>
                      <w:color w:val="000000"/>
                      <w:sz w:val="21"/>
                      <w:szCs w:val="21"/>
                      <w:u w:val="single"/>
                      <w:vertAlign w:val="subscript"/>
                    </w:rPr>
                    <w:t>10</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98</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70ug/m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PM</w:t>
                  </w:r>
                  <w:r>
                    <w:rPr>
                      <w:rFonts w:hint="default" w:ascii="Times New Roman" w:hAnsi="Times New Roman" w:cs="Times New Roman"/>
                      <w:b/>
                      <w:bCs w:val="0"/>
                      <w:color w:val="000000"/>
                      <w:sz w:val="21"/>
                      <w:szCs w:val="21"/>
                      <w:u w:val="single"/>
                      <w:vertAlign w:val="subscript"/>
                    </w:rPr>
                    <w:t>2.5</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46</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35ug/m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O</w:t>
                  </w:r>
                  <w:r>
                    <w:rPr>
                      <w:rFonts w:hint="default" w:ascii="Times New Roman" w:hAnsi="Times New Roman" w:cs="Times New Roman"/>
                      <w:b/>
                      <w:bCs w:val="0"/>
                      <w:color w:val="000000"/>
                      <w:sz w:val="21"/>
                      <w:szCs w:val="21"/>
                      <w:u w:val="single"/>
                      <w:vertAlign w:val="subscript"/>
                    </w:rPr>
                    <w:t>3</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日最大8h平均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191</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160ug/m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CO</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24h平均</w:t>
                  </w:r>
                </w:p>
              </w:tc>
              <w:tc>
                <w:tcPr>
                  <w:tcW w:w="1661"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1.485</w:t>
                  </w:r>
                  <w:r>
                    <w:rPr>
                      <w:rFonts w:hint="default" w:ascii="Times New Roman" w:hAnsi="Times New Roman" w:cs="Times New Roman"/>
                      <w:b/>
                      <w:bCs w:val="0"/>
                      <w:color w:val="000000"/>
                      <w:sz w:val="21"/>
                      <w:szCs w:val="21"/>
                      <w:u w:val="single"/>
                    </w:rPr>
                    <w:t>mg/m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4mg/m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bl>
          <w:p>
            <w:pPr>
              <w:spacing w:line="520" w:lineRule="exact"/>
              <w:ind w:firstLine="482" w:firstLineChars="200"/>
              <w:rPr>
                <w:rFonts w:hint="default" w:ascii="Times New Roman" w:hAnsi="Times New Roman" w:cs="Times New Roman"/>
                <w:b/>
                <w:bCs w:val="0"/>
                <w:sz w:val="24"/>
                <w:u w:val="single"/>
              </w:rPr>
            </w:pPr>
            <w:r>
              <w:rPr>
                <w:rFonts w:hint="default" w:ascii="Times New Roman" w:hAnsi="Times New Roman" w:cs="Times New Roman"/>
                <w:b/>
                <w:bCs w:val="0"/>
                <w:sz w:val="24"/>
                <w:u w:val="single"/>
              </w:rPr>
              <w:t>由监测结果可知，调查周期内项目所在区域PM</w:t>
            </w:r>
            <w:r>
              <w:rPr>
                <w:rFonts w:hint="default" w:ascii="Times New Roman" w:hAnsi="Times New Roman" w:cs="Times New Roman"/>
                <w:b/>
                <w:bCs w:val="0"/>
                <w:sz w:val="24"/>
                <w:u w:val="single"/>
                <w:vertAlign w:val="subscript"/>
              </w:rPr>
              <w:t>2.5</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10</w:t>
            </w:r>
            <w:r>
              <w:rPr>
                <w:rFonts w:hint="default" w:ascii="Times New Roman" w:hAnsi="Times New Roman" w:cs="Times New Roman"/>
                <w:b/>
                <w:bCs w:val="0"/>
                <w:sz w:val="24"/>
                <w:u w:val="single"/>
              </w:rPr>
              <w:t>年均浓度未满足《环境空气质量标准》（GB3095-2012）中的二级标准限值，属于非达标区域。</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val="0"/>
                <w:bCs/>
                <w:sz w:val="24"/>
                <w:u w:val="none"/>
                <w:lang w:eastAsia="zh-CN"/>
              </w:rPr>
            </w:pPr>
            <w:r>
              <w:rPr>
                <w:rFonts w:hint="default" w:ascii="Times New Roman" w:hAnsi="Times New Roman" w:cs="Times New Roman"/>
                <w:b/>
                <w:bCs w:val="0"/>
                <w:sz w:val="24"/>
                <w:u w:val="single"/>
              </w:rPr>
              <w:t>随着《平顶山市</w:t>
            </w:r>
            <w:r>
              <w:rPr>
                <w:rFonts w:hint="eastAsia" w:ascii="Times New Roman" w:hAnsi="Times New Roman" w:cs="Times New Roman"/>
                <w:b/>
                <w:bCs w:val="0"/>
                <w:sz w:val="24"/>
                <w:u w:val="single"/>
                <w:lang w:val="en-US" w:eastAsia="zh-CN"/>
              </w:rPr>
              <w:t>2020</w:t>
            </w:r>
            <w:r>
              <w:rPr>
                <w:rFonts w:hint="default" w:ascii="Times New Roman" w:hAnsi="Times New Roman" w:cs="Times New Roman"/>
                <w:b/>
                <w:bCs w:val="0"/>
                <w:sz w:val="24"/>
                <w:u w:val="single"/>
              </w:rPr>
              <w:t>年大气污染防治攻坚战实施方案》及《鲁山县</w:t>
            </w:r>
            <w:r>
              <w:rPr>
                <w:rFonts w:hint="eastAsia" w:ascii="Times New Roman" w:hAnsi="Times New Roman" w:cs="Times New Roman"/>
                <w:b/>
                <w:bCs w:val="0"/>
                <w:sz w:val="24"/>
                <w:u w:val="single"/>
                <w:lang w:val="en-US" w:eastAsia="zh-CN"/>
              </w:rPr>
              <w:t>2020</w:t>
            </w:r>
            <w:r>
              <w:rPr>
                <w:rFonts w:hint="default" w:ascii="Times New Roman" w:hAnsi="Times New Roman" w:cs="Times New Roman"/>
                <w:b/>
                <w:bCs w:val="0"/>
                <w:sz w:val="24"/>
                <w:u w:val="single"/>
              </w:rPr>
              <w:t>年大气污染防治攻坚战实施方案》方案的实施，通过控制扬尘、削减燃煤总量、控制机动车污染等方面的行动，项目所在区域环境空气质量将逐步得到改善。</w:t>
            </w:r>
            <w:r>
              <w:rPr>
                <w:rFonts w:hint="eastAsia" w:ascii="Times New Roman" w:hAnsi="Times New Roman" w:cs="Times New Roman"/>
                <w:b/>
                <w:bCs w:val="0"/>
                <w:sz w:val="24"/>
                <w:u w:val="single"/>
                <w:lang w:eastAsia="zh-CN"/>
              </w:rPr>
              <w:t>项目施工过程时间较短，且施工过程中严格按照</w:t>
            </w:r>
            <w:r>
              <w:rPr>
                <w:rFonts w:hint="default" w:ascii="Times New Roman" w:hAnsi="Times New Roman" w:cs="Times New Roman"/>
                <w:b/>
                <w:bCs w:val="0"/>
                <w:sz w:val="24"/>
                <w:u w:val="single"/>
                <w:lang w:eastAsia="zh-CN"/>
              </w:rPr>
              <w:t>大气污染防治攻坚战等实施方案</w:t>
            </w:r>
            <w:r>
              <w:rPr>
                <w:rFonts w:hint="eastAsia" w:ascii="Times New Roman" w:hAnsi="Times New Roman" w:cs="Times New Roman"/>
                <w:b/>
                <w:bCs w:val="0"/>
                <w:sz w:val="24"/>
                <w:u w:val="single"/>
                <w:lang w:eastAsia="zh-CN"/>
              </w:rPr>
              <w:t>要求，采取有效的</w:t>
            </w:r>
            <w:r>
              <w:rPr>
                <w:rFonts w:hint="default" w:ascii="Times New Roman" w:hAnsi="Times New Roman" w:cs="Times New Roman"/>
                <w:b/>
                <w:bCs w:val="0"/>
                <w:sz w:val="24"/>
                <w:u w:val="single"/>
              </w:rPr>
              <w:t>扬尘污染治理</w:t>
            </w:r>
            <w:r>
              <w:rPr>
                <w:rFonts w:hint="eastAsia" w:ascii="Times New Roman" w:hAnsi="Times New Roman" w:cs="Times New Roman"/>
                <w:b/>
                <w:bCs w:val="0"/>
                <w:sz w:val="24"/>
                <w:u w:val="single"/>
                <w:lang w:eastAsia="zh-CN"/>
              </w:rPr>
              <w:t>措施，项目施工期对周边环境影响较小。项目运营期设备安装二级油气回收系统，有效的减少有机废气的产生，故项目建设对周边环境影响不大，项目选址可行。</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sz w:val="24"/>
                <w:szCs w:val="22"/>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b/>
                <w:bCs/>
                <w:color w:val="auto"/>
                <w:sz w:val="24"/>
              </w:rPr>
            </w:pPr>
            <w:r>
              <w:rPr>
                <w:rFonts w:ascii="Times New Roman" w:hAnsi="Times New Roman"/>
                <w:b/>
                <w:bCs/>
                <w:color w:val="auto"/>
                <w:sz w:val="24"/>
              </w:rPr>
              <w:t>2、地表水</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u w:val="single"/>
              </w:rPr>
            </w:pPr>
            <w:r>
              <w:rPr>
                <w:rFonts w:ascii="Times New Roman"/>
                <w:b/>
                <w:bCs w:val="0"/>
                <w:color w:val="auto"/>
                <w:sz w:val="24"/>
                <w:u w:val="single"/>
              </w:rPr>
              <w:t>本项目位于沙河</w:t>
            </w:r>
            <w:r>
              <w:rPr>
                <w:rFonts w:hint="eastAsia"/>
                <w:b/>
                <w:bCs w:val="0"/>
                <w:color w:val="auto"/>
                <w:sz w:val="24"/>
                <w:u w:val="single"/>
                <w:lang w:eastAsia="zh-CN"/>
              </w:rPr>
              <w:t>南</w:t>
            </w:r>
            <w:r>
              <w:rPr>
                <w:rFonts w:ascii="Times New Roman"/>
                <w:b/>
                <w:bCs w:val="0"/>
                <w:color w:val="auto"/>
                <w:sz w:val="24"/>
                <w:u w:val="single"/>
              </w:rPr>
              <w:t>侧约</w:t>
            </w:r>
            <w:r>
              <w:rPr>
                <w:rFonts w:hint="eastAsia"/>
                <w:b/>
                <w:bCs w:val="0"/>
                <w:color w:val="auto"/>
                <w:sz w:val="24"/>
                <w:u w:val="single"/>
                <w:lang w:val="en-US" w:eastAsia="zh-CN"/>
              </w:rPr>
              <w:t>170m</w:t>
            </w:r>
            <w:r>
              <w:rPr>
                <w:rFonts w:ascii="Times New Roman"/>
                <w:b/>
                <w:bCs w:val="0"/>
                <w:color w:val="auto"/>
                <w:sz w:val="24"/>
                <w:u w:val="single"/>
              </w:rPr>
              <w:t>，沙河向东南注入</w:t>
            </w:r>
            <w:r>
              <w:rPr>
                <w:rFonts w:hint="eastAsia"/>
                <w:b/>
                <w:bCs w:val="0"/>
                <w:color w:val="auto"/>
                <w:sz w:val="24"/>
                <w:u w:val="single"/>
                <w:lang w:eastAsia="zh-CN"/>
              </w:rPr>
              <w:t>昭平台水库</w:t>
            </w:r>
            <w:r>
              <w:rPr>
                <w:rFonts w:ascii="Times New Roman"/>
                <w:b/>
                <w:bCs w:val="0"/>
                <w:color w:val="auto"/>
                <w:sz w:val="24"/>
                <w:u w:val="single"/>
              </w:rPr>
              <w:t>。鲁山县境内主要的地表水体为昭平台水库和沙河。</w:t>
            </w:r>
            <w:r>
              <w:rPr>
                <w:rFonts w:hint="default" w:ascii="Times New Roman" w:hAnsi="Times New Roman" w:cs="Times New Roman"/>
                <w:b/>
                <w:bCs w:val="0"/>
                <w:sz w:val="24"/>
                <w:u w:val="single"/>
              </w:rPr>
              <w:t>区域地表水水质现状数据引用《平顶山市环境监测年鉴》（201</w:t>
            </w:r>
            <w:r>
              <w:rPr>
                <w:rFonts w:hint="eastAsia" w:ascii="Times New Roman" w:hAnsi="Times New Roman" w:cs="Times New Roman"/>
                <w:b/>
                <w:bCs w:val="0"/>
                <w:sz w:val="24"/>
                <w:u w:val="single"/>
                <w:lang w:val="en-US" w:eastAsia="zh-CN"/>
              </w:rPr>
              <w:t>9</w:t>
            </w:r>
            <w:r>
              <w:rPr>
                <w:rFonts w:hint="default" w:ascii="Times New Roman" w:hAnsi="Times New Roman" w:cs="Times New Roman"/>
                <w:b/>
                <w:bCs w:val="0"/>
                <w:sz w:val="24"/>
                <w:u w:val="single"/>
              </w:rPr>
              <w:t>年度，市环境监测中心站20</w:t>
            </w:r>
            <w:r>
              <w:rPr>
                <w:rFonts w:hint="eastAsia" w:ascii="Times New Roman" w:hAnsi="Times New Roman" w:cs="Times New Roman"/>
                <w:b/>
                <w:bCs w:val="0"/>
                <w:sz w:val="24"/>
                <w:u w:val="single"/>
                <w:lang w:val="en-US" w:eastAsia="zh-CN"/>
              </w:rPr>
              <w:t>20</w:t>
            </w:r>
            <w:r>
              <w:rPr>
                <w:rFonts w:hint="default" w:ascii="Times New Roman" w:hAnsi="Times New Roman" w:cs="Times New Roman"/>
                <w:b/>
                <w:bCs w:val="0"/>
                <w:sz w:val="24"/>
                <w:u w:val="single"/>
              </w:rPr>
              <w:t>年1月）</w:t>
            </w:r>
            <w:r>
              <w:rPr>
                <w:rFonts w:hint="default" w:ascii="Times New Roman" w:hAnsi="Times New Roman" w:cs="Times New Roman"/>
                <w:b/>
                <w:bCs w:val="0"/>
                <w:sz w:val="24"/>
                <w:u w:val="single"/>
                <w:lang w:eastAsia="zh-CN"/>
              </w:rPr>
              <w:t>沙河关庙杜</w:t>
            </w:r>
            <w:r>
              <w:rPr>
                <w:rFonts w:hint="default" w:ascii="Times New Roman" w:hAnsi="Times New Roman" w:cs="Times New Roman"/>
                <w:b/>
                <w:bCs w:val="0"/>
                <w:sz w:val="24"/>
                <w:u w:val="single"/>
              </w:rPr>
              <w:t>监测断面数据。</w:t>
            </w:r>
            <w:r>
              <w:rPr>
                <w:rFonts w:hint="default" w:ascii="Times New Roman" w:hAnsi="Times New Roman" w:cs="Times New Roman"/>
                <w:b/>
                <w:bCs w:val="0"/>
                <w:iCs/>
                <w:sz w:val="24"/>
                <w:u w:val="single"/>
              </w:rPr>
              <w:t>其监测统计结果见表</w:t>
            </w:r>
            <w:r>
              <w:rPr>
                <w:rFonts w:hint="eastAsia" w:ascii="Times New Roman" w:hAnsi="Times New Roman" w:cs="Times New Roman"/>
                <w:b/>
                <w:bCs w:val="0"/>
                <w:iCs/>
                <w:sz w:val="24"/>
                <w:u w:val="single"/>
                <w:lang w:val="en-US" w:eastAsia="zh-CN"/>
              </w:rPr>
              <w:t>11</w:t>
            </w:r>
            <w:r>
              <w:rPr>
                <w:rFonts w:hint="default" w:ascii="Times New Roman" w:hAnsi="Times New Roman" w:cs="Times New Roman"/>
                <w:b/>
                <w:bCs w:val="0"/>
                <w:iCs/>
                <w:sz w:val="24"/>
                <w:u w:val="single"/>
              </w:rPr>
              <w:t>。</w:t>
            </w:r>
          </w:p>
          <w:p>
            <w:pPr>
              <w:pStyle w:val="6"/>
              <w:ind w:firstLine="602" w:firstLineChars="250"/>
              <w:rPr>
                <w:rFonts w:hint="default" w:ascii="Times New Roman" w:hAnsi="Times New Roman" w:eastAsia="黑体" w:cs="Times New Roman"/>
                <w:b/>
                <w:bCs w:val="0"/>
                <w:sz w:val="24"/>
                <w:szCs w:val="24"/>
                <w:u w:val="single"/>
              </w:rPr>
            </w:pPr>
            <w:r>
              <w:rPr>
                <w:rFonts w:hint="default" w:ascii="Times New Roman" w:hAnsi="Times New Roman" w:eastAsia="黑体" w:cs="Times New Roman"/>
                <w:b/>
                <w:bCs w:val="0"/>
                <w:sz w:val="24"/>
                <w:szCs w:val="24"/>
                <w:u w:val="single"/>
              </w:rPr>
              <w:t>表</w:t>
            </w:r>
            <w:r>
              <w:rPr>
                <w:rFonts w:hint="eastAsia" w:ascii="Times New Roman" w:hAnsi="Times New Roman" w:eastAsia="黑体" w:cs="Times New Roman"/>
                <w:b/>
                <w:bCs w:val="0"/>
                <w:sz w:val="24"/>
                <w:szCs w:val="24"/>
                <w:u w:val="single"/>
                <w:lang w:val="en-US" w:eastAsia="zh-CN"/>
              </w:rPr>
              <w:t>11</w:t>
            </w:r>
            <w:r>
              <w:rPr>
                <w:rFonts w:hint="default" w:ascii="Times New Roman" w:hAnsi="Times New Roman" w:eastAsia="黑体" w:cs="Times New Roman"/>
                <w:b/>
                <w:bCs w:val="0"/>
                <w:sz w:val="24"/>
                <w:szCs w:val="24"/>
                <w:u w:val="single"/>
              </w:rPr>
              <w:t xml:space="preserve">      区域水质现状评价结果       单位mg/L（pH值除外）</w:t>
            </w:r>
          </w:p>
          <w:tbl>
            <w:tblPr>
              <w:tblStyle w:val="22"/>
              <w:tblW w:w="8332"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2262"/>
              <w:gridCol w:w="1521"/>
              <w:gridCol w:w="1546"/>
              <w:gridCol w:w="153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2" w:type="dxa"/>
                  <w:gridSpan w:val="2"/>
                  <w:noWrap w:val="0"/>
                  <w:vAlign w:val="center"/>
                </w:tcPr>
                <w:p>
                  <w:pPr>
                    <w:pStyle w:val="11"/>
                    <w:bidi w:val="0"/>
                    <w:rPr>
                      <w:rFonts w:hint="default"/>
                      <w:b/>
                      <w:bCs w:val="0"/>
                      <w:u w:val="single"/>
                    </w:rPr>
                  </w:pPr>
                  <w:r>
                    <w:rPr>
                      <w:rFonts w:hint="default"/>
                      <w:b/>
                      <w:bCs w:val="0"/>
                      <w:u w:val="single"/>
                    </w:rPr>
                    <w:t>监测点位</w:t>
                  </w:r>
                </w:p>
              </w:tc>
              <w:tc>
                <w:tcPr>
                  <w:tcW w:w="1521" w:type="dxa"/>
                  <w:noWrap w:val="0"/>
                  <w:vAlign w:val="center"/>
                </w:tcPr>
                <w:p>
                  <w:pPr>
                    <w:pStyle w:val="11"/>
                    <w:bidi w:val="0"/>
                    <w:rPr>
                      <w:rFonts w:hint="default"/>
                      <w:b/>
                      <w:bCs w:val="0"/>
                      <w:u w:val="single"/>
                    </w:rPr>
                  </w:pPr>
                  <w:r>
                    <w:rPr>
                      <w:rFonts w:hint="default"/>
                      <w:b/>
                      <w:bCs w:val="0"/>
                      <w:u w:val="single"/>
                    </w:rPr>
                    <w:t>pH</w:t>
                  </w:r>
                </w:p>
              </w:tc>
              <w:tc>
                <w:tcPr>
                  <w:tcW w:w="1546" w:type="dxa"/>
                  <w:noWrap w:val="0"/>
                  <w:vAlign w:val="center"/>
                </w:tcPr>
                <w:p>
                  <w:pPr>
                    <w:pStyle w:val="11"/>
                    <w:bidi w:val="0"/>
                    <w:rPr>
                      <w:rFonts w:hint="default"/>
                      <w:b/>
                      <w:bCs w:val="0"/>
                      <w:u w:val="single"/>
                    </w:rPr>
                  </w:pPr>
                  <w:r>
                    <w:rPr>
                      <w:rFonts w:hint="default"/>
                      <w:b/>
                      <w:bCs w:val="0"/>
                      <w:u w:val="single"/>
                    </w:rPr>
                    <w:t>COD</w:t>
                  </w:r>
                </w:p>
              </w:tc>
              <w:tc>
                <w:tcPr>
                  <w:tcW w:w="1533" w:type="dxa"/>
                  <w:noWrap w:val="0"/>
                  <w:vAlign w:val="center"/>
                </w:tcPr>
                <w:p>
                  <w:pPr>
                    <w:pStyle w:val="11"/>
                    <w:bidi w:val="0"/>
                    <w:rPr>
                      <w:rFonts w:hint="default"/>
                      <w:b/>
                      <w:bCs w:val="0"/>
                      <w:u w:val="single"/>
                    </w:rPr>
                  </w:pPr>
                  <w:r>
                    <w:rPr>
                      <w:rFonts w:hint="default"/>
                      <w:b/>
                      <w:bCs w:val="0"/>
                      <w:u w:val="single"/>
                    </w:rPr>
                    <w:t>NH3-N</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restart"/>
                  <w:noWrap w:val="0"/>
                  <w:vAlign w:val="center"/>
                </w:tcPr>
                <w:p>
                  <w:pPr>
                    <w:pStyle w:val="11"/>
                    <w:bidi w:val="0"/>
                    <w:rPr>
                      <w:rFonts w:hint="default"/>
                      <w:b/>
                      <w:bCs w:val="0"/>
                      <w:u w:val="single"/>
                    </w:rPr>
                  </w:pPr>
                  <w:r>
                    <w:rPr>
                      <w:rFonts w:hint="default"/>
                      <w:b/>
                      <w:bCs w:val="0"/>
                      <w:u w:val="single"/>
                    </w:rPr>
                    <w:t>沙河关庙杜监测断面</w:t>
                  </w:r>
                </w:p>
                <w:p>
                  <w:pPr>
                    <w:pStyle w:val="11"/>
                    <w:bidi w:val="0"/>
                    <w:rPr>
                      <w:rFonts w:hint="default"/>
                      <w:b/>
                      <w:bCs w:val="0"/>
                      <w:u w:val="single"/>
                    </w:rPr>
                  </w:pPr>
                  <w:r>
                    <w:rPr>
                      <w:rFonts w:hint="default"/>
                      <w:b/>
                      <w:bCs w:val="0"/>
                      <w:u w:val="single"/>
                    </w:rPr>
                    <w:t>（201</w:t>
                  </w:r>
                  <w:r>
                    <w:rPr>
                      <w:rFonts w:hint="eastAsia"/>
                      <w:b/>
                      <w:bCs w:val="0"/>
                      <w:u w:val="single"/>
                      <w:lang w:val="en-US" w:eastAsia="zh-CN"/>
                    </w:rPr>
                    <w:t>9</w:t>
                  </w:r>
                  <w:r>
                    <w:rPr>
                      <w:rFonts w:hint="default"/>
                      <w:b/>
                      <w:bCs w:val="0"/>
                      <w:u w:val="single"/>
                    </w:rPr>
                    <w:t>年1月~12月）</w:t>
                  </w:r>
                </w:p>
              </w:tc>
              <w:tc>
                <w:tcPr>
                  <w:tcW w:w="2262" w:type="dxa"/>
                  <w:noWrap w:val="0"/>
                  <w:vAlign w:val="center"/>
                </w:tcPr>
                <w:p>
                  <w:pPr>
                    <w:pStyle w:val="11"/>
                    <w:bidi w:val="0"/>
                    <w:rPr>
                      <w:rFonts w:hint="default"/>
                      <w:b/>
                      <w:bCs w:val="0"/>
                      <w:u w:val="single"/>
                    </w:rPr>
                  </w:pPr>
                  <w:r>
                    <w:rPr>
                      <w:rFonts w:hint="default"/>
                      <w:b/>
                      <w:bCs w:val="0"/>
                      <w:u w:val="single"/>
                    </w:rPr>
                    <w:t>浓度范围</w:t>
                  </w:r>
                </w:p>
              </w:tc>
              <w:tc>
                <w:tcPr>
                  <w:tcW w:w="1521" w:type="dxa"/>
                  <w:noWrap w:val="0"/>
                  <w:vAlign w:val="center"/>
                </w:tcPr>
                <w:p>
                  <w:pPr>
                    <w:pStyle w:val="11"/>
                    <w:bidi w:val="0"/>
                    <w:rPr>
                      <w:rFonts w:hint="default"/>
                      <w:b/>
                      <w:bCs w:val="0"/>
                      <w:u w:val="single"/>
                      <w:lang w:val="en-US" w:eastAsia="zh-CN"/>
                    </w:rPr>
                  </w:pPr>
                  <w:r>
                    <w:rPr>
                      <w:rFonts w:hint="eastAsia"/>
                      <w:b/>
                      <w:bCs w:val="0"/>
                      <w:u w:val="single"/>
                      <w:lang w:val="en-US" w:eastAsia="zh-CN"/>
                    </w:rPr>
                    <w:t>7.24-8.38</w:t>
                  </w:r>
                </w:p>
              </w:tc>
              <w:tc>
                <w:tcPr>
                  <w:tcW w:w="1546" w:type="dxa"/>
                  <w:noWrap w:val="0"/>
                  <w:vAlign w:val="center"/>
                </w:tcPr>
                <w:p>
                  <w:pPr>
                    <w:pStyle w:val="11"/>
                    <w:bidi w:val="0"/>
                    <w:rPr>
                      <w:rFonts w:hint="default"/>
                      <w:b/>
                      <w:bCs w:val="0"/>
                      <w:u w:val="single"/>
                      <w:lang w:val="en-US" w:eastAsia="zh-CN"/>
                    </w:rPr>
                  </w:pPr>
                  <w:r>
                    <w:rPr>
                      <w:rFonts w:hint="eastAsia"/>
                      <w:b/>
                      <w:bCs w:val="0"/>
                      <w:u w:val="single"/>
                      <w:lang w:val="en-US" w:eastAsia="zh-CN"/>
                    </w:rPr>
                    <w:t>5-10</w:t>
                  </w:r>
                </w:p>
              </w:tc>
              <w:tc>
                <w:tcPr>
                  <w:tcW w:w="1533" w:type="dxa"/>
                  <w:noWrap w:val="0"/>
                  <w:vAlign w:val="center"/>
                </w:tcPr>
                <w:p>
                  <w:pPr>
                    <w:pStyle w:val="11"/>
                    <w:bidi w:val="0"/>
                    <w:rPr>
                      <w:rFonts w:hint="default"/>
                      <w:b/>
                      <w:bCs w:val="0"/>
                      <w:u w:val="single"/>
                      <w:lang w:val="en-US" w:eastAsia="zh-CN"/>
                    </w:rPr>
                  </w:pPr>
                  <w:r>
                    <w:rPr>
                      <w:rFonts w:hint="eastAsia"/>
                      <w:b/>
                      <w:bCs w:val="0"/>
                      <w:u w:val="single"/>
                      <w:lang w:val="en-US" w:eastAsia="zh-CN"/>
                    </w:rPr>
                    <w:t>0.045-0.378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11"/>
                    <w:bidi w:val="0"/>
                    <w:rPr>
                      <w:rFonts w:hint="default"/>
                      <w:b/>
                      <w:bCs w:val="0"/>
                      <w:u w:val="single"/>
                    </w:rPr>
                  </w:pPr>
                </w:p>
              </w:tc>
              <w:tc>
                <w:tcPr>
                  <w:tcW w:w="2262" w:type="dxa"/>
                  <w:noWrap w:val="0"/>
                  <w:vAlign w:val="center"/>
                </w:tcPr>
                <w:p>
                  <w:pPr>
                    <w:pStyle w:val="11"/>
                    <w:bidi w:val="0"/>
                    <w:rPr>
                      <w:rFonts w:hint="default"/>
                      <w:b/>
                      <w:bCs w:val="0"/>
                      <w:u w:val="single"/>
                    </w:rPr>
                  </w:pPr>
                  <w:r>
                    <w:rPr>
                      <w:rFonts w:hint="default"/>
                      <w:b/>
                      <w:bCs w:val="0"/>
                      <w:u w:val="single"/>
                    </w:rPr>
                    <w:t>均值</w:t>
                  </w:r>
                </w:p>
              </w:tc>
              <w:tc>
                <w:tcPr>
                  <w:tcW w:w="1521" w:type="dxa"/>
                  <w:noWrap w:val="0"/>
                  <w:vAlign w:val="center"/>
                </w:tcPr>
                <w:p>
                  <w:pPr>
                    <w:pStyle w:val="11"/>
                    <w:bidi w:val="0"/>
                    <w:rPr>
                      <w:rFonts w:hint="default"/>
                      <w:b/>
                      <w:bCs w:val="0"/>
                      <w:u w:val="single"/>
                      <w:lang w:val="en-US" w:eastAsia="zh-CN"/>
                    </w:rPr>
                  </w:pPr>
                  <w:r>
                    <w:rPr>
                      <w:rFonts w:hint="eastAsia"/>
                      <w:b/>
                      <w:bCs w:val="0"/>
                      <w:u w:val="single"/>
                      <w:lang w:val="en-US" w:eastAsia="zh-CN"/>
                    </w:rPr>
                    <w:t>17.8</w:t>
                  </w:r>
                </w:p>
              </w:tc>
              <w:tc>
                <w:tcPr>
                  <w:tcW w:w="1546" w:type="dxa"/>
                  <w:noWrap w:val="0"/>
                  <w:vAlign w:val="center"/>
                </w:tcPr>
                <w:p>
                  <w:pPr>
                    <w:pStyle w:val="11"/>
                    <w:bidi w:val="0"/>
                    <w:rPr>
                      <w:rFonts w:hint="eastAsia"/>
                      <w:b/>
                      <w:bCs w:val="0"/>
                      <w:u w:val="single"/>
                      <w:lang w:eastAsia="zh-CN"/>
                    </w:rPr>
                  </w:pPr>
                  <w:r>
                    <w:rPr>
                      <w:rFonts w:hint="eastAsia"/>
                      <w:b/>
                      <w:bCs w:val="0"/>
                      <w:u w:val="single"/>
                      <w:lang w:val="en-US" w:eastAsia="zh-CN"/>
                    </w:rPr>
                    <w:t>7</w:t>
                  </w:r>
                </w:p>
              </w:tc>
              <w:tc>
                <w:tcPr>
                  <w:tcW w:w="1533" w:type="dxa"/>
                  <w:noWrap w:val="0"/>
                  <w:vAlign w:val="center"/>
                </w:tcPr>
                <w:p>
                  <w:pPr>
                    <w:pStyle w:val="11"/>
                    <w:bidi w:val="0"/>
                    <w:rPr>
                      <w:rFonts w:hint="default"/>
                      <w:b/>
                      <w:bCs w:val="0"/>
                      <w:u w:val="single"/>
                      <w:lang w:val="en-US" w:eastAsia="zh-CN"/>
                    </w:rPr>
                  </w:pPr>
                  <w:r>
                    <w:rPr>
                      <w:rFonts w:hint="eastAsia"/>
                      <w:b/>
                      <w:bCs w:val="0"/>
                      <w:u w:val="single"/>
                      <w:lang w:val="en-US" w:eastAsia="zh-CN"/>
                    </w:rPr>
                    <w:t>0.142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11"/>
                    <w:bidi w:val="0"/>
                    <w:rPr>
                      <w:rFonts w:hint="default"/>
                      <w:b/>
                      <w:bCs w:val="0"/>
                      <w:u w:val="single"/>
                    </w:rPr>
                  </w:pPr>
                </w:p>
              </w:tc>
              <w:tc>
                <w:tcPr>
                  <w:tcW w:w="2262" w:type="dxa"/>
                  <w:noWrap w:val="0"/>
                  <w:vAlign w:val="center"/>
                </w:tcPr>
                <w:p>
                  <w:pPr>
                    <w:pStyle w:val="11"/>
                    <w:bidi w:val="0"/>
                    <w:rPr>
                      <w:rFonts w:hint="default"/>
                      <w:b/>
                      <w:bCs w:val="0"/>
                      <w:u w:val="single"/>
                    </w:rPr>
                  </w:pPr>
                  <w:r>
                    <w:rPr>
                      <w:rFonts w:hint="default"/>
                      <w:b/>
                      <w:bCs w:val="0"/>
                      <w:u w:val="single"/>
                    </w:rPr>
                    <w:t>标准限值</w:t>
                  </w:r>
                </w:p>
              </w:tc>
              <w:tc>
                <w:tcPr>
                  <w:tcW w:w="1521" w:type="dxa"/>
                  <w:noWrap w:val="0"/>
                  <w:vAlign w:val="center"/>
                </w:tcPr>
                <w:p>
                  <w:pPr>
                    <w:pStyle w:val="11"/>
                    <w:bidi w:val="0"/>
                    <w:rPr>
                      <w:rFonts w:hint="default"/>
                      <w:b/>
                      <w:bCs w:val="0"/>
                      <w:u w:val="single"/>
                    </w:rPr>
                  </w:pPr>
                  <w:r>
                    <w:rPr>
                      <w:rFonts w:hint="default"/>
                      <w:b/>
                      <w:bCs w:val="0"/>
                      <w:u w:val="single"/>
                    </w:rPr>
                    <w:t>6~9</w:t>
                  </w:r>
                </w:p>
              </w:tc>
              <w:tc>
                <w:tcPr>
                  <w:tcW w:w="1546" w:type="dxa"/>
                  <w:noWrap w:val="0"/>
                  <w:vAlign w:val="center"/>
                </w:tcPr>
                <w:p>
                  <w:pPr>
                    <w:pStyle w:val="11"/>
                    <w:bidi w:val="0"/>
                    <w:rPr>
                      <w:rFonts w:hint="default"/>
                      <w:b/>
                      <w:bCs w:val="0"/>
                      <w:u w:val="single"/>
                    </w:rPr>
                  </w:pPr>
                  <w:r>
                    <w:rPr>
                      <w:rFonts w:hint="default"/>
                      <w:b/>
                      <w:bCs w:val="0"/>
                      <w:u w:val="single"/>
                    </w:rPr>
                    <w:t>20</w:t>
                  </w:r>
                </w:p>
              </w:tc>
              <w:tc>
                <w:tcPr>
                  <w:tcW w:w="1533" w:type="dxa"/>
                  <w:noWrap w:val="0"/>
                  <w:vAlign w:val="center"/>
                </w:tcPr>
                <w:p>
                  <w:pPr>
                    <w:pStyle w:val="11"/>
                    <w:bidi w:val="0"/>
                    <w:rPr>
                      <w:rFonts w:hint="default"/>
                      <w:b/>
                      <w:bCs w:val="0"/>
                      <w:u w:val="single"/>
                    </w:rPr>
                  </w:pPr>
                  <w:r>
                    <w:rPr>
                      <w:rFonts w:hint="default"/>
                      <w:b/>
                      <w:bCs w:val="0"/>
                      <w:u w:val="single"/>
                    </w:rP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11"/>
                    <w:bidi w:val="0"/>
                    <w:rPr>
                      <w:rFonts w:hint="default"/>
                      <w:b/>
                      <w:bCs w:val="0"/>
                      <w:u w:val="single"/>
                    </w:rPr>
                  </w:pPr>
                </w:p>
              </w:tc>
              <w:tc>
                <w:tcPr>
                  <w:tcW w:w="2262" w:type="dxa"/>
                  <w:noWrap w:val="0"/>
                  <w:vAlign w:val="center"/>
                </w:tcPr>
                <w:p>
                  <w:pPr>
                    <w:pStyle w:val="11"/>
                    <w:bidi w:val="0"/>
                    <w:rPr>
                      <w:rFonts w:hint="default"/>
                      <w:b/>
                      <w:bCs w:val="0"/>
                      <w:u w:val="single"/>
                    </w:rPr>
                  </w:pPr>
                  <w:r>
                    <w:rPr>
                      <w:rFonts w:hint="default"/>
                      <w:b/>
                      <w:bCs w:val="0"/>
                      <w:u w:val="single"/>
                    </w:rPr>
                    <w:t>达标情况</w:t>
                  </w:r>
                </w:p>
              </w:tc>
              <w:tc>
                <w:tcPr>
                  <w:tcW w:w="1521" w:type="dxa"/>
                  <w:noWrap w:val="0"/>
                  <w:vAlign w:val="center"/>
                </w:tcPr>
                <w:p>
                  <w:pPr>
                    <w:pStyle w:val="11"/>
                    <w:bidi w:val="0"/>
                    <w:rPr>
                      <w:rFonts w:hint="default"/>
                      <w:b/>
                      <w:bCs w:val="0"/>
                      <w:u w:val="single"/>
                    </w:rPr>
                  </w:pPr>
                  <w:r>
                    <w:rPr>
                      <w:rFonts w:hint="default"/>
                      <w:b/>
                      <w:bCs w:val="0"/>
                      <w:u w:val="single"/>
                    </w:rPr>
                    <w:t>达标</w:t>
                  </w:r>
                </w:p>
              </w:tc>
              <w:tc>
                <w:tcPr>
                  <w:tcW w:w="1546" w:type="dxa"/>
                  <w:noWrap w:val="0"/>
                  <w:vAlign w:val="center"/>
                </w:tcPr>
                <w:p>
                  <w:pPr>
                    <w:pStyle w:val="11"/>
                    <w:bidi w:val="0"/>
                    <w:rPr>
                      <w:rFonts w:hint="default"/>
                      <w:b/>
                      <w:bCs w:val="0"/>
                      <w:u w:val="single"/>
                    </w:rPr>
                  </w:pPr>
                  <w:r>
                    <w:rPr>
                      <w:rFonts w:hint="default"/>
                      <w:b/>
                      <w:bCs w:val="0"/>
                      <w:u w:val="single"/>
                    </w:rPr>
                    <w:t>达标</w:t>
                  </w:r>
                </w:p>
              </w:tc>
              <w:tc>
                <w:tcPr>
                  <w:tcW w:w="1533" w:type="dxa"/>
                  <w:noWrap w:val="0"/>
                  <w:vAlign w:val="center"/>
                </w:tcPr>
                <w:p>
                  <w:pPr>
                    <w:pStyle w:val="11"/>
                    <w:bidi w:val="0"/>
                    <w:rPr>
                      <w:rFonts w:hint="default"/>
                      <w:b/>
                      <w:bCs w:val="0"/>
                      <w:u w:val="single"/>
                    </w:rPr>
                  </w:pPr>
                  <w:r>
                    <w:rPr>
                      <w:rFonts w:hint="default"/>
                      <w:b/>
                      <w:bCs w:val="0"/>
                      <w:u w:val="single"/>
                    </w:rPr>
                    <w:t>达标</w:t>
                  </w:r>
                </w:p>
              </w:tc>
            </w:tr>
          </w:tbl>
          <w:p>
            <w:pPr>
              <w:keepNext w:val="0"/>
              <w:keepLines w:val="0"/>
              <w:pageBreakBefore w:val="0"/>
              <w:widowControl w:val="0"/>
              <w:kinsoku/>
              <w:wordWrap/>
              <w:overflowPunct/>
              <w:topLinePunct w:val="0"/>
              <w:bidi w:val="0"/>
              <w:adjustRightInd/>
              <w:snapToGrid/>
              <w:spacing w:line="360" w:lineRule="auto"/>
              <w:ind w:firstLine="482" w:firstLineChars="200"/>
              <w:textAlignment w:val="auto"/>
              <w:rPr>
                <w:rFonts w:hint="eastAsia" w:ascii="Times New Roman" w:hAnsi="Times New Roman" w:cs="宋体"/>
                <w:sz w:val="24"/>
                <w:szCs w:val="24"/>
              </w:rPr>
            </w:pPr>
            <w:r>
              <w:rPr>
                <w:rFonts w:hint="default"/>
                <w:b/>
                <w:bCs w:val="0"/>
                <w:u w:val="single"/>
              </w:rPr>
              <w:t>由上表可知，沙河关庙杜监测断面各项监测因子均满足《地表水环境质量标准》 （GB3838-2002）III类标准，说明本项目所在区域地表水环境质量较好。</w:t>
            </w:r>
          </w:p>
          <w:p>
            <w:pPr>
              <w:spacing w:line="360" w:lineRule="auto"/>
              <w:jc w:val="left"/>
              <w:rPr>
                <w:rFonts w:ascii="Times New Roman" w:hAnsi="Times New Roman" w:cs="楷体_GB2312"/>
                <w:b/>
                <w:bCs/>
                <w:color w:val="FF0000"/>
                <w:sz w:val="24"/>
              </w:rPr>
            </w:pPr>
            <w:r>
              <w:rPr>
                <w:rFonts w:hint="eastAsia" w:ascii="Times New Roman" w:hAnsi="Times New Roman" w:cs="楷体_GB2312"/>
                <w:b/>
                <w:bCs/>
                <w:sz w:val="24"/>
              </w:rPr>
              <w:t>3、</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水环境质量现状</w:t>
            </w:r>
          </w:p>
          <w:p>
            <w:pPr>
              <w:spacing w:before="156" w:beforeLines="50" w:line="360" w:lineRule="auto"/>
              <w:ind w:firstLine="480" w:firstLineChars="200"/>
              <w:rPr>
                <w:rFonts w:hint="eastAsia" w:ascii="Times New Roman" w:hAnsi="Times New Roman"/>
                <w:color w:val="auto"/>
                <w:sz w:val="24"/>
                <w:szCs w:val="22"/>
              </w:rPr>
            </w:pPr>
            <w:r>
              <w:rPr>
                <w:rFonts w:hint="eastAsia" w:ascii="Times New Roman" w:hAnsi="Times New Roman"/>
                <w:color w:val="auto"/>
                <w:sz w:val="24"/>
                <w:szCs w:val="22"/>
              </w:rPr>
              <w:t>为了了解项目所处区域地下水环境质量现状，引用《</w:t>
            </w:r>
            <w:r>
              <w:rPr>
                <w:rFonts w:hint="eastAsia" w:ascii="Times New Roman" w:hAnsi="Times New Roman"/>
                <w:color w:val="auto"/>
                <w:sz w:val="24"/>
                <w:szCs w:val="22"/>
                <w:lang w:eastAsia="zh-CN"/>
              </w:rPr>
              <w:t>河南高速能源有限责任公司鲁山经营部</w:t>
            </w:r>
            <w:r>
              <w:rPr>
                <w:rFonts w:hint="eastAsia"/>
                <w:color w:val="auto"/>
                <w:sz w:val="24"/>
                <w:szCs w:val="22"/>
                <w:lang w:eastAsia="zh-CN"/>
              </w:rPr>
              <w:t>石人山</w:t>
            </w:r>
            <w:r>
              <w:rPr>
                <w:rFonts w:hint="eastAsia" w:ascii="Times New Roman" w:hAnsi="Times New Roman"/>
                <w:color w:val="auto"/>
                <w:sz w:val="24"/>
                <w:szCs w:val="22"/>
                <w:lang w:eastAsia="zh-CN"/>
              </w:rPr>
              <w:t>服务区北</w:t>
            </w:r>
            <w:r>
              <w:rPr>
                <w:rFonts w:hint="eastAsia" w:ascii="Times New Roman" w:hAnsi="Times New Roman"/>
                <w:color w:val="auto"/>
                <w:sz w:val="24"/>
                <w:szCs w:val="22"/>
              </w:rPr>
              <w:t>加油站地下水检测报告》中加油站水下水井的检测数据（20</w:t>
            </w:r>
            <w:r>
              <w:rPr>
                <w:rFonts w:hint="eastAsia" w:ascii="Times New Roman" w:hAnsi="Times New Roman"/>
                <w:color w:val="auto"/>
                <w:sz w:val="24"/>
                <w:szCs w:val="22"/>
                <w:lang w:val="en-US" w:eastAsia="zh-CN"/>
              </w:rPr>
              <w:t>20</w:t>
            </w:r>
            <w:r>
              <w:rPr>
                <w:rFonts w:hint="eastAsia" w:ascii="Times New Roman" w:hAnsi="Times New Roman"/>
                <w:color w:val="auto"/>
                <w:sz w:val="24"/>
                <w:szCs w:val="22"/>
              </w:rPr>
              <w:t>年</w:t>
            </w:r>
            <w:r>
              <w:rPr>
                <w:rFonts w:hint="eastAsia" w:ascii="Times New Roman" w:hAnsi="Times New Roman"/>
                <w:color w:val="auto"/>
                <w:sz w:val="24"/>
                <w:szCs w:val="22"/>
                <w:lang w:val="en-US" w:eastAsia="zh-CN"/>
              </w:rPr>
              <w:t>08</w:t>
            </w:r>
            <w:r>
              <w:rPr>
                <w:rFonts w:hint="eastAsia" w:ascii="Times New Roman" w:hAnsi="Times New Roman"/>
                <w:color w:val="auto"/>
                <w:sz w:val="24"/>
                <w:szCs w:val="22"/>
              </w:rPr>
              <w:t>月</w:t>
            </w:r>
            <w:r>
              <w:rPr>
                <w:rFonts w:hint="eastAsia"/>
                <w:color w:val="auto"/>
                <w:sz w:val="24"/>
                <w:szCs w:val="22"/>
                <w:lang w:val="en-US" w:eastAsia="zh-CN"/>
              </w:rPr>
              <w:t>15</w:t>
            </w:r>
            <w:r>
              <w:rPr>
                <w:rFonts w:hint="eastAsia" w:ascii="Times New Roman" w:hAnsi="Times New Roman"/>
                <w:color w:val="auto"/>
                <w:sz w:val="24"/>
                <w:szCs w:val="22"/>
              </w:rPr>
              <w:t>日检测）监测结果见表</w:t>
            </w:r>
            <w:r>
              <w:rPr>
                <w:rFonts w:hint="eastAsia" w:ascii="Times New Roman" w:hAnsi="Times New Roman"/>
                <w:color w:val="auto"/>
                <w:sz w:val="24"/>
                <w:szCs w:val="22"/>
                <w:lang w:val="en-US" w:eastAsia="zh-CN"/>
              </w:rPr>
              <w:t>1</w:t>
            </w:r>
            <w:r>
              <w:rPr>
                <w:rFonts w:hint="eastAsia"/>
                <w:color w:val="auto"/>
                <w:sz w:val="24"/>
                <w:szCs w:val="22"/>
                <w:lang w:val="en-US" w:eastAsia="zh-CN"/>
              </w:rPr>
              <w:t>2</w:t>
            </w:r>
            <w:r>
              <w:rPr>
                <w:rFonts w:hint="eastAsia" w:ascii="Times New Roman" w:hAnsi="Times New Roman"/>
                <w:color w:val="auto"/>
                <w:sz w:val="24"/>
                <w:szCs w:val="22"/>
              </w:rPr>
              <w:t>。</w:t>
            </w:r>
          </w:p>
          <w:p>
            <w:pPr>
              <w:bidi w:val="0"/>
              <w:jc w:val="center"/>
              <w:rPr>
                <w:rFonts w:ascii="Times New Roman" w:hAnsi="Times New Roman"/>
                <w:b/>
                <w:color w:val="auto"/>
              </w:rPr>
            </w:pPr>
            <w:r>
              <w:rPr>
                <w:b/>
                <w:bCs/>
              </w:rPr>
              <w:t>表</w:t>
            </w:r>
            <w:r>
              <w:rPr>
                <w:rFonts w:hint="eastAsia"/>
                <w:b/>
                <w:bCs/>
                <w:lang w:val="en-US" w:eastAsia="zh-CN"/>
              </w:rPr>
              <w:t xml:space="preserve">12     </w:t>
            </w:r>
            <w:r>
              <w:rPr>
                <w:b/>
                <w:bCs/>
              </w:rPr>
              <w:t>地下水</w:t>
            </w:r>
            <w:r>
              <w:rPr>
                <w:rFonts w:hint="eastAsia"/>
                <w:b/>
                <w:bCs/>
              </w:rPr>
              <w:t>监</w:t>
            </w:r>
            <w:r>
              <w:rPr>
                <w:b/>
                <w:bCs/>
              </w:rPr>
              <w:t>测</w:t>
            </w:r>
            <w:r>
              <w:rPr>
                <w:rFonts w:hint="eastAsia"/>
                <w:b/>
                <w:bCs/>
              </w:rPr>
              <w:t>单位：mg/L</w:t>
            </w:r>
            <w:r>
              <w:rPr>
                <w:b/>
                <w:bCs/>
              </w:rPr>
              <w:t>（</w:t>
            </w:r>
            <w:r>
              <w:rPr>
                <w:rFonts w:hint="eastAsia"/>
                <w:b/>
                <w:bCs/>
              </w:rPr>
              <w:t>pH除</w:t>
            </w:r>
            <w:r>
              <w:rPr>
                <w:b/>
                <w:bCs/>
              </w:rPr>
              <w:t>外）</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659"/>
              <w:gridCol w:w="413"/>
              <w:gridCol w:w="988"/>
              <w:gridCol w:w="1035"/>
              <w:gridCol w:w="861"/>
              <w:gridCol w:w="938"/>
              <w:gridCol w:w="988"/>
              <w:gridCol w:w="988"/>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检测</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地点</w:t>
                  </w:r>
                </w:p>
              </w:tc>
              <w:tc>
                <w:tcPr>
                  <w:tcW w:w="397"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时间</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pH值</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（无量纲）</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溶解氧</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（mg/L）</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氧化还原电位</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val="en-US" w:eastAsia="zh-CN"/>
                    </w:rPr>
                    <w:t>v</w:t>
                  </w:r>
                  <w:r>
                    <w:rPr>
                      <w:rFonts w:hint="default" w:ascii="Times New Roman" w:hAnsi="Times New Roman" w:eastAsia="宋体" w:cs="Times New Roman"/>
                      <w:sz w:val="21"/>
                      <w:szCs w:val="21"/>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电导率</w:t>
                  </w:r>
                </w:p>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(μS/cm)</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色度</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eastAsia="zh-CN"/>
                    </w:rPr>
                    <w:t>度</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臭</w:t>
                  </w:r>
                  <w:r>
                    <w:rPr>
                      <w:rFonts w:hint="default" w:ascii="Times New Roman" w:hAnsi="Times New Roman" w:eastAsia="宋体" w:cs="Times New Roman"/>
                      <w:sz w:val="21"/>
                      <w:szCs w:val="21"/>
                    </w:rPr>
                    <w:t>和味</w:t>
                  </w:r>
                  <w:r>
                    <w:rPr>
                      <w:rFonts w:hint="default" w:ascii="Times New Roman" w:hAnsi="Times New Roman" w:eastAsia="宋体" w:cs="Times New Roman"/>
                      <w:sz w:val="21"/>
                      <w:szCs w:val="21"/>
                      <w:lang w:eastAsia="zh-CN"/>
                    </w:rPr>
                    <w:t>（级）</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浑浊度</w:t>
                  </w:r>
                </w:p>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restar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地下水</w:t>
                  </w:r>
                </w:p>
                <w:p>
                  <w:pPr>
                    <w:pStyle w:val="11"/>
                    <w:bidi w:val="0"/>
                    <w:jc w:val="center"/>
                    <w:rPr>
                      <w:rFonts w:hint="default" w:ascii="Times New Roman" w:hAnsi="Times New Roman" w:eastAsia="宋体" w:cs="Times New Roman"/>
                      <w:sz w:val="21"/>
                      <w:szCs w:val="21"/>
                      <w:lang w:eastAsia="zh-CN"/>
                    </w:rPr>
                  </w:pPr>
                </w:p>
              </w:tc>
              <w:tc>
                <w:tcPr>
                  <w:tcW w:w="397" w:type="pct"/>
                  <w:vMerge w:val="restar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2020.</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08.03</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7.72</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5.56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130</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329</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7.74</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129</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328</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萘</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甲苯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乙苯</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μg/L</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邻二甲苯（μg/L）</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间</w:t>
                  </w:r>
                  <w:r>
                    <w:rPr>
                      <w:rFonts w:hint="default" w:ascii="Times New Roman" w:hAnsi="Times New Roman" w:eastAsia="宋体" w:cs="Times New Roman"/>
                      <w:sz w:val="21"/>
                      <w:szCs w:val="21"/>
                      <w:lang w:eastAsia="zh-CN"/>
                    </w:rPr>
                    <w:t>，对</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二甲苯（μg/L）</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甲基叔丁基醚</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（μg/L）</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C6-C9挥发性石油烃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C10-C40可萃取性石油烃</w:t>
                  </w:r>
                </w:p>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mg/L</w:t>
                  </w:r>
                  <w:r>
                    <w:rPr>
                      <w:rFonts w:hint="default" w:ascii="Times New Roman" w:hAnsi="Times New Roman" w:eastAsia="宋体" w:cs="Times New Roman"/>
                      <w:sz w:val="21"/>
                      <w:szCs w:val="21"/>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r>
                    <w:rPr>
                      <w:rFonts w:hint="default" w:ascii="Times New Roman" w:hAnsi="Times New Roman" w:eastAsia="宋体" w:cs="Times New Roman"/>
                      <w:sz w:val="21"/>
                      <w:szCs w:val="21"/>
                      <w:lang w:eastAsia="zh-CN"/>
                    </w:rPr>
                    <w:t>二氯乙烷（</w:t>
                  </w:r>
                  <w:r>
                    <w:rPr>
                      <w:rFonts w:hint="default" w:ascii="Times New Roman" w:hAnsi="Times New Roman" w:eastAsia="宋体" w:cs="Times New Roman"/>
                      <w:sz w:val="21"/>
                      <w:szCs w:val="21"/>
                      <w:lang w:val="en-US" w:eastAsia="zh-CN"/>
                    </w:rPr>
                    <w:t>μg/L</w:t>
                  </w:r>
                  <w:r>
                    <w:rPr>
                      <w:rFonts w:hint="default" w:ascii="Times New Roman" w:hAnsi="Times New Roman" w:eastAsia="宋体" w:cs="Times New Roman"/>
                      <w:sz w:val="21"/>
                      <w:szCs w:val="21"/>
                      <w:lang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r>
                    <w:rPr>
                      <w:rFonts w:hint="default" w:ascii="Times New Roman" w:hAnsi="Times New Roman" w:eastAsia="宋体" w:cs="Times New Roman"/>
                      <w:sz w:val="21"/>
                      <w:szCs w:val="21"/>
                      <w:lang w:eastAsia="zh-CN"/>
                    </w:rPr>
                    <w:t>二氯乙烷（</w:t>
                  </w:r>
                  <w:r>
                    <w:rPr>
                      <w:rFonts w:hint="default" w:ascii="Times New Roman" w:hAnsi="Times New Roman" w:eastAsia="宋体" w:cs="Times New Roman"/>
                      <w:sz w:val="21"/>
                      <w:szCs w:val="21"/>
                      <w:lang w:val="en-US" w:eastAsia="zh-CN"/>
                    </w:rPr>
                    <w:t>μg/L</w:t>
                  </w:r>
                  <w:r>
                    <w:rPr>
                      <w:rFonts w:hint="default" w:ascii="Times New Roman" w:hAnsi="Times New Roman" w:eastAsia="宋体" w:cs="Times New Roman"/>
                      <w:sz w:val="21"/>
                      <w:szCs w:val="21"/>
                      <w:lang w:eastAsia="zh-CN"/>
                    </w:rPr>
                    <w:t>）</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sz w:val="21"/>
                      <w:szCs w:val="21"/>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bl>
          <w:p>
            <w:pPr>
              <w:spacing w:before="156" w:beforeLines="50" w:line="360" w:lineRule="auto"/>
              <w:ind w:firstLine="480" w:firstLineChars="200"/>
              <w:rPr>
                <w:rFonts w:ascii="Times New Roman" w:hAnsi="Times New Roman"/>
                <w:sz w:val="24"/>
              </w:rPr>
            </w:pPr>
            <w:r>
              <w:rPr>
                <w:rFonts w:hint="eastAsia" w:ascii="Times New Roman" w:hAnsi="Times New Roman"/>
                <w:sz w:val="24"/>
              </w:rPr>
              <w:t>根据</w:t>
            </w:r>
            <w:r>
              <w:rPr>
                <w:rFonts w:ascii="Times New Roman" w:hAnsi="Times New Roman"/>
                <w:sz w:val="24"/>
              </w:rPr>
              <w:t>表</w:t>
            </w:r>
            <w:r>
              <w:rPr>
                <w:rFonts w:hint="eastAsia" w:ascii="Times New Roman" w:hAnsi="Times New Roman"/>
                <w:sz w:val="24"/>
                <w:lang w:val="en-US" w:eastAsia="zh-CN"/>
              </w:rPr>
              <w:t>1</w:t>
            </w:r>
            <w:r>
              <w:rPr>
                <w:rFonts w:hint="eastAsia"/>
                <w:sz w:val="24"/>
                <w:lang w:val="en-US" w:eastAsia="zh-CN"/>
              </w:rPr>
              <w:t>2</w:t>
            </w:r>
            <w:r>
              <w:rPr>
                <w:rFonts w:hint="eastAsia" w:ascii="Times New Roman" w:hAnsi="Times New Roman"/>
                <w:sz w:val="24"/>
              </w:rPr>
              <w:t>可</w:t>
            </w:r>
            <w:r>
              <w:rPr>
                <w:rFonts w:ascii="Times New Roman" w:hAnsi="Times New Roman"/>
                <w:sz w:val="24"/>
              </w:rPr>
              <w:t>知，</w:t>
            </w:r>
            <w:r>
              <w:rPr>
                <w:rFonts w:hint="eastAsia" w:ascii="Times New Roman" w:hAnsi="Times New Roman"/>
                <w:sz w:val="24"/>
              </w:rPr>
              <w:t>项目区域内的地下水各项监测因子均能满足《地下水质量标准》（</w:t>
            </w:r>
            <w:r>
              <w:rPr>
                <w:rFonts w:hint="eastAsia" w:ascii="Times New Roman" w:hAnsi="Times New Roman"/>
                <w:sz w:val="24"/>
                <w:szCs w:val="22"/>
              </w:rPr>
              <w:t>GB/T14848-2017）Ⅲ类</w:t>
            </w:r>
            <w:r>
              <w:rPr>
                <w:rFonts w:hint="eastAsia" w:ascii="Times New Roman" w:hAnsi="Times New Roman"/>
                <w:sz w:val="24"/>
              </w:rPr>
              <w:t>标准限值的要求，拟建项目</w:t>
            </w:r>
            <w:r>
              <w:rPr>
                <w:rFonts w:ascii="Times New Roman" w:hAnsi="Times New Roman"/>
                <w:sz w:val="24"/>
              </w:rPr>
              <w:t>所在区域地下水环境质量</w:t>
            </w:r>
            <w:r>
              <w:rPr>
                <w:rFonts w:hint="eastAsia" w:ascii="Times New Roman" w:hAnsi="Times New Roman"/>
                <w:sz w:val="24"/>
              </w:rPr>
              <w:t>状况较好</w:t>
            </w:r>
            <w:r>
              <w:rPr>
                <w:rFonts w:ascii="Times New Roman" w:hAnsi="Times New Roman"/>
                <w:sz w:val="24"/>
              </w:rPr>
              <w:t>。</w:t>
            </w:r>
          </w:p>
          <w:p>
            <w:pPr>
              <w:spacing w:line="600" w:lineRule="exact"/>
              <w:ind w:firstLine="482" w:firstLineChars="200"/>
              <w:rPr>
                <w:rFonts w:ascii="Times New Roman" w:hAnsi="Times New Roman"/>
                <w:b/>
                <w:color w:val="000000"/>
                <w:sz w:val="24"/>
              </w:rPr>
            </w:pPr>
            <w:r>
              <w:rPr>
                <w:rFonts w:hint="eastAsia" w:ascii="Times New Roman" w:hAnsi="Times New Roman"/>
                <w:b/>
                <w:color w:val="000000"/>
                <w:sz w:val="24"/>
              </w:rPr>
              <w:t>4</w:t>
            </w:r>
            <w:r>
              <w:rPr>
                <w:rFonts w:ascii="Times New Roman" w:hAnsi="Times New Roman"/>
                <w:b/>
                <w:color w:val="000000"/>
                <w:sz w:val="24"/>
              </w:rPr>
              <w:t>、</w:t>
            </w:r>
            <w:r>
              <w:rPr>
                <w:rFonts w:ascii="Times New Roman" w:hAnsi="Times New Roman"/>
                <w:b/>
                <w:sz w:val="24"/>
              </w:rPr>
              <w:t>声环境</w:t>
            </w:r>
          </w:p>
          <w:p>
            <w:pPr>
              <w:spacing w:line="360" w:lineRule="auto"/>
              <w:ind w:firstLine="480" w:firstLineChars="200"/>
              <w:rPr>
                <w:rFonts w:hint="eastAsia" w:ascii="Times New Roman" w:hAnsi="Times New Roman" w:cs="宋体"/>
                <w:sz w:val="24"/>
                <w:szCs w:val="24"/>
              </w:rPr>
            </w:pPr>
            <w:r>
              <w:rPr>
                <w:rFonts w:ascii="Times New Roman" w:hAnsi="Times New Roman"/>
                <w:color w:val="000000"/>
                <w:sz w:val="24"/>
              </w:rPr>
              <w:t>根据《声环境功能区划分技术规范》</w:t>
            </w:r>
            <w:r>
              <w:rPr>
                <w:rFonts w:hint="eastAsia" w:ascii="Times New Roman" w:hAnsi="Times New Roman"/>
                <w:color w:val="000000"/>
                <w:sz w:val="24"/>
              </w:rPr>
              <w:t>（</w:t>
            </w:r>
            <w:r>
              <w:rPr>
                <w:rFonts w:ascii="Times New Roman" w:hAnsi="Times New Roman"/>
                <w:color w:val="000000"/>
                <w:sz w:val="24"/>
              </w:rPr>
              <w:t>GB/T15190-2014</w:t>
            </w:r>
            <w:r>
              <w:rPr>
                <w:rFonts w:hint="eastAsia" w:ascii="Times New Roman" w:hAnsi="Times New Roman"/>
                <w:color w:val="000000"/>
                <w:sz w:val="24"/>
              </w:rPr>
              <w:t>）</w:t>
            </w:r>
            <w:r>
              <w:rPr>
                <w:rFonts w:ascii="Times New Roman" w:hAnsi="Times New Roman"/>
                <w:color w:val="000000"/>
                <w:sz w:val="24"/>
              </w:rPr>
              <w:t>，本项目</w:t>
            </w:r>
            <w:r>
              <w:rPr>
                <w:rFonts w:hint="eastAsia" w:ascii="Times New Roman" w:hAnsi="Times New Roman" w:eastAsia="宋体"/>
                <w:color w:val="000000"/>
                <w:sz w:val="24"/>
                <w:lang w:eastAsia="zh-CN"/>
              </w:rPr>
              <w:t>为高速公路服务区加油站</w:t>
            </w:r>
            <w:r>
              <w:rPr>
                <w:rFonts w:ascii="Times New Roman" w:hAnsi="Times New Roman"/>
                <w:color w:val="000000"/>
                <w:sz w:val="24"/>
              </w:rPr>
              <w:t>，执行《声环境质量标准》</w:t>
            </w:r>
            <w:r>
              <w:rPr>
                <w:rFonts w:hint="eastAsia" w:ascii="Times New Roman" w:hAnsi="Times New Roman"/>
                <w:color w:val="000000"/>
                <w:sz w:val="24"/>
              </w:rPr>
              <w:t>（</w:t>
            </w:r>
            <w:r>
              <w:rPr>
                <w:rFonts w:ascii="Times New Roman" w:hAnsi="Times New Roman"/>
                <w:color w:val="000000"/>
                <w:sz w:val="24"/>
              </w:rPr>
              <w:t>GB3096－2008</w:t>
            </w:r>
            <w:r>
              <w:rPr>
                <w:rFonts w:hint="eastAsia" w:ascii="Times New Roman" w:hAnsi="Times New Roman"/>
                <w:color w:val="000000"/>
                <w:sz w:val="24"/>
              </w:rPr>
              <w:t>）</w:t>
            </w:r>
            <w:r>
              <w:rPr>
                <w:rFonts w:ascii="Times New Roman" w:hAnsi="Times New Roman"/>
                <w:color w:val="000000"/>
                <w:sz w:val="24"/>
              </w:rPr>
              <w:t>中</w:t>
            </w:r>
            <w:r>
              <w:rPr>
                <w:rFonts w:hint="eastAsia" w:ascii="Times New Roman" w:hAnsi="Times New Roman"/>
                <w:color w:val="000000"/>
                <w:sz w:val="24"/>
                <w:lang w:val="en-US" w:eastAsia="zh-CN"/>
              </w:rPr>
              <w:t>2类</w:t>
            </w:r>
            <w:r>
              <w:rPr>
                <w:rFonts w:hint="eastAsia" w:ascii="Times New Roman" w:hAnsi="Times New Roman" w:eastAsia="宋体"/>
                <w:color w:val="000000"/>
                <w:sz w:val="24"/>
                <w:lang w:val="en-US" w:eastAsia="zh-CN"/>
              </w:rPr>
              <w:t>4a</w:t>
            </w:r>
            <w:r>
              <w:rPr>
                <w:rFonts w:ascii="Times New Roman" w:hAnsi="Times New Roman"/>
                <w:color w:val="000000"/>
                <w:sz w:val="24"/>
              </w:rPr>
              <w:t>类标准，</w:t>
            </w:r>
            <w:r>
              <w:rPr>
                <w:rFonts w:hint="eastAsia" w:ascii="Times New Roman" w:hAnsi="Times New Roman" w:eastAsia="宋体"/>
                <w:color w:val="000000"/>
                <w:sz w:val="24"/>
                <w:lang w:eastAsia="zh-CN"/>
              </w:rPr>
              <w:t>通过对</w:t>
            </w:r>
            <w:r>
              <w:rPr>
                <w:rFonts w:hint="eastAsia" w:ascii="Times New Roman" w:hAnsi="Times New Roman" w:cs="宋体"/>
                <w:sz w:val="24"/>
                <w:szCs w:val="24"/>
              </w:rPr>
              <w:t>本项目四周</w:t>
            </w:r>
            <w:r>
              <w:rPr>
                <w:rFonts w:hint="eastAsia" w:ascii="Times New Roman" w:hAnsi="Times New Roman" w:eastAsia="宋体" w:cs="宋体"/>
                <w:sz w:val="24"/>
                <w:szCs w:val="24"/>
                <w:lang w:eastAsia="zh-CN"/>
              </w:rPr>
              <w:t>噪声实测</w:t>
            </w:r>
            <w:r>
              <w:rPr>
                <w:rFonts w:hint="eastAsia" w:ascii="Times New Roman" w:hAnsi="Times New Roman" w:cs="宋体"/>
                <w:sz w:val="24"/>
                <w:szCs w:val="24"/>
              </w:rPr>
              <w:t>，实测数据见表</w:t>
            </w:r>
            <w:r>
              <w:rPr>
                <w:rFonts w:hint="eastAsia" w:ascii="Times New Roman" w:hAnsi="Times New Roman" w:cs="宋体"/>
                <w:sz w:val="24"/>
                <w:szCs w:val="24"/>
                <w:lang w:val="en-US" w:eastAsia="zh-CN"/>
              </w:rPr>
              <w:t>1</w:t>
            </w:r>
            <w:r>
              <w:rPr>
                <w:rFonts w:hint="eastAsia" w:cs="宋体"/>
                <w:sz w:val="24"/>
                <w:szCs w:val="24"/>
                <w:lang w:val="en-US" w:eastAsia="zh-CN"/>
              </w:rPr>
              <w:t>3</w:t>
            </w:r>
            <w:r>
              <w:rPr>
                <w:rFonts w:hint="eastAsia" w:ascii="Times New Roman" w:hAnsi="Times New Roman" w:cs="宋体"/>
                <w:sz w:val="24"/>
                <w:szCs w:val="24"/>
              </w:rPr>
              <w:t>。</w:t>
            </w:r>
          </w:p>
          <w:p>
            <w:pPr>
              <w:bidi w:val="0"/>
              <w:jc w:val="center"/>
              <w:rPr>
                <w:rFonts w:hint="eastAsia" w:ascii="Times New Roman" w:hAnsi="Times New Roman"/>
              </w:rPr>
            </w:pPr>
            <w:r>
              <w:rPr>
                <w:rFonts w:hint="eastAsia"/>
                <w:b/>
                <w:bCs/>
              </w:rPr>
              <w:t>表</w:t>
            </w:r>
            <w:r>
              <w:rPr>
                <w:rFonts w:hint="eastAsia"/>
                <w:b/>
                <w:bCs/>
                <w:lang w:val="en-US" w:eastAsia="zh-CN"/>
              </w:rPr>
              <w:t xml:space="preserve">13 </w:t>
            </w:r>
            <w:r>
              <w:rPr>
                <w:rFonts w:hint="eastAsia"/>
                <w:b/>
                <w:bCs/>
              </w:rPr>
              <w:t xml:space="preserve"> </w:t>
            </w:r>
            <w:r>
              <w:rPr>
                <w:rFonts w:hint="eastAsia"/>
                <w:b/>
                <w:bCs/>
                <w:lang w:val="en-US" w:eastAsia="zh-CN"/>
              </w:rPr>
              <w:t xml:space="preserve">  </w:t>
            </w:r>
            <w:r>
              <w:rPr>
                <w:rFonts w:hint="eastAsia"/>
                <w:b/>
                <w:bCs/>
              </w:rPr>
              <w:t>厂界周围声环境现状监测结果</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76"/>
              <w:gridCol w:w="2076"/>
              <w:gridCol w:w="1289"/>
              <w:gridCol w:w="1497"/>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1250" w:type="pct"/>
                  <w:vMerge w:val="restart"/>
                  <w:tcBorders>
                    <w:top w:val="single" w:color="auto" w:sz="4" w:space="0"/>
                    <w:left w:val="single" w:color="000000" w:sz="0" w:space="0"/>
                    <w:bottom w:val="single" w:color="auto" w:sz="4" w:space="0"/>
                    <w:right w:val="single" w:color="auto" w:sz="4" w:space="0"/>
                  </w:tcBorders>
                  <w:noWrap w:val="0"/>
                  <w:vAlign w:val="center"/>
                </w:tcPr>
                <w:p>
                  <w:pPr>
                    <w:pStyle w:val="11"/>
                    <w:bidi w:val="0"/>
                    <w:rPr>
                      <w:rFonts w:hint="eastAsia"/>
                    </w:rPr>
                  </w:pPr>
                  <w:r>
                    <w:rPr>
                      <w:rFonts w:hint="eastAsia"/>
                    </w:rPr>
                    <w:t>监测日期</w:t>
                  </w:r>
                </w:p>
              </w:tc>
              <w:tc>
                <w:tcPr>
                  <w:tcW w:w="1250" w:type="pct"/>
                  <w:vMerge w:val="restart"/>
                  <w:tcBorders>
                    <w:top w:val="single" w:color="auto" w:sz="4" w:space="0"/>
                    <w:left w:val="single" w:color="auto" w:sz="4" w:space="0"/>
                    <w:bottom w:val="single" w:color="auto" w:sz="4" w:space="0"/>
                    <w:right w:val="single" w:color="auto" w:sz="4" w:space="0"/>
                  </w:tcBorders>
                  <w:noWrap w:val="0"/>
                  <w:vAlign w:val="center"/>
                </w:tcPr>
                <w:p>
                  <w:pPr>
                    <w:pStyle w:val="11"/>
                    <w:bidi w:val="0"/>
                  </w:pPr>
                  <w:r>
                    <w:t>方位</w:t>
                  </w:r>
                </w:p>
              </w:tc>
              <w:tc>
                <w:tcPr>
                  <w:tcW w:w="1677" w:type="pct"/>
                  <w:gridSpan w:val="2"/>
                  <w:tcBorders>
                    <w:top w:val="single" w:color="auto" w:sz="4" w:space="0"/>
                    <w:left w:val="single" w:color="auto" w:sz="4" w:space="0"/>
                    <w:bottom w:val="single" w:color="auto" w:sz="4" w:space="0"/>
                    <w:right w:val="single" w:color="auto" w:sz="4" w:space="0"/>
                  </w:tcBorders>
                  <w:noWrap w:val="0"/>
                  <w:vAlign w:val="center"/>
                </w:tcPr>
                <w:p>
                  <w:pPr>
                    <w:pStyle w:val="11"/>
                    <w:bidi w:val="0"/>
                  </w:pPr>
                  <w:r>
                    <w:t>测量值</w:t>
                  </w:r>
                </w:p>
              </w:tc>
              <w:tc>
                <w:tcPr>
                  <w:tcW w:w="822" w:type="pct"/>
                  <w:vMerge w:val="restart"/>
                  <w:tcBorders>
                    <w:top w:val="single" w:color="auto" w:sz="4" w:space="0"/>
                    <w:left w:val="single" w:color="auto" w:sz="4" w:space="0"/>
                    <w:right w:val="single" w:color="auto" w:sz="4" w:space="0"/>
                  </w:tcBorders>
                  <w:noWrap w:val="0"/>
                  <w:vAlign w:val="center"/>
                </w:tcPr>
                <w:p>
                  <w:pPr>
                    <w:pStyle w:val="11"/>
                    <w:bidi w:val="0"/>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6" w:hRule="atLeast"/>
                <w:jc w:val="center"/>
              </w:trPr>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1"/>
                    <w:bidi w:val="0"/>
                  </w:pPr>
                </w:p>
              </w:tc>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1"/>
                    <w:bidi w:val="0"/>
                  </w:pP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t>昼间dB(A)</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夜</w:t>
                  </w:r>
                  <w:r>
                    <w:t>间dB(A)</w:t>
                  </w:r>
                </w:p>
              </w:tc>
              <w:tc>
                <w:tcPr>
                  <w:tcW w:w="822" w:type="pct"/>
                  <w:vMerge w:val="continue"/>
                  <w:tcBorders>
                    <w:left w:val="single" w:color="auto" w:sz="4" w:space="0"/>
                    <w:bottom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top w:val="single" w:color="auto" w:sz="4" w:space="0"/>
                    <w:left w:val="single" w:color="auto" w:sz="4" w:space="0"/>
                    <w:right w:val="single" w:color="auto" w:sz="4" w:space="0"/>
                  </w:tcBorders>
                  <w:noWrap w:val="0"/>
                  <w:vAlign w:val="center"/>
                </w:tcPr>
                <w:p>
                  <w:pPr>
                    <w:pStyle w:val="11"/>
                    <w:bidi w:val="0"/>
                    <w:rPr>
                      <w:rFonts w:hint="eastAsia"/>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.28</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51</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42</w:t>
                  </w:r>
                </w:p>
              </w:tc>
              <w:tc>
                <w:tcPr>
                  <w:tcW w:w="822" w:type="pct"/>
                  <w:vMerge w:val="restart"/>
                  <w:tcBorders>
                    <w:top w:val="single" w:color="auto" w:sz="4" w:space="0"/>
                    <w:left w:val="single" w:color="auto" w:sz="4" w:space="0"/>
                    <w:right w:val="single" w:color="auto" w:sz="4" w:space="0"/>
                  </w:tcBorders>
                  <w:noWrap w:val="0"/>
                  <w:vAlign w:val="center"/>
                </w:tcPr>
                <w:p>
                  <w:pPr>
                    <w:pStyle w:val="11"/>
                    <w:bidi w:val="0"/>
                    <w:rPr>
                      <w:rFonts w:hint="eastAsia"/>
                      <w:lang w:val="en-US" w:eastAsia="zh-CN"/>
                    </w:rPr>
                  </w:pPr>
                  <w:r>
                    <w:rPr>
                      <w:rFonts w:hint="eastAsia"/>
                      <w:lang w:val="en-US" w:eastAsia="zh-CN"/>
                    </w:rPr>
                    <w:t>2类：昼间60</w:t>
                  </w:r>
                  <w:r>
                    <w:rPr>
                      <w:rFonts w:hint="eastAsia"/>
                    </w:rPr>
                    <w:t>dB(A)、</w:t>
                  </w:r>
                  <w:r>
                    <w:rPr>
                      <w:rFonts w:hint="eastAsia"/>
                      <w:lang w:val="en-US" w:eastAsia="zh-CN"/>
                    </w:rPr>
                    <w:t>夜间50</w:t>
                  </w:r>
                  <w:r>
                    <w:rPr>
                      <w:rFonts w:hint="eastAsia"/>
                    </w:rPr>
                    <w:t>dB(A)、</w:t>
                  </w:r>
                </w:p>
                <w:p>
                  <w:pPr>
                    <w:pStyle w:val="11"/>
                    <w:bidi w:val="0"/>
                    <w:rPr>
                      <w:rFonts w:hint="eastAsia"/>
                    </w:rPr>
                  </w:pPr>
                  <w:r>
                    <w:rPr>
                      <w:rFonts w:hint="eastAsia"/>
                    </w:rPr>
                    <w:t>4a类：昼间70dB(A)、夜间55dB(A)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45</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left w:val="single" w:color="auto" w:sz="4" w:space="0"/>
                    <w:right w:val="single" w:color="auto" w:sz="4" w:space="0"/>
                  </w:tcBorders>
                  <w:noWrap w:val="0"/>
                  <w:vAlign w:val="center"/>
                </w:tcPr>
                <w:p>
                  <w:pPr>
                    <w:pStyle w:val="11"/>
                    <w:bidi w:val="0"/>
                    <w:rPr>
                      <w:rFonts w:hint="eastAsia"/>
                      <w:lang w:val="en-US" w:eastAsia="zh-CN"/>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w:t>
                  </w:r>
                  <w:r>
                    <w:rPr>
                      <w:rFonts w:hint="eastAsia"/>
                      <w:lang w:val="en-US" w:eastAsia="zh-CN"/>
                    </w:rPr>
                    <w:t>9</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50</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54</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bottom w:val="single" w:color="auto" w:sz="4" w:space="0"/>
                    <w:right w:val="single" w:color="auto" w:sz="4" w:space="0"/>
                  </w:tcBorders>
                  <w:noWrap w:val="0"/>
                  <w:vAlign w:val="center"/>
                </w:tcPr>
                <w:p>
                  <w:pPr>
                    <w:pStyle w:val="11"/>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1"/>
                    <w:bidi w:val="0"/>
                    <w:rPr>
                      <w:rFonts w:hint="eastAsia"/>
                    </w:rPr>
                  </w:pPr>
                  <w:r>
                    <w:rPr>
                      <w:rFonts w:hint="eastAsia"/>
                    </w:rPr>
                    <w:t>43</w:t>
                  </w:r>
                </w:p>
              </w:tc>
              <w:tc>
                <w:tcPr>
                  <w:tcW w:w="822" w:type="pct"/>
                  <w:vMerge w:val="continue"/>
                  <w:tcBorders>
                    <w:left w:val="single" w:color="auto" w:sz="4" w:space="0"/>
                    <w:bottom w:val="single" w:color="auto" w:sz="4" w:space="0"/>
                    <w:right w:val="single" w:color="auto" w:sz="4" w:space="0"/>
                  </w:tcBorders>
                  <w:noWrap w:val="0"/>
                  <w:vAlign w:val="center"/>
                </w:tcPr>
                <w:p>
                  <w:pPr>
                    <w:pStyle w:val="11"/>
                    <w:bidi w:val="0"/>
                  </w:pPr>
                </w:p>
              </w:tc>
            </w:tr>
          </w:tbl>
          <w:p>
            <w:pPr>
              <w:tabs>
                <w:tab w:val="left" w:pos="6165"/>
              </w:tabs>
              <w:spacing w:line="600" w:lineRule="exact"/>
              <w:ind w:firstLine="480" w:firstLineChars="200"/>
              <w:rPr>
                <w:rFonts w:ascii="Times New Roman" w:hAnsi="Times New Roman"/>
                <w:sz w:val="24"/>
              </w:rPr>
            </w:pPr>
            <w:r>
              <w:rPr>
                <w:rFonts w:hint="eastAsia" w:ascii="Times New Roman" w:hAnsi="Times New Roman"/>
                <w:sz w:val="24"/>
              </w:rPr>
              <w:t>由上表可以看出，项目厂址</w:t>
            </w:r>
            <w:r>
              <w:rPr>
                <w:rFonts w:hint="eastAsia" w:ascii="Times New Roman" w:hAnsi="Times New Roman"/>
                <w:sz w:val="24"/>
                <w:lang w:eastAsia="zh-CN"/>
              </w:rPr>
              <w:t>南厂界</w:t>
            </w:r>
            <w:r>
              <w:rPr>
                <w:rFonts w:ascii="Times New Roman" w:hAnsi="Times New Roman"/>
                <w:sz w:val="24"/>
              </w:rPr>
              <w:t>满足《声环境质量标准》（GB3096-2008）</w:t>
            </w:r>
            <w:r>
              <w:rPr>
                <w:rFonts w:hint="eastAsia" w:ascii="Times New Roman" w:hAnsi="Times New Roman"/>
                <w:sz w:val="24"/>
              </w:rPr>
              <w:t>4a</w:t>
            </w:r>
            <w:r>
              <w:rPr>
                <w:rFonts w:ascii="Times New Roman" w:hAnsi="Times New Roman"/>
                <w:sz w:val="24"/>
              </w:rPr>
              <w:t>类标准（昼间</w:t>
            </w:r>
            <w:r>
              <w:rPr>
                <w:rFonts w:hint="eastAsia" w:ascii="Times New Roman" w:hAnsi="Times New Roman"/>
                <w:sz w:val="24"/>
              </w:rPr>
              <w:t>70</w:t>
            </w:r>
            <w:r>
              <w:rPr>
                <w:rFonts w:ascii="Times New Roman" w:hAnsi="Times New Roman"/>
                <w:sz w:val="24"/>
              </w:rPr>
              <w:t>dB(A)、夜间</w:t>
            </w:r>
            <w:r>
              <w:rPr>
                <w:rFonts w:hint="eastAsia" w:ascii="Times New Roman" w:hAnsi="Times New Roman"/>
                <w:sz w:val="24"/>
              </w:rPr>
              <w:t>55</w:t>
            </w:r>
            <w:r>
              <w:rPr>
                <w:rFonts w:ascii="Times New Roman" w:hAnsi="Times New Roman"/>
                <w:sz w:val="24"/>
              </w:rPr>
              <w:t>dB(A)）</w:t>
            </w:r>
            <w:r>
              <w:rPr>
                <w:rFonts w:hint="eastAsia" w:ascii="Times New Roman" w:hAnsi="Times New Roman"/>
                <w:sz w:val="24"/>
                <w:lang w:eastAsia="zh-CN"/>
              </w:rPr>
              <w:t>；</w:t>
            </w:r>
            <w:r>
              <w:rPr>
                <w:rFonts w:hint="eastAsia" w:ascii="Times New Roman" w:hAnsi="Times New Roman" w:eastAsia="宋体"/>
                <w:sz w:val="24"/>
                <w:lang w:eastAsia="zh-CN"/>
              </w:rPr>
              <w:t>东、南</w:t>
            </w:r>
            <w:r>
              <w:rPr>
                <w:rFonts w:hint="eastAsia" w:ascii="Times New Roman" w:hAnsi="Times New Roman"/>
                <w:sz w:val="24"/>
              </w:rPr>
              <w:t>、西、北厂界</w:t>
            </w:r>
            <w:r>
              <w:rPr>
                <w:rFonts w:ascii="Times New Roman" w:hAnsi="Times New Roman"/>
                <w:sz w:val="24"/>
              </w:rPr>
              <w:t>满足《声环境质量标准》（GB3096-2008）</w:t>
            </w:r>
            <w:r>
              <w:rPr>
                <w:rFonts w:hint="eastAsia" w:ascii="Times New Roman" w:hAnsi="Times New Roman"/>
                <w:sz w:val="24"/>
                <w:lang w:val="en-US" w:eastAsia="zh-CN"/>
              </w:rPr>
              <w:t>2</w:t>
            </w:r>
            <w:r>
              <w:rPr>
                <w:rFonts w:ascii="Times New Roman" w:hAnsi="Times New Roman"/>
                <w:sz w:val="24"/>
              </w:rPr>
              <w:t>类标准（昼间</w:t>
            </w:r>
            <w:r>
              <w:rPr>
                <w:rFonts w:hint="eastAsia" w:ascii="Times New Roman" w:hAnsi="Times New Roman"/>
                <w:sz w:val="24"/>
                <w:lang w:val="en-US" w:eastAsia="zh-CN"/>
              </w:rPr>
              <w:t>60</w:t>
            </w:r>
            <w:r>
              <w:rPr>
                <w:rFonts w:ascii="Times New Roman" w:hAnsi="Times New Roman"/>
                <w:sz w:val="24"/>
              </w:rPr>
              <w:t>dB(A)、夜间</w:t>
            </w:r>
            <w:r>
              <w:rPr>
                <w:rFonts w:hint="eastAsia" w:ascii="Times New Roman" w:hAnsi="Times New Roman"/>
                <w:sz w:val="24"/>
              </w:rPr>
              <w:t>5</w:t>
            </w:r>
            <w:r>
              <w:rPr>
                <w:rFonts w:hint="eastAsia" w:ascii="Times New Roman" w:hAnsi="Times New Roman"/>
                <w:sz w:val="24"/>
                <w:lang w:val="en-US" w:eastAsia="zh-CN"/>
              </w:rPr>
              <w:t>0</w:t>
            </w:r>
            <w:r>
              <w:rPr>
                <w:rFonts w:ascii="Times New Roman" w:hAnsi="Times New Roman"/>
                <w:sz w:val="24"/>
              </w:rPr>
              <w:t>dB(A)）。</w:t>
            </w:r>
          </w:p>
          <w:p>
            <w:pPr>
              <w:tabs>
                <w:tab w:val="left" w:pos="6165"/>
              </w:tabs>
              <w:spacing w:line="600" w:lineRule="exact"/>
              <w:ind w:firstLine="482" w:firstLineChars="200"/>
              <w:rPr>
                <w:rFonts w:ascii="Times New Roman" w:hAnsi="Times New Roman"/>
                <w:b/>
                <w:color w:val="000000"/>
                <w:sz w:val="24"/>
              </w:rPr>
            </w:pPr>
            <w:r>
              <w:rPr>
                <w:rFonts w:hint="eastAsia"/>
                <w:b/>
                <w:color w:val="000000"/>
                <w:sz w:val="24"/>
                <w:lang w:val="en-US" w:eastAsia="zh-CN"/>
              </w:rPr>
              <w:t>5</w:t>
            </w:r>
            <w:r>
              <w:rPr>
                <w:rFonts w:ascii="Times New Roman" w:hAnsi="Times New Roman"/>
                <w:b/>
                <w:color w:val="000000"/>
                <w:sz w:val="24"/>
              </w:rPr>
              <w:t>、生态环境</w:t>
            </w:r>
          </w:p>
          <w:p>
            <w:pPr>
              <w:spacing w:line="600" w:lineRule="exact"/>
              <w:ind w:firstLine="480" w:firstLineChars="200"/>
              <w:rPr>
                <w:rFonts w:ascii="Times New Roman" w:hAnsi="Times New Roman"/>
                <w:color w:val="000000"/>
                <w:sz w:val="24"/>
              </w:rPr>
            </w:pPr>
            <w:r>
              <w:rPr>
                <w:rFonts w:ascii="Times New Roman" w:hAnsi="Times New Roman"/>
                <w:color w:val="000000"/>
                <w:sz w:val="24"/>
              </w:rPr>
              <w:t>由于长期人为活动和自然条件的影响，区域天然植被</w:t>
            </w:r>
            <w:r>
              <w:rPr>
                <w:rFonts w:hint="eastAsia" w:ascii="Times New Roman" w:hAnsi="Times New Roman"/>
                <w:color w:val="000000"/>
                <w:sz w:val="24"/>
              </w:rPr>
              <w:t>很少</w:t>
            </w:r>
            <w:r>
              <w:rPr>
                <w:rFonts w:ascii="Times New Roman" w:hAnsi="Times New Roman"/>
                <w:color w:val="000000"/>
                <w:sz w:val="24"/>
              </w:rPr>
              <w:t>，以人工种植植物为主，区域内未发现珍稀动物存在，附近无自然生态保护区。</w:t>
            </w:r>
          </w:p>
          <w:p>
            <w:pPr>
              <w:pStyle w:val="3"/>
              <w:rPr>
                <w:rFonts w:ascii="Times New Roman" w:hAnsi="Times New Roman"/>
                <w:color w:val="000000"/>
                <w:sz w:val="24"/>
              </w:rPr>
            </w:pPr>
          </w:p>
          <w:p>
            <w:pPr>
              <w:pStyle w:val="31"/>
              <w:rPr>
                <w:rFonts w:ascii="Times New Roman" w:hAnsi="Times New Roman"/>
              </w:rPr>
            </w:pPr>
          </w:p>
          <w:p>
            <w:pPr>
              <w:adjustRightInd w:val="0"/>
              <w:snapToGrid w:val="0"/>
              <w:spacing w:line="500" w:lineRule="exact"/>
              <w:ind w:firstLine="0" w:firstLineChars="0"/>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8436" w:type="dxa"/>
          </w:tcPr>
          <w:p>
            <w:pPr>
              <w:adjustRightInd w:val="0"/>
              <w:snapToGrid w:val="0"/>
              <w:spacing w:line="500" w:lineRule="exact"/>
              <w:ind w:firstLine="0" w:firstLineChars="0"/>
              <w:rPr>
                <w:rFonts w:ascii="Times New Roman" w:hAnsi="Times New Roman" w:eastAsia="宋体" w:cs="Times New Roman"/>
                <w:b/>
                <w:bCs/>
                <w:sz w:val="24"/>
                <w:szCs w:val="24"/>
              </w:rPr>
            </w:pPr>
            <w:bookmarkStart w:id="10" w:name="_Toc256177431"/>
            <w:bookmarkStart w:id="11" w:name="_Toc168387859"/>
            <w:bookmarkStart w:id="12" w:name="_Toc257241226"/>
            <w:r>
              <w:rPr>
                <w:rFonts w:ascii="Times New Roman" w:hAnsi="Times New Roman" w:eastAsia="宋体" w:cs="Times New Roman"/>
                <w:b/>
                <w:bCs/>
                <w:sz w:val="24"/>
                <w:szCs w:val="24"/>
              </w:rPr>
              <w:t>主要环境保护目标（列出名单及保护级别）</w:t>
            </w:r>
            <w:r>
              <w:rPr>
                <w:rFonts w:hint="eastAsia" w:ascii="Times New Roman" w:hAnsi="Times New Roman" w:eastAsia="宋体" w:cs="Times New Roman"/>
                <w:b/>
                <w:bCs/>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
                <w:sz w:val="21"/>
                <w:szCs w:val="21"/>
              </w:rPr>
            </w:pPr>
            <w:r>
              <w:rPr>
                <w:rFonts w:ascii="Times New Roman" w:hAnsi="Times New Roman" w:eastAsia="宋体" w:cs="Times New Roman"/>
                <w:sz w:val="24"/>
                <w:szCs w:val="20"/>
              </w:rPr>
              <w:t>主要环境保护目标见表</w:t>
            </w:r>
            <w:r>
              <w:rPr>
                <w:rFonts w:hint="eastAsia" w:ascii="Times New Roman" w:hAnsi="Times New Roman" w:eastAsia="宋体" w:cs="Times New Roman"/>
                <w:sz w:val="24"/>
                <w:szCs w:val="20"/>
              </w:rPr>
              <w:t>1</w:t>
            </w:r>
            <w:r>
              <w:rPr>
                <w:rFonts w:hint="eastAsia" w:cs="Times New Roman"/>
                <w:sz w:val="24"/>
                <w:szCs w:val="20"/>
                <w:lang w:val="en-US" w:eastAsia="zh-CN"/>
              </w:rPr>
              <w:t>4</w:t>
            </w:r>
            <w:r>
              <w:rPr>
                <w:rFonts w:ascii="Times New Roman" w:hAnsi="Times New Roman" w:eastAsia="宋体" w:cs="Times New Roman"/>
                <w:sz w:val="24"/>
                <w:szCs w:val="20"/>
              </w:rPr>
              <w:t>所示。</w:t>
            </w:r>
          </w:p>
          <w:p>
            <w:pPr>
              <w:bidi w:val="0"/>
              <w:jc w:val="center"/>
              <w:rPr>
                <w:rFonts w:ascii="Times New Roman" w:hAnsi="Times New Roman" w:eastAsia="宋体" w:cs="Times New Roman"/>
                <w:b/>
                <w:bCs/>
                <w:szCs w:val="24"/>
                <w:u w:val="single"/>
              </w:rPr>
            </w:pPr>
            <w:r>
              <w:rPr>
                <w:rFonts w:hint="eastAsia"/>
                <w:b/>
                <w:bCs/>
                <w:u w:val="single"/>
                <w:lang w:val="en-US" w:eastAsia="zh-CN"/>
              </w:rPr>
              <w:t>表14   主要环境保护目标</w:t>
            </w:r>
          </w:p>
          <w:tbl>
            <w:tblPr>
              <w:tblStyle w:val="22"/>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方位/规模</w:t>
                  </w:r>
                </w:p>
              </w:tc>
              <w:tc>
                <w:tcPr>
                  <w:tcW w:w="840"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距离</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cs="Times New Roman"/>
                      <w:b/>
                      <w:bCs/>
                      <w:sz w:val="21"/>
                      <w:szCs w:val="21"/>
                      <w:u w:val="single"/>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N</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170</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《地表水环境质量标准》（GB3838-2002）</w:t>
                  </w:r>
                  <w:r>
                    <w:rPr>
                      <w:rFonts w:hint="default"/>
                      <w:b/>
                      <w:bCs/>
                      <w:sz w:val="21"/>
                      <w:szCs w:val="21"/>
                      <w:u w:val="single"/>
                    </w:rPr>
                    <w:t>III</w:t>
                  </w:r>
                  <w:r>
                    <w:rPr>
                      <w:rFonts w:ascii="Times New Roman" w:hAnsi="Times New Roman" w:eastAsia="宋体" w:cs="Times New Roman"/>
                      <w:b/>
                      <w:bCs/>
                      <w:color w:val="000000" w:themeColor="text1"/>
                      <w:sz w:val="21"/>
                      <w:szCs w:val="21"/>
                      <w:u w:val="single"/>
                      <w14:textFill>
                        <w14:solidFill>
                          <w14:schemeClr w14:val="tx1"/>
                        </w14:solidFill>
                      </w14:textFill>
                    </w:rPr>
                    <w:t>类标</w:t>
                  </w:r>
                  <w:r>
                    <w:rPr>
                      <w:rFonts w:ascii="Times New Roman" w:hAnsi="Times New Roman" w:eastAsia="宋体" w:cs="Times New Roman"/>
                      <w:b/>
                      <w:bCs/>
                      <w:sz w:val="21"/>
                      <w:szCs w:val="21"/>
                      <w:u w:val="single"/>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环境空气</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cs="Times New Roman"/>
                      <w:b/>
                      <w:bCs/>
                      <w:sz w:val="21"/>
                      <w:szCs w:val="21"/>
                      <w:u w:val="single"/>
                      <w:lang w:eastAsia="zh-CN"/>
                    </w:rPr>
                    <w:t>赵庄镇</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SE</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330</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b/>
                      <w:bCs/>
                      <w:sz w:val="21"/>
                      <w:szCs w:val="21"/>
                      <w:u w:val="single"/>
                    </w:rPr>
                  </w:pPr>
                  <w:r>
                    <w:rPr>
                      <w:rFonts w:ascii="Times New Roman" w:hAnsi="Times New Roman" w:eastAsia="宋体" w:cs="Times New Roman"/>
                      <w:b/>
                      <w:bCs/>
                      <w:color w:val="000000"/>
                      <w:spacing w:val="-4"/>
                      <w:sz w:val="21"/>
                      <w:szCs w:val="21"/>
                      <w:u w:val="single"/>
                    </w:rPr>
                    <w:t>《环境空气质量标准》</w:t>
                  </w:r>
                  <w:r>
                    <w:rPr>
                      <w:rFonts w:ascii="Times New Roman" w:hAnsi="Times New Roman" w:eastAsia="宋体" w:cs="Times New Roman"/>
                      <w:b/>
                      <w:bCs/>
                      <w:color w:val="000000"/>
                      <w:sz w:val="21"/>
                      <w:szCs w:val="21"/>
                      <w:u w:val="single"/>
                    </w:rPr>
                    <w:t>（GB3095-2012）</w:t>
                  </w:r>
                  <w:r>
                    <w:rPr>
                      <w:rFonts w:ascii="Times New Roman" w:hAnsi="Times New Roman" w:eastAsia="宋体" w:cs="Times New Roman"/>
                      <w:b/>
                      <w:bCs/>
                      <w:sz w:val="21"/>
                      <w:szCs w:val="21"/>
                      <w:u w:val="single"/>
                    </w:rPr>
                    <w:t>II</w:t>
                  </w:r>
                  <w:r>
                    <w:rPr>
                      <w:rFonts w:ascii="Times New Roman" w:hAnsi="Times New Roman" w:eastAsia="宋体" w:cs="Times New Roman"/>
                      <w:b/>
                      <w:bCs/>
                      <w:color w:val="000000"/>
                      <w:sz w:val="21"/>
                      <w:szCs w:val="21"/>
                      <w:u w:val="single"/>
                    </w:rPr>
                    <w:t>级</w:t>
                  </w:r>
                  <w:r>
                    <w:rPr>
                      <w:rFonts w:hint="eastAsia" w:ascii="Times New Roman" w:hAnsi="Times New Roman" w:eastAsia="宋体" w:cs="Times New Roman"/>
                      <w:b/>
                      <w:bCs/>
                      <w:color w:val="000000"/>
                      <w:sz w:val="21"/>
                      <w:szCs w:val="21"/>
                      <w:u w:val="single"/>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徐家村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kern w:val="0"/>
                      <w:sz w:val="21"/>
                      <w:szCs w:val="21"/>
                      <w:u w:val="single"/>
                      <w:lang w:val="en-US" w:eastAsia="zh-CN" w:bidi="ar-SA"/>
                    </w:rPr>
                    <w:t>SW</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kern w:val="0"/>
                      <w:sz w:val="21"/>
                      <w:szCs w:val="21"/>
                      <w:u w:val="single"/>
                      <w:lang w:val="en-US" w:eastAsia="zh-CN" w:bidi="ar-SA"/>
                    </w:rPr>
                    <w:t>625</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iCs/>
                      <w:color w:val="000000" w:themeColor="text1"/>
                      <w:sz w:val="21"/>
                      <w:szCs w:val="21"/>
                      <w:u w:val="single"/>
                      <w:lang w:eastAsia="zh-CN"/>
                      <w14:textFill>
                        <w14:solidFill>
                          <w14:schemeClr w14:val="tx1"/>
                        </w14:solidFill>
                      </w14:textFill>
                    </w:rPr>
                    <w:t>上汤村</w:t>
                  </w:r>
                </w:p>
              </w:tc>
              <w:tc>
                <w:tcPr>
                  <w:tcW w:w="1122" w:type="dxa"/>
                  <w:vAlign w:val="center"/>
                </w:tcPr>
                <w:p>
                  <w:pPr>
                    <w:adjustRightInd w:val="0"/>
                    <w:snapToGrid w:val="0"/>
                    <w:spacing w:line="240" w:lineRule="auto"/>
                    <w:ind w:firstLine="0" w:firstLineChars="0"/>
                    <w:jc w:val="center"/>
                    <w:rPr>
                      <w:rFonts w:hint="eastAsia" w:cs="Times New Roman"/>
                      <w:b/>
                      <w:bCs/>
                      <w:sz w:val="21"/>
                      <w:szCs w:val="21"/>
                      <w:u w:val="single"/>
                      <w:lang w:val="en-US" w:eastAsia="zh-CN"/>
                    </w:rPr>
                  </w:pPr>
                  <w:r>
                    <w:rPr>
                      <w:rFonts w:hint="eastAsia" w:cs="Times New Roman"/>
                      <w:b/>
                      <w:bCs/>
                      <w:sz w:val="21"/>
                      <w:szCs w:val="21"/>
                      <w:u w:val="single"/>
                      <w:lang w:val="en-US" w:eastAsia="zh-CN"/>
                    </w:rPr>
                    <w:t>W</w:t>
                  </w:r>
                </w:p>
              </w:tc>
              <w:tc>
                <w:tcPr>
                  <w:tcW w:w="840" w:type="dxa"/>
                  <w:vAlign w:val="center"/>
                </w:tcPr>
                <w:p>
                  <w:pPr>
                    <w:adjustRightInd w:val="0"/>
                    <w:snapToGrid w:val="0"/>
                    <w:spacing w:line="240" w:lineRule="auto"/>
                    <w:ind w:firstLine="0" w:firstLineChars="0"/>
                    <w:jc w:val="center"/>
                    <w:rPr>
                      <w:rFonts w:hint="eastAsia" w:cs="Times New Roman"/>
                      <w:b/>
                      <w:bCs/>
                      <w:sz w:val="21"/>
                      <w:szCs w:val="21"/>
                      <w:u w:val="single"/>
                      <w:lang w:val="en-US" w:eastAsia="zh-CN"/>
                    </w:rPr>
                  </w:pPr>
                  <w:r>
                    <w:rPr>
                      <w:rFonts w:hint="eastAsia" w:cs="Times New Roman"/>
                      <w:b/>
                      <w:bCs/>
                      <w:sz w:val="21"/>
                      <w:szCs w:val="21"/>
                      <w:u w:val="single"/>
                      <w:lang w:val="en-US" w:eastAsia="zh-CN"/>
                    </w:rPr>
                    <w:t>1233</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桑盘村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N</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cs="Times New Roman"/>
                      <w:b/>
                      <w:bCs/>
                      <w:kern w:val="0"/>
                      <w:sz w:val="21"/>
                      <w:szCs w:val="21"/>
                      <w:u w:val="single"/>
                      <w:lang w:val="en-US" w:eastAsia="zh-CN" w:bidi="ar-SA"/>
                    </w:rPr>
                    <w:t>1987</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宁家村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cs="Times New Roman"/>
                      <w:b/>
                      <w:bCs/>
                      <w:kern w:val="0"/>
                      <w:sz w:val="21"/>
                      <w:szCs w:val="21"/>
                      <w:u w:val="single"/>
                      <w:lang w:val="en-US" w:eastAsia="zh-CN" w:bidi="ar-SA"/>
                    </w:rPr>
                    <w:t>SE</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cs="Times New Roman"/>
                      <w:b/>
                      <w:bCs/>
                      <w:kern w:val="0"/>
                      <w:sz w:val="21"/>
                      <w:szCs w:val="21"/>
                      <w:u w:val="single"/>
                      <w:lang w:val="en-US" w:eastAsia="zh-CN" w:bidi="ar-SA"/>
                    </w:rPr>
                    <w:t>2030</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ascii="Times New Roman" w:hAnsi="Times New Roman" w:eastAsia="宋体" w:cs="Times New Roman"/>
                      <w:b/>
                      <w:bCs/>
                      <w:sz w:val="21"/>
                      <w:szCs w:val="21"/>
                      <w:u w:val="single"/>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iCs/>
                      <w:color w:val="000000" w:themeColor="text1"/>
                      <w:sz w:val="21"/>
                      <w:szCs w:val="21"/>
                      <w:u w:val="single"/>
                      <w:lang w:eastAsia="zh-CN"/>
                      <w14:textFill>
                        <w14:solidFill>
                          <w14:schemeClr w14:val="tx1"/>
                        </w14:solidFill>
                      </w14:textFill>
                    </w:rPr>
                  </w:pPr>
                  <w:r>
                    <w:rPr>
                      <w:rFonts w:hint="eastAsia" w:cs="Times New Roman"/>
                      <w:b/>
                      <w:bCs/>
                      <w:iCs/>
                      <w:color w:val="000000" w:themeColor="text1"/>
                      <w:sz w:val="21"/>
                      <w:szCs w:val="21"/>
                      <w:u w:val="single"/>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b/>
                      <w:bCs/>
                      <w:color w:val="000000"/>
                      <w:sz w:val="21"/>
                      <w:szCs w:val="21"/>
                      <w:u w:val="single"/>
                      <w:lang w:val="en-US" w:eastAsia="zh-CN"/>
                    </w:rPr>
                  </w:pPr>
                  <w:r>
                    <w:rPr>
                      <w:rFonts w:ascii="Times New Roman" w:hAnsi="Times New Roman" w:eastAsia="宋体" w:cs="Times New Roman"/>
                      <w:b/>
                      <w:bCs/>
                      <w:color w:val="000000"/>
                      <w:sz w:val="21"/>
                      <w:szCs w:val="21"/>
                      <w:u w:val="single"/>
                    </w:rPr>
                    <w:t>《声环境质量标准》（GB3096-2008）</w:t>
                  </w:r>
                  <w:r>
                    <w:rPr>
                      <w:rFonts w:hint="eastAsia" w:ascii="Times New Roman" w:hAnsi="Times New Roman" w:eastAsia="宋体" w:cs="Times New Roman"/>
                      <w:b/>
                      <w:bCs/>
                      <w:color w:val="000000"/>
                      <w:sz w:val="21"/>
                      <w:szCs w:val="21"/>
                      <w:u w:val="single"/>
                    </w:rPr>
                    <w:t>2</w:t>
                  </w:r>
                  <w:r>
                    <w:rPr>
                      <w:rFonts w:ascii="Times New Roman" w:hAnsi="Times New Roman" w:eastAsia="宋体" w:cs="Times New Roman"/>
                      <w:b/>
                      <w:bCs/>
                      <w:color w:val="000000"/>
                      <w:sz w:val="21"/>
                      <w:szCs w:val="21"/>
                      <w:u w:val="single"/>
                    </w:rPr>
                    <w:t>类</w:t>
                  </w:r>
                  <w:r>
                    <w:rPr>
                      <w:rFonts w:hint="eastAsia" w:ascii="Times New Roman" w:hAnsi="Times New Roman" w:eastAsia="宋体" w:cs="Times New Roman"/>
                      <w:b/>
                      <w:bCs/>
                      <w:color w:val="000000"/>
                      <w:sz w:val="21"/>
                      <w:szCs w:val="21"/>
                      <w:u w:val="single"/>
                      <w:lang w:eastAsia="zh-CN"/>
                    </w:rPr>
                    <w:t>和</w:t>
                  </w:r>
                  <w:r>
                    <w:rPr>
                      <w:rFonts w:hint="eastAsia" w:ascii="Times New Roman" w:hAnsi="Times New Roman" w:eastAsia="宋体" w:cs="Times New Roman"/>
                      <w:b/>
                      <w:bCs/>
                      <w:color w:val="000000"/>
                      <w:sz w:val="21"/>
                      <w:szCs w:val="21"/>
                      <w:u w:val="single"/>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《地下水质量标准》（GB/T14848-</w:t>
                  </w:r>
                  <w:r>
                    <w:rPr>
                      <w:rFonts w:hint="eastAsia" w:ascii="Times New Roman" w:hAnsi="Times New Roman" w:eastAsia="宋体" w:cs="Times New Roman"/>
                      <w:b/>
                      <w:bCs/>
                      <w:sz w:val="21"/>
                      <w:szCs w:val="21"/>
                      <w:u w:val="single"/>
                    </w:rPr>
                    <w:t>2017</w:t>
                  </w:r>
                  <w:r>
                    <w:rPr>
                      <w:rFonts w:ascii="Times New Roman" w:hAnsi="Times New Roman" w:eastAsia="宋体" w:cs="Times New Roman"/>
                      <w:b/>
                      <w:bCs/>
                      <w:sz w:val="21"/>
                      <w:szCs w:val="21"/>
                      <w:u w:val="single"/>
                    </w:rPr>
                    <w:t>）III类标准</w:t>
                  </w:r>
                </w:p>
              </w:tc>
            </w:tr>
          </w:tbl>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ind w:left="0" w:leftChars="0" w:firstLine="0" w:firstLineChars="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评价适用标准</w:t>
      </w:r>
      <w:bookmarkEnd w:id="10"/>
      <w:bookmarkEnd w:id="11"/>
      <w:bookmarkEnd w:id="12"/>
    </w:p>
    <w:tbl>
      <w:tblPr>
        <w:tblStyle w:val="22"/>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7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76"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环境质量标准</w:t>
            </w:r>
          </w:p>
        </w:tc>
        <w:tc>
          <w:tcPr>
            <w:tcW w:w="7771" w:type="dxa"/>
            <w:vAlign w:val="center"/>
          </w:tcPr>
          <w:p>
            <w:pPr>
              <w:adjustRightInd w:val="0"/>
              <w:snapToGrid w:val="0"/>
              <w:spacing w:line="500" w:lineRule="exact"/>
              <w:ind w:firstLine="0" w:firstLineChars="0"/>
              <w:jc w:val="left"/>
              <w:textAlignment w:val="baseline"/>
            </w:pPr>
            <w:r>
              <w:rPr>
                <w:rFonts w:hint="eastAsia"/>
                <w:b/>
                <w:bCs/>
              </w:rPr>
              <w:t>1、</w:t>
            </w:r>
            <w:r>
              <w:rPr>
                <w:b/>
                <w:bCs/>
              </w:rPr>
              <w:t>大气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大气环境执行《环境空气质量标准》（GB3095-2012）的二级标准，详见表</w:t>
            </w:r>
            <w:r>
              <w:rPr>
                <w:rFonts w:hint="eastAsia"/>
              </w:rPr>
              <w:t>1</w:t>
            </w:r>
            <w:r>
              <w:rPr>
                <w:rFonts w:hint="eastAsia"/>
                <w:lang w:val="en-US" w:eastAsia="zh-CN"/>
              </w:rPr>
              <w:t>5</w:t>
            </w:r>
            <w:r>
              <w:rPr>
                <w:rFonts w:hint="eastAsia"/>
              </w:rPr>
              <w:t>非甲烷总烃参照《大气污染物综合排放标准详解》。</w:t>
            </w:r>
          </w:p>
          <w:p>
            <w:pPr>
              <w:bidi w:val="0"/>
              <w:ind w:left="0" w:leftChars="0" w:firstLine="241" w:firstLineChars="100"/>
              <w:rPr>
                <w:rFonts w:hint="eastAsia"/>
                <w:b/>
                <w:bCs/>
                <w:lang w:val="en-US" w:eastAsia="zh-CN"/>
              </w:rPr>
            </w:pPr>
            <w:r>
              <w:rPr>
                <w:rFonts w:hint="eastAsia"/>
                <w:b/>
                <w:bCs/>
                <w:lang w:val="en-US" w:eastAsia="zh-CN"/>
              </w:rPr>
              <w:t>表15 《环境空气质量标准》（GB3095-2012）二级     单位：μg/m</w:t>
            </w:r>
            <w:r>
              <w:rPr>
                <w:rFonts w:hint="eastAsia"/>
                <w:b/>
                <w:bCs/>
                <w:vertAlign w:val="superscript"/>
                <w:lang w:val="en-US" w:eastAsia="zh-CN"/>
              </w:rPr>
              <w:t>3</w:t>
            </w:r>
          </w:p>
          <w:tbl>
            <w:tblPr>
              <w:tblStyle w:val="22"/>
              <w:tblW w:w="754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0"/>
              <w:gridCol w:w="1518"/>
              <w:gridCol w:w="1532"/>
              <w:gridCol w:w="1582"/>
              <w:gridCol w:w="14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518"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SO2</w:t>
                  </w:r>
                </w:p>
              </w:tc>
              <w:tc>
                <w:tcPr>
                  <w:tcW w:w="153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NO2</w:t>
                  </w:r>
                </w:p>
              </w:tc>
              <w:tc>
                <w:tcPr>
                  <w:tcW w:w="158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PM10</w:t>
                  </w:r>
                </w:p>
              </w:tc>
              <w:tc>
                <w:tcPr>
                  <w:tcW w:w="1443" w:type="dxa"/>
                  <w:tcBorders>
                    <w:top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日平均</w:t>
                  </w:r>
                </w:p>
              </w:tc>
              <w:tc>
                <w:tcPr>
                  <w:tcW w:w="1518"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532"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80</w:t>
                  </w:r>
                </w:p>
              </w:tc>
              <w:tc>
                <w:tcPr>
                  <w:tcW w:w="1582"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44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300</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442" w:firstLineChars="200"/>
              <w:jc w:val="left"/>
              <w:textAlignment w:val="baseline"/>
            </w:pPr>
            <w:r>
              <w:rPr>
                <w:b/>
                <w:bCs/>
                <w:sz w:val="22"/>
                <w:szCs w:val="21"/>
              </w:rPr>
              <w:t>根据中国环境科学出版社出版的国家环境保护局科技标准司的《大气污染物综合排放标准详解》（P244）：“由于我国目前没有“非甲烷总烃”的环境质量标准，美国的同类标准已废除，故我国石化部门和若干地区通常采用以色列同类标准的短期平均值，为5mg/m</w:t>
            </w:r>
            <w:r>
              <w:rPr>
                <w:b/>
                <w:bCs/>
                <w:sz w:val="22"/>
                <w:szCs w:val="21"/>
                <w:vertAlign w:val="superscript"/>
              </w:rPr>
              <w:t>3</w:t>
            </w:r>
            <w:r>
              <w:rPr>
                <w:b/>
                <w:bCs/>
                <w:sz w:val="22"/>
                <w:szCs w:val="21"/>
              </w:rPr>
              <w:t>。但考虑到我国多数地区的实测值，“非甲烷总烃”的环境浓度一般不超过1.0mg/m</w:t>
            </w:r>
            <w:r>
              <w:rPr>
                <w:b/>
                <w:bCs/>
                <w:sz w:val="22"/>
                <w:szCs w:val="21"/>
                <w:vertAlign w:val="superscript"/>
              </w:rPr>
              <w:t>3</w:t>
            </w:r>
            <w:r>
              <w:rPr>
                <w:b/>
                <w:bCs/>
                <w:sz w:val="22"/>
                <w:szCs w:val="21"/>
              </w:rPr>
              <w:t>，因此在制定本标准时选用2mg/m</w:t>
            </w:r>
            <w:r>
              <w:rPr>
                <w:b/>
                <w:bCs/>
                <w:sz w:val="22"/>
                <w:szCs w:val="21"/>
                <w:vertAlign w:val="superscript"/>
              </w:rPr>
              <w:t>3</w:t>
            </w:r>
            <w:r>
              <w:rPr>
                <w:b/>
                <w:bCs/>
                <w:sz w:val="22"/>
                <w:szCs w:val="21"/>
              </w:rPr>
              <w:t>”，因此本次评价非甲烷总烃质量标准采用2mg/m</w:t>
            </w:r>
            <w:r>
              <w:rPr>
                <w:b/>
                <w:bCs/>
                <w:sz w:val="22"/>
                <w:szCs w:val="21"/>
                <w:vertAlign w:val="superscript"/>
              </w:rPr>
              <w:t>3</w:t>
            </w:r>
            <w:r>
              <w:rPr>
                <w:b/>
                <w:bCs/>
                <w:sz w:val="22"/>
                <w:szCs w:val="21"/>
              </w:rPr>
              <w:t>。</w:t>
            </w:r>
          </w:p>
          <w:p>
            <w:pPr>
              <w:adjustRightInd w:val="0"/>
              <w:snapToGrid w:val="0"/>
              <w:spacing w:line="500" w:lineRule="exact"/>
              <w:ind w:firstLine="0" w:firstLineChars="0"/>
              <w:jc w:val="left"/>
              <w:textAlignment w:val="baseline"/>
            </w:pPr>
            <w:r>
              <w:rPr>
                <w:b/>
                <w:bCs/>
              </w:rPr>
              <w:t>2</w:t>
            </w:r>
            <w:r>
              <w:rPr>
                <w:rFonts w:hint="eastAsia"/>
                <w:b/>
                <w:bCs/>
              </w:rPr>
              <w:t>、地表水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pPr>
            <w:r>
              <w:rPr>
                <w:rFonts w:hint="eastAsia"/>
                <w:lang w:eastAsia="zh-CN"/>
              </w:rPr>
              <w:t>沙</w:t>
            </w:r>
            <w:r>
              <w:rPr>
                <w:rFonts w:hint="eastAsia"/>
              </w:rPr>
              <w:t>河</w:t>
            </w:r>
            <w:r>
              <w:t>执行</w:t>
            </w:r>
            <w:r>
              <w:rPr>
                <w:rFonts w:hint="eastAsia"/>
              </w:rPr>
              <w:t>《地表水环境质量标准》（GB3838-2002）中</w:t>
            </w:r>
            <w:r>
              <w:rPr>
                <w:rFonts w:hint="default"/>
                <w:b/>
                <w:bCs w:val="0"/>
                <w:sz w:val="21"/>
                <w:szCs w:val="21"/>
                <w:u w:val="single"/>
              </w:rPr>
              <w:t>III</w:t>
            </w:r>
            <w:r>
              <w:rPr>
                <w:rFonts w:hint="eastAsia"/>
              </w:rPr>
              <w:t>类标准</w:t>
            </w:r>
            <w:r>
              <w:t>。</w:t>
            </w:r>
          </w:p>
          <w:p>
            <w:pPr>
              <w:bidi w:val="0"/>
              <w:ind w:left="0" w:leftChars="0" w:firstLine="0" w:firstLineChars="0"/>
              <w:rPr>
                <w:rFonts w:hint="eastAsia"/>
                <w:b/>
                <w:bCs/>
                <w:lang w:val="en-US" w:eastAsia="zh-CN"/>
              </w:rPr>
            </w:pPr>
            <w:r>
              <w:rPr>
                <w:rFonts w:hint="eastAsia"/>
                <w:b/>
                <w:bCs/>
                <w:lang w:val="en-US" w:eastAsia="zh-CN"/>
              </w:rPr>
              <w:t>表16 《地表水环境质量标准》（GB3838-2002）中</w:t>
            </w:r>
            <w:r>
              <w:rPr>
                <w:rFonts w:hint="default"/>
                <w:b/>
                <w:bCs w:val="0"/>
                <w:sz w:val="21"/>
                <w:szCs w:val="21"/>
                <w:u w:val="single"/>
              </w:rPr>
              <w:t>III</w:t>
            </w:r>
            <w:r>
              <w:rPr>
                <w:rFonts w:hint="eastAsia"/>
                <w:b/>
                <w:bCs/>
                <w:lang w:val="en-US" w:eastAsia="zh-CN"/>
              </w:rPr>
              <w:t>类标准  单位：mg/L</w:t>
            </w:r>
          </w:p>
          <w:tbl>
            <w:tblPr>
              <w:tblStyle w:val="22"/>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423"/>
              <w:gridCol w:w="1894"/>
              <w:gridCol w:w="2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423"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pH</w:t>
                  </w:r>
                </w:p>
              </w:tc>
              <w:tc>
                <w:tcPr>
                  <w:tcW w:w="1894"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CO</w:t>
                  </w:r>
                  <w:r>
                    <w:rPr>
                      <w:sz w:val="21"/>
                      <w:szCs w:val="21"/>
                    </w:rPr>
                    <w:t>D</w:t>
                  </w:r>
                </w:p>
              </w:tc>
              <w:tc>
                <w:tcPr>
                  <w:tcW w:w="2013"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标准值</w:t>
                  </w:r>
                </w:p>
              </w:tc>
              <w:tc>
                <w:tcPr>
                  <w:tcW w:w="1423" w:type="dxa"/>
                  <w:tcBorders>
                    <w:bottom w:val="single" w:color="auto" w:sz="8" w:space="0"/>
                  </w:tcBorders>
                  <w:vAlign w:val="center"/>
                </w:tcPr>
                <w:p>
                  <w:pPr>
                    <w:tabs>
                      <w:tab w:val="left" w:pos="763"/>
                    </w:tabs>
                    <w:adjustRightInd w:val="0"/>
                    <w:snapToGrid w:val="0"/>
                    <w:spacing w:line="240" w:lineRule="auto"/>
                    <w:ind w:firstLine="0" w:firstLineChars="0"/>
                    <w:jc w:val="center"/>
                    <w:rPr>
                      <w:sz w:val="21"/>
                      <w:szCs w:val="21"/>
                    </w:rPr>
                  </w:pPr>
                  <w:r>
                    <w:rPr>
                      <w:sz w:val="21"/>
                      <w:szCs w:val="21"/>
                    </w:rPr>
                    <w:t>6~9</w:t>
                  </w:r>
                </w:p>
              </w:tc>
              <w:tc>
                <w:tcPr>
                  <w:tcW w:w="1894" w:type="dxa"/>
                  <w:tcBorders>
                    <w:bottom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20</w:t>
                  </w:r>
                </w:p>
              </w:tc>
              <w:tc>
                <w:tcPr>
                  <w:tcW w:w="201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1.</w:t>
                  </w:r>
                  <w:r>
                    <w:rPr>
                      <w:rFonts w:hint="eastAsia"/>
                      <w:sz w:val="21"/>
                      <w:szCs w:val="21"/>
                      <w:lang w:val="en-US" w:eastAsia="zh-CN"/>
                    </w:rPr>
                    <w:t>0</w:t>
                  </w:r>
                </w:p>
              </w:tc>
            </w:tr>
          </w:tbl>
          <w:p>
            <w:pPr>
              <w:adjustRightInd w:val="0"/>
              <w:snapToGrid w:val="0"/>
              <w:spacing w:line="500" w:lineRule="exact"/>
              <w:ind w:firstLine="0" w:firstLineChars="0"/>
              <w:jc w:val="left"/>
              <w:textAlignment w:val="baseline"/>
            </w:pPr>
            <w:r>
              <w:rPr>
                <w:b/>
                <w:bCs/>
              </w:rPr>
              <w:t>3</w:t>
            </w:r>
            <w:r>
              <w:rPr>
                <w:rFonts w:hint="eastAsia"/>
                <w:b/>
                <w:bCs/>
              </w:rPr>
              <w:t>、</w:t>
            </w:r>
            <w:r>
              <w:rPr>
                <w:b/>
                <w:bCs/>
              </w:rPr>
              <w:t>地</w:t>
            </w:r>
            <w:r>
              <w:rPr>
                <w:rFonts w:hint="eastAsia"/>
                <w:b/>
                <w:bCs/>
              </w:rPr>
              <w:t>下</w:t>
            </w:r>
            <w:r>
              <w:rPr>
                <w:b/>
                <w:bCs/>
              </w:rP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lang w:eastAsia="zh-CN"/>
              </w:rPr>
            </w:pPr>
            <w:r>
              <w:t>地</w:t>
            </w:r>
            <w:r>
              <w:rPr>
                <w:rFonts w:hint="eastAsia"/>
              </w:rPr>
              <w:t>下</w:t>
            </w:r>
            <w:r>
              <w:t>水环境执行《地下水质量标准》（GB/T14848-</w:t>
            </w:r>
            <w:r>
              <w:rPr>
                <w:rFonts w:hint="eastAsia"/>
              </w:rPr>
              <w:t>2017</w:t>
            </w:r>
            <w:r>
              <w:t>）III类标准</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lang w:val="en-US" w:eastAsia="zh-CN"/>
              </w:rPr>
            </w:pPr>
            <w:r>
              <w:rPr>
                <w:rFonts w:hint="eastAsia"/>
                <w:b/>
                <w:bCs/>
                <w:lang w:val="en-US" w:eastAsia="zh-CN"/>
              </w:rPr>
              <w:t>表17    《地下水质量标准》（GB/T14848-2017）III类标准</w:t>
            </w:r>
          </w:p>
          <w:tbl>
            <w:tblPr>
              <w:tblStyle w:val="23"/>
              <w:tblW w:w="75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3150"/>
              <w:gridCol w:w="2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eastAsia"/>
                      <w:lang w:eastAsia="zh-CN"/>
                    </w:rPr>
                  </w:pPr>
                  <w:r>
                    <w:rPr>
                      <w:rFonts w:hint="eastAsia"/>
                      <w:lang w:eastAsia="zh-CN"/>
                    </w:rPr>
                    <w:t>序号</w:t>
                  </w:r>
                </w:p>
              </w:tc>
              <w:tc>
                <w:tcPr>
                  <w:tcW w:w="3150" w:type="dxa"/>
                  <w:vAlign w:val="center"/>
                </w:tcPr>
                <w:p>
                  <w:pPr>
                    <w:pStyle w:val="11"/>
                    <w:bidi w:val="0"/>
                    <w:ind w:firstLine="0" w:firstLineChars="0"/>
                    <w:jc w:val="center"/>
                    <w:rPr>
                      <w:rFonts w:hint="eastAsia"/>
                      <w:lang w:val="en-US" w:eastAsia="zh-CN"/>
                    </w:rPr>
                  </w:pPr>
                  <w:r>
                    <w:rPr>
                      <w:rFonts w:hint="eastAsia"/>
                      <w:lang w:eastAsia="zh-CN"/>
                    </w:rPr>
                    <w:t>检测因子</w:t>
                  </w:r>
                </w:p>
              </w:tc>
              <w:tc>
                <w:tcPr>
                  <w:tcW w:w="2701" w:type="dxa"/>
                  <w:vAlign w:val="center"/>
                </w:tcPr>
                <w:p>
                  <w:pPr>
                    <w:pStyle w:val="11"/>
                    <w:bidi w:val="0"/>
                    <w:ind w:firstLine="0" w:firstLineChars="0"/>
                    <w:jc w:val="center"/>
                    <w:rPr>
                      <w:rFonts w:hint="eastAsia"/>
                      <w:lang w:val="en-US" w:eastAsia="zh-CN"/>
                    </w:rPr>
                  </w:pPr>
                  <w:r>
                    <w:rPr>
                      <w:rFonts w:hint="eastAsia"/>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w:t>
                  </w:r>
                </w:p>
              </w:tc>
              <w:tc>
                <w:tcPr>
                  <w:tcW w:w="3150" w:type="dxa"/>
                  <w:vAlign w:val="center"/>
                </w:tcPr>
                <w:p>
                  <w:pPr>
                    <w:pStyle w:val="11"/>
                    <w:bidi w:val="0"/>
                    <w:ind w:firstLine="0" w:firstLineChars="0"/>
                    <w:jc w:val="center"/>
                    <w:rPr>
                      <w:rFonts w:hint="eastAsia"/>
                      <w:lang w:val="en-US" w:eastAsia="zh-CN"/>
                    </w:rPr>
                  </w:pPr>
                  <w:r>
                    <w:rPr>
                      <w:rFonts w:hint="eastAsia"/>
                      <w:lang w:val="en-US" w:eastAsia="zh-CN"/>
                    </w:rPr>
                    <w:t>pH</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2</w:t>
                  </w:r>
                </w:p>
              </w:tc>
              <w:tc>
                <w:tcPr>
                  <w:tcW w:w="3150" w:type="dxa"/>
                  <w:vAlign w:val="center"/>
                </w:tcPr>
                <w:p>
                  <w:pPr>
                    <w:pStyle w:val="11"/>
                    <w:bidi w:val="0"/>
                    <w:ind w:firstLine="0" w:firstLineChars="0"/>
                    <w:jc w:val="center"/>
                    <w:rPr>
                      <w:rFonts w:hint="eastAsia"/>
                      <w:lang w:val="en-US" w:eastAsia="zh-CN"/>
                    </w:rPr>
                  </w:pPr>
                  <w:r>
                    <w:rPr>
                      <w:rFonts w:hint="eastAsia"/>
                      <w:lang w:eastAsia="zh-CN"/>
                    </w:rPr>
                    <w:t>色度（度）</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3</w:t>
                  </w:r>
                </w:p>
              </w:tc>
              <w:tc>
                <w:tcPr>
                  <w:tcW w:w="3150" w:type="dxa"/>
                  <w:vAlign w:val="center"/>
                </w:tcPr>
                <w:p>
                  <w:pPr>
                    <w:pStyle w:val="11"/>
                    <w:bidi w:val="0"/>
                    <w:ind w:firstLine="0" w:firstLineChars="0"/>
                    <w:jc w:val="center"/>
                    <w:rPr>
                      <w:rFonts w:hint="eastAsia"/>
                      <w:lang w:val="en-US" w:eastAsia="zh-CN"/>
                    </w:rPr>
                  </w:pPr>
                  <w:r>
                    <w:rPr>
                      <w:rFonts w:hint="eastAsia"/>
                      <w:lang w:eastAsia="zh-CN"/>
                    </w:rPr>
                    <w:t>嗅和味</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4</w:t>
                  </w:r>
                </w:p>
              </w:tc>
              <w:tc>
                <w:tcPr>
                  <w:tcW w:w="3150" w:type="dxa"/>
                  <w:vAlign w:val="center"/>
                </w:tcPr>
                <w:p>
                  <w:pPr>
                    <w:pStyle w:val="11"/>
                    <w:bidi w:val="0"/>
                    <w:ind w:firstLine="0" w:firstLineChars="0"/>
                    <w:jc w:val="center"/>
                    <w:rPr>
                      <w:rFonts w:hint="eastAsia"/>
                      <w:lang w:val="en-US" w:eastAsia="zh-CN"/>
                    </w:rPr>
                  </w:pPr>
                  <w:r>
                    <w:rPr>
                      <w:rFonts w:hint="eastAsia"/>
                      <w:lang w:eastAsia="zh-CN"/>
                    </w:rPr>
                    <w:t>浑浊度（</w:t>
                  </w:r>
                  <w:r>
                    <w:rPr>
                      <w:rFonts w:hint="eastAsia"/>
                      <w:lang w:val="en-US" w:eastAsia="zh-CN"/>
                    </w:rPr>
                    <w:t>NTU</w:t>
                  </w:r>
                  <w:r>
                    <w:rPr>
                      <w:rFonts w:hint="eastAsia"/>
                      <w:lang w:eastAsia="zh-CN"/>
                    </w:rPr>
                    <w:t>）</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5</w:t>
                  </w:r>
                </w:p>
              </w:tc>
              <w:tc>
                <w:tcPr>
                  <w:tcW w:w="3150" w:type="dxa"/>
                  <w:vAlign w:val="center"/>
                </w:tcPr>
                <w:p>
                  <w:pPr>
                    <w:pStyle w:val="11"/>
                    <w:bidi w:val="0"/>
                    <w:ind w:firstLine="0" w:firstLineChars="0"/>
                    <w:jc w:val="center"/>
                    <w:rPr>
                      <w:rFonts w:hint="eastAsia"/>
                      <w:lang w:val="en-US" w:eastAsia="zh-CN"/>
                    </w:rPr>
                  </w:pPr>
                  <w:r>
                    <w:rPr>
                      <w:rFonts w:hint="eastAsia"/>
                      <w:lang w:eastAsia="zh-CN"/>
                    </w:rPr>
                    <w:t>萘</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6</w:t>
                  </w:r>
                </w:p>
              </w:tc>
              <w:tc>
                <w:tcPr>
                  <w:tcW w:w="3150" w:type="dxa"/>
                  <w:vAlign w:val="center"/>
                </w:tcPr>
                <w:p>
                  <w:pPr>
                    <w:pStyle w:val="11"/>
                    <w:bidi w:val="0"/>
                    <w:ind w:firstLine="0" w:firstLineChars="0"/>
                    <w:jc w:val="center"/>
                    <w:rPr>
                      <w:rFonts w:hint="eastAsia"/>
                      <w:lang w:val="en-US" w:eastAsia="zh-CN"/>
                    </w:rPr>
                  </w:pPr>
                  <w:r>
                    <w:rPr>
                      <w:rFonts w:hint="eastAsia"/>
                      <w:lang w:eastAsia="zh-CN"/>
                    </w:rPr>
                    <w:t>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7</w:t>
                  </w:r>
                </w:p>
              </w:tc>
              <w:tc>
                <w:tcPr>
                  <w:tcW w:w="3150" w:type="dxa"/>
                  <w:vAlign w:val="center"/>
                </w:tcPr>
                <w:p>
                  <w:pPr>
                    <w:pStyle w:val="11"/>
                    <w:bidi w:val="0"/>
                    <w:ind w:firstLine="0" w:firstLineChars="0"/>
                    <w:jc w:val="center"/>
                    <w:rPr>
                      <w:rFonts w:hint="eastAsia"/>
                      <w:lang w:val="en-US" w:eastAsia="zh-CN"/>
                    </w:rPr>
                  </w:pPr>
                  <w:r>
                    <w:rPr>
                      <w:rFonts w:hint="eastAsia"/>
                      <w:lang w:eastAsia="zh-CN"/>
                    </w:rPr>
                    <w:t>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eastAsia="zh-CN"/>
                    </w:rPr>
                    <w:t>≤</w:t>
                  </w:r>
                  <w:r>
                    <w:rPr>
                      <w:rFonts w:hint="eastAsia"/>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8</w:t>
                  </w:r>
                </w:p>
              </w:tc>
              <w:tc>
                <w:tcPr>
                  <w:tcW w:w="3150" w:type="dxa"/>
                  <w:vAlign w:val="center"/>
                </w:tcPr>
                <w:p>
                  <w:pPr>
                    <w:pStyle w:val="11"/>
                    <w:bidi w:val="0"/>
                    <w:ind w:firstLine="0" w:firstLineChars="0"/>
                    <w:jc w:val="center"/>
                    <w:rPr>
                      <w:rFonts w:hint="eastAsia"/>
                      <w:lang w:val="en-US" w:eastAsia="zh-CN"/>
                    </w:rPr>
                  </w:pPr>
                  <w:r>
                    <w:rPr>
                      <w:rFonts w:hint="eastAsia"/>
                      <w:lang w:eastAsia="zh-CN"/>
                    </w:rPr>
                    <w:t>乙苯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9</w:t>
                  </w:r>
                </w:p>
              </w:tc>
              <w:tc>
                <w:tcPr>
                  <w:tcW w:w="3150" w:type="dxa"/>
                  <w:vAlign w:val="center"/>
                </w:tcPr>
                <w:p>
                  <w:pPr>
                    <w:pStyle w:val="11"/>
                    <w:bidi w:val="0"/>
                    <w:ind w:firstLine="0" w:firstLineChars="0"/>
                    <w:jc w:val="center"/>
                    <w:rPr>
                      <w:rFonts w:hint="eastAsia"/>
                      <w:lang w:val="en-US" w:eastAsia="zh-CN"/>
                    </w:rPr>
                  </w:pPr>
                  <w:r>
                    <w:rPr>
                      <w:rFonts w:hint="eastAsia"/>
                      <w:lang w:eastAsia="zh-CN"/>
                    </w:rPr>
                    <w:t>邻二甲苯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10</w:t>
                  </w:r>
                </w:p>
              </w:tc>
              <w:tc>
                <w:tcPr>
                  <w:tcW w:w="3150" w:type="dxa"/>
                  <w:vAlign w:val="center"/>
                </w:tcPr>
                <w:p>
                  <w:pPr>
                    <w:pStyle w:val="11"/>
                    <w:bidi w:val="0"/>
                    <w:ind w:firstLine="0" w:firstLineChars="0"/>
                    <w:jc w:val="center"/>
                    <w:rPr>
                      <w:rFonts w:hint="eastAsia"/>
                      <w:lang w:val="en-US" w:eastAsia="zh-CN"/>
                    </w:rPr>
                  </w:pPr>
                  <w:r>
                    <w:rPr>
                      <w:rFonts w:hint="eastAsia"/>
                      <w:lang w:eastAsia="zh-CN"/>
                    </w:rPr>
                    <w:t>间（对）二甲苯</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11</w:t>
                  </w:r>
                </w:p>
              </w:tc>
              <w:tc>
                <w:tcPr>
                  <w:tcW w:w="3150" w:type="dxa"/>
                  <w:vAlign w:val="center"/>
                </w:tcPr>
                <w:p>
                  <w:pPr>
                    <w:pStyle w:val="11"/>
                    <w:bidi w:val="0"/>
                    <w:ind w:firstLine="0" w:firstLineChars="0"/>
                    <w:jc w:val="center"/>
                    <w:rPr>
                      <w:rFonts w:hint="eastAsia"/>
                      <w:lang w:val="en-US" w:eastAsia="zh-CN"/>
                    </w:rPr>
                  </w:pPr>
                  <w:r>
                    <w:rPr>
                      <w:rFonts w:hint="eastAsia"/>
                      <w:lang w:eastAsia="zh-CN"/>
                    </w:rPr>
                    <w:t>铅</w:t>
                  </w:r>
                  <w:r>
                    <w:rPr>
                      <w:rFonts w:hint="eastAsia"/>
                      <w:lang w:val="en-US" w:eastAsia="zh-CN"/>
                    </w:rPr>
                    <w:t>（μg/L）</w:t>
                  </w:r>
                </w:p>
              </w:tc>
              <w:tc>
                <w:tcPr>
                  <w:tcW w:w="2701" w:type="dxa"/>
                  <w:vAlign w:val="center"/>
                </w:tcPr>
                <w:p>
                  <w:pPr>
                    <w:pStyle w:val="11"/>
                    <w:bidi w:val="0"/>
                    <w:ind w:firstLine="0" w:firstLineChars="0"/>
                    <w:jc w:val="center"/>
                    <w:rPr>
                      <w:rFonts w:hint="eastAsia"/>
                      <w:lang w:val="en-US" w:eastAsia="zh-CN"/>
                    </w:rPr>
                  </w:pPr>
                  <w:r>
                    <w:rPr>
                      <w:rFonts w:hint="eastAsia"/>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1"/>
                    <w:bidi w:val="0"/>
                    <w:ind w:firstLine="0" w:firstLineChars="0"/>
                    <w:jc w:val="center"/>
                    <w:rPr>
                      <w:rFonts w:hint="default"/>
                      <w:lang w:val="en-US" w:eastAsia="zh-CN"/>
                    </w:rPr>
                  </w:pPr>
                  <w:r>
                    <w:rPr>
                      <w:rFonts w:hint="eastAsia"/>
                      <w:lang w:val="en-US" w:eastAsia="zh-CN"/>
                    </w:rPr>
                    <w:t>12</w:t>
                  </w:r>
                </w:p>
              </w:tc>
              <w:tc>
                <w:tcPr>
                  <w:tcW w:w="3150" w:type="dxa"/>
                  <w:vAlign w:val="center"/>
                </w:tcPr>
                <w:p>
                  <w:pPr>
                    <w:pStyle w:val="11"/>
                    <w:bidi w:val="0"/>
                    <w:ind w:firstLine="0" w:firstLineChars="0"/>
                    <w:jc w:val="center"/>
                    <w:rPr>
                      <w:rFonts w:hint="eastAsia"/>
                      <w:lang w:val="en-US" w:eastAsia="zh-CN"/>
                    </w:rPr>
                  </w:pPr>
                  <w:r>
                    <w:rPr>
                      <w:rFonts w:hint="eastAsia"/>
                      <w:lang w:val="en-US" w:eastAsia="zh-CN"/>
                    </w:rPr>
                    <w:t>二氯乙烷（μg/L）</w:t>
                  </w:r>
                </w:p>
              </w:tc>
              <w:tc>
                <w:tcPr>
                  <w:tcW w:w="2701" w:type="dxa"/>
                  <w:vAlign w:val="center"/>
                </w:tcPr>
                <w:p>
                  <w:pPr>
                    <w:pStyle w:val="11"/>
                    <w:bidi w:val="0"/>
                    <w:ind w:firstLine="0" w:firstLineChars="0"/>
                    <w:jc w:val="center"/>
                    <w:rPr>
                      <w:rFonts w:hint="eastAsia"/>
                      <w:lang w:val="en-US" w:eastAsia="zh-CN"/>
                    </w:rPr>
                  </w:pPr>
                  <w:r>
                    <w:rPr>
                      <w:rFonts w:hint="eastAsia"/>
                      <w:lang w:eastAsia="zh-CN"/>
                    </w:rPr>
                    <w:t>≤</w:t>
                  </w:r>
                  <w:r>
                    <w:rPr>
                      <w:rFonts w:hint="eastAsia"/>
                      <w:lang w:val="en-US" w:eastAsia="zh-CN"/>
                    </w:rPr>
                    <w:t>30</w:t>
                  </w:r>
                </w:p>
              </w:tc>
            </w:tr>
          </w:tbl>
          <w:p>
            <w:pPr>
              <w:spacing w:line="500" w:lineRule="exact"/>
              <w:ind w:firstLine="0" w:firstLineChars="0"/>
              <w:jc w:val="left"/>
            </w:pPr>
            <w:r>
              <w:rPr>
                <w:b/>
                <w:bCs/>
              </w:rPr>
              <w:t>4</w:t>
            </w:r>
            <w:r>
              <w:rPr>
                <w:rFonts w:hint="eastAsia"/>
                <w:b/>
                <w:bCs/>
              </w:rPr>
              <w:t>、</w:t>
            </w:r>
            <w:r>
              <w:rPr>
                <w:b/>
                <w:bCs/>
              </w:rPr>
              <w:t>声环境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执行《声环境质量标准》（GB309</w:t>
            </w:r>
            <w:r>
              <w:rPr>
                <w:rFonts w:hint="eastAsia"/>
              </w:rPr>
              <w:t>6</w:t>
            </w:r>
            <w:r>
              <w:t>-2008）2类</w:t>
            </w:r>
            <w:r>
              <w:rPr>
                <w:rFonts w:hint="eastAsia"/>
                <w:lang w:eastAsia="zh-CN"/>
              </w:rPr>
              <w:t>和</w:t>
            </w:r>
            <w:r>
              <w:rPr>
                <w:rFonts w:hint="eastAsia"/>
                <w:lang w:val="en-US" w:eastAsia="zh-CN"/>
              </w:rPr>
              <w:t>4a类</w:t>
            </w:r>
            <w:r>
              <w:t>，详见表1</w:t>
            </w:r>
            <w:r>
              <w:rPr>
                <w:rFonts w:hint="eastAsia"/>
                <w:lang w:val="en-US" w:eastAsia="zh-CN"/>
              </w:rPr>
              <w:t>7</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b/>
                <w:bCs/>
                <w:lang w:val="en-US" w:eastAsia="zh-CN"/>
              </w:rPr>
              <w:t>表18  《声环境质量标准》（GB3096-2008）2类  单位：dB﹙A﹚</w:t>
            </w:r>
          </w:p>
          <w:tbl>
            <w:tblPr>
              <w:tblStyle w:val="22"/>
              <w:tblW w:w="75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82"/>
              <w:gridCol w:w="2154"/>
              <w:gridCol w:w="25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top w:val="single" w:color="auto" w:sz="8" w:space="0"/>
                    <w:left w:val="single" w:color="auto" w:sz="0" w:space="0"/>
                  </w:tcBorders>
                  <w:vAlign w:val="center"/>
                </w:tcPr>
                <w:p>
                  <w:pPr>
                    <w:adjustRightInd w:val="0"/>
                    <w:snapToGrid w:val="0"/>
                    <w:spacing w:line="240" w:lineRule="auto"/>
                    <w:ind w:firstLine="0" w:firstLineChars="0"/>
                    <w:jc w:val="center"/>
                  </w:pPr>
                  <w:r>
                    <w:t>类别</w:t>
                  </w:r>
                </w:p>
              </w:tc>
              <w:tc>
                <w:tcPr>
                  <w:tcW w:w="2154" w:type="dxa"/>
                  <w:tcBorders>
                    <w:top w:val="single" w:color="auto" w:sz="8" w:space="0"/>
                  </w:tcBorders>
                  <w:vAlign w:val="center"/>
                </w:tcPr>
                <w:p>
                  <w:pPr>
                    <w:adjustRightInd w:val="0"/>
                    <w:snapToGrid w:val="0"/>
                    <w:spacing w:line="240" w:lineRule="auto"/>
                    <w:ind w:firstLine="0" w:firstLineChars="0"/>
                    <w:jc w:val="center"/>
                  </w:pPr>
                  <w:r>
                    <w:t>昼间</w:t>
                  </w:r>
                </w:p>
              </w:tc>
              <w:tc>
                <w:tcPr>
                  <w:tcW w:w="2519" w:type="dxa"/>
                  <w:tcBorders>
                    <w:top w:val="single" w:color="auto" w:sz="8" w:space="0"/>
                    <w:right w:val="single" w:color="auto" w:sz="8" w:space="0"/>
                  </w:tcBorders>
                  <w:vAlign w:val="center"/>
                </w:tcPr>
                <w:p>
                  <w:pPr>
                    <w:adjustRightInd w:val="0"/>
                    <w:snapToGrid w:val="0"/>
                    <w:spacing w:line="240" w:lineRule="auto"/>
                    <w:ind w:firstLine="0" w:firstLineChars="0"/>
                    <w:jc w:val="center"/>
                  </w:pPr>
                  <w: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tcBorders>
                  <w:vAlign w:val="center"/>
                </w:tcPr>
                <w:p>
                  <w:pPr>
                    <w:adjustRightInd w:val="0"/>
                    <w:snapToGrid w:val="0"/>
                    <w:spacing w:line="240" w:lineRule="auto"/>
                    <w:ind w:firstLine="0" w:firstLineChars="0"/>
                    <w:jc w:val="center"/>
                  </w:pPr>
                  <w:r>
                    <w:t>2类</w:t>
                  </w:r>
                </w:p>
              </w:tc>
              <w:tc>
                <w:tcPr>
                  <w:tcW w:w="2154" w:type="dxa"/>
                  <w:vAlign w:val="center"/>
                </w:tcPr>
                <w:p>
                  <w:pPr>
                    <w:adjustRightInd w:val="0"/>
                    <w:snapToGrid w:val="0"/>
                    <w:spacing w:line="240" w:lineRule="auto"/>
                    <w:ind w:firstLine="0" w:firstLineChars="0"/>
                    <w:jc w:val="center"/>
                  </w:pPr>
                  <w:r>
                    <w:t>60</w:t>
                  </w:r>
                </w:p>
              </w:tc>
              <w:tc>
                <w:tcPr>
                  <w:tcW w:w="2519" w:type="dxa"/>
                  <w:tcBorders>
                    <w:right w:val="single" w:color="auto" w:sz="8" w:space="0"/>
                  </w:tcBorders>
                  <w:vAlign w:val="center"/>
                </w:tcPr>
                <w:p>
                  <w:pPr>
                    <w:adjustRightInd w:val="0"/>
                    <w:snapToGrid w:val="0"/>
                    <w:spacing w:line="240" w:lineRule="auto"/>
                    <w:ind w:firstLine="0" w:firstLineChars="0"/>
                    <w:jc w:val="center"/>
                  </w:pPr>
                  <w: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4a类</w:t>
                  </w:r>
                </w:p>
              </w:tc>
              <w:tc>
                <w:tcPr>
                  <w:tcW w:w="2154"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55</w:t>
                  </w:r>
                </w:p>
              </w:tc>
            </w:tr>
          </w:tbl>
          <w:p>
            <w:pPr>
              <w:pStyle w:val="2"/>
              <w:ind w:left="0" w:leftChars="0" w:right="6" w:rightChars="0" w:firstLine="0" w:firstLineChars="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3"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污染物排放标准</w:t>
            </w:r>
          </w:p>
        </w:tc>
        <w:tc>
          <w:tcPr>
            <w:tcW w:w="7771" w:type="dxa"/>
            <w:vAlign w:val="center"/>
          </w:tcPr>
          <w:p>
            <w:pPr>
              <w:adjustRightInd w:val="0"/>
              <w:snapToGrid w:val="0"/>
              <w:spacing w:line="500" w:lineRule="exact"/>
              <w:ind w:firstLine="0" w:firstLineChars="0"/>
              <w:jc w:val="left"/>
            </w:pPr>
            <w:r>
              <w:rPr>
                <w:rFonts w:hint="eastAsia"/>
                <w:b/>
                <w:bCs/>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rPr>
                <w:rFonts w:hint="eastAsia"/>
              </w:rPr>
              <w:t>项目营运期</w:t>
            </w:r>
            <w:r>
              <w:t>在</w:t>
            </w:r>
            <w:r>
              <w:rPr>
                <w:rFonts w:hint="eastAsia"/>
              </w:rPr>
              <w:t>油罐进发油</w:t>
            </w:r>
            <w:r>
              <w:t>过程中有少量</w:t>
            </w:r>
            <w:r>
              <w:rPr>
                <w:rFonts w:hint="eastAsia"/>
              </w:rPr>
              <w:t>油蒸气，排放标准详见</w:t>
            </w:r>
            <w:r>
              <w:t>表</w:t>
            </w:r>
            <w:r>
              <w:rPr>
                <w:rFonts w:hint="eastAsia"/>
                <w:lang w:val="en-US" w:eastAsia="zh-CN"/>
              </w:rPr>
              <w:t>19</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lang w:val="en-US" w:eastAsia="zh-CN"/>
              </w:rPr>
            </w:pPr>
            <w:r>
              <w:rPr>
                <w:rFonts w:hint="eastAsia"/>
                <w:b/>
                <w:bCs/>
                <w:lang w:val="en-US" w:eastAsia="zh-CN"/>
              </w:rPr>
              <w:t>表19  项目营运期油罐废气执行标准</w:t>
            </w:r>
          </w:p>
          <w:tbl>
            <w:tblPr>
              <w:tblStyle w:val="22"/>
              <w:tblW w:w="4998"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3"/>
              <w:gridCol w:w="1535"/>
              <w:gridCol w:w="1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top w:val="single" w:color="auto" w:sz="8" w:space="0"/>
                    <w:left w:val="single" w:color="auto" w:sz="0" w:space="0"/>
                  </w:tcBorders>
                  <w:vAlign w:val="center"/>
                </w:tcPr>
                <w:p>
                  <w:pPr>
                    <w:pStyle w:val="11"/>
                    <w:bidi w:val="0"/>
                  </w:pPr>
                  <w:r>
                    <w:t>执行标准名称及级别</w:t>
                  </w:r>
                </w:p>
              </w:tc>
              <w:tc>
                <w:tcPr>
                  <w:tcW w:w="1016" w:type="pct"/>
                  <w:tcBorders>
                    <w:top w:val="single" w:color="auto" w:sz="8" w:space="0"/>
                  </w:tcBorders>
                  <w:vAlign w:val="center"/>
                </w:tcPr>
                <w:p>
                  <w:pPr>
                    <w:pStyle w:val="11"/>
                    <w:bidi w:val="0"/>
                  </w:pPr>
                  <w:r>
                    <w:t>项目</w:t>
                  </w:r>
                </w:p>
              </w:tc>
              <w:tc>
                <w:tcPr>
                  <w:tcW w:w="1174" w:type="pct"/>
                  <w:tcBorders>
                    <w:top w:val="single" w:color="auto" w:sz="8" w:space="0"/>
                    <w:right w:val="single" w:color="auto" w:sz="8" w:space="0"/>
                  </w:tcBorders>
                  <w:vAlign w:val="center"/>
                </w:tcPr>
                <w:p>
                  <w:pPr>
                    <w:pStyle w:val="11"/>
                    <w:bidi w:val="0"/>
                  </w:pPr>
                  <w: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1"/>
                    <w:bidi w:val="0"/>
                    <w:rPr>
                      <w:lang w:val="zh-CN" w:eastAsia="zh-CN"/>
                    </w:rPr>
                  </w:pPr>
                  <w:r>
                    <w:rPr>
                      <w:lang w:val="zh-CN" w:eastAsia="zh-CN"/>
                    </w:rPr>
                    <w:t>《加油站大气污染</w:t>
                  </w:r>
                  <w:r>
                    <w:rPr>
                      <w:rFonts w:hint="eastAsia"/>
                      <w:lang w:val="zh-CN" w:eastAsia="zh-CN"/>
                    </w:rPr>
                    <w:t>物</w:t>
                  </w:r>
                  <w:r>
                    <w:rPr>
                      <w:lang w:val="zh-CN" w:eastAsia="zh-CN"/>
                    </w:rPr>
                    <w:t>排放标准》（GB20952-2007）</w:t>
                  </w:r>
                </w:p>
              </w:tc>
              <w:tc>
                <w:tcPr>
                  <w:tcW w:w="1016" w:type="pct"/>
                  <w:vMerge w:val="restart"/>
                  <w:vAlign w:val="center"/>
                </w:tcPr>
                <w:p>
                  <w:pPr>
                    <w:pStyle w:val="11"/>
                    <w:bidi w:val="0"/>
                  </w:pPr>
                  <w:r>
                    <w:rPr>
                      <w:rFonts w:hint="eastAsia"/>
                    </w:rPr>
                    <w:t>非甲烷总烃</w:t>
                  </w:r>
                </w:p>
              </w:tc>
              <w:tc>
                <w:tcPr>
                  <w:tcW w:w="1174" w:type="pct"/>
                  <w:tcBorders>
                    <w:right w:val="single" w:color="auto" w:sz="8" w:space="0"/>
                  </w:tcBorders>
                  <w:vAlign w:val="center"/>
                </w:tcPr>
                <w:p>
                  <w:pPr>
                    <w:pStyle w:val="11"/>
                    <w:bidi w:val="0"/>
                  </w:pPr>
                  <w:r>
                    <w:t>≦25g/m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1"/>
                    <w:bidi w:val="0"/>
                    <w:rPr>
                      <w:lang w:val="zh-CN" w:eastAsia="zh-CN"/>
                    </w:rPr>
                  </w:pPr>
                  <w:r>
                    <w:rPr>
                      <w:lang w:val="zh-CN" w:eastAsia="zh-CN"/>
                    </w:rPr>
                    <w:t>《大气污染物综合排放标准》（GB16297-1996）表 2 中无组织排放标准的限值</w:t>
                  </w:r>
                </w:p>
              </w:tc>
              <w:tc>
                <w:tcPr>
                  <w:tcW w:w="1016" w:type="pct"/>
                  <w:vMerge w:val="continue"/>
                  <w:vAlign w:val="center"/>
                </w:tcPr>
                <w:p>
                  <w:pPr>
                    <w:pStyle w:val="11"/>
                    <w:bidi w:val="0"/>
                  </w:pPr>
                </w:p>
              </w:tc>
              <w:tc>
                <w:tcPr>
                  <w:tcW w:w="1174" w:type="pct"/>
                  <w:tcBorders>
                    <w:right w:val="single" w:color="auto" w:sz="8" w:space="0"/>
                  </w:tcBorders>
                  <w:vAlign w:val="center"/>
                </w:tcPr>
                <w:p>
                  <w:pPr>
                    <w:pStyle w:val="11"/>
                    <w:bidi w:val="0"/>
                  </w:pPr>
                  <w:r>
                    <w:t>4.0mg/m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restart"/>
                  <w:tcBorders>
                    <w:left w:val="single" w:color="auto" w:sz="4" w:space="0"/>
                  </w:tcBorders>
                  <w:vAlign w:val="center"/>
                </w:tcPr>
                <w:p>
                  <w:pPr>
                    <w:pStyle w:val="11"/>
                    <w:bidi w:val="0"/>
                  </w:pPr>
                  <w:r>
                    <w:t>《关于全省开展工业企业挥发性有机物专项治理工作中排放建议值的通知》（豫环攻坚办[2017]162 号）</w:t>
                  </w:r>
                </w:p>
              </w:tc>
              <w:tc>
                <w:tcPr>
                  <w:tcW w:w="1016" w:type="pct"/>
                  <w:vMerge w:val="continue"/>
                  <w:vAlign w:val="center"/>
                </w:tcPr>
                <w:p>
                  <w:pPr>
                    <w:pStyle w:val="11"/>
                    <w:bidi w:val="0"/>
                  </w:pPr>
                </w:p>
              </w:tc>
              <w:tc>
                <w:tcPr>
                  <w:tcW w:w="1174" w:type="pct"/>
                  <w:tcBorders>
                    <w:right w:val="single" w:color="auto" w:sz="8" w:space="0"/>
                  </w:tcBorders>
                  <w:vAlign w:val="center"/>
                </w:tcPr>
                <w:p>
                  <w:pPr>
                    <w:pStyle w:val="11"/>
                    <w:bidi w:val="0"/>
                  </w:pPr>
                  <w:r>
                    <w:t>≦80g/m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continue"/>
                  <w:tcBorders>
                    <w:left w:val="single" w:color="auto" w:sz="4" w:space="0"/>
                    <w:bottom w:val="single" w:color="auto" w:sz="8" w:space="0"/>
                  </w:tcBorders>
                  <w:vAlign w:val="center"/>
                </w:tcPr>
                <w:p>
                  <w:pPr>
                    <w:pStyle w:val="11"/>
                    <w:bidi w:val="0"/>
                  </w:pPr>
                </w:p>
              </w:tc>
              <w:tc>
                <w:tcPr>
                  <w:tcW w:w="1016" w:type="pct"/>
                  <w:vMerge w:val="continue"/>
                  <w:tcBorders>
                    <w:bottom w:val="single" w:color="auto" w:sz="8" w:space="0"/>
                  </w:tcBorders>
                  <w:vAlign w:val="center"/>
                </w:tcPr>
                <w:p>
                  <w:pPr>
                    <w:pStyle w:val="11"/>
                    <w:bidi w:val="0"/>
                  </w:pPr>
                </w:p>
              </w:tc>
              <w:tc>
                <w:tcPr>
                  <w:tcW w:w="1174" w:type="pct"/>
                  <w:tcBorders>
                    <w:bottom w:val="single" w:color="auto" w:sz="8" w:space="0"/>
                    <w:right w:val="single" w:color="auto" w:sz="8" w:space="0"/>
                  </w:tcBorders>
                  <w:vAlign w:val="center"/>
                </w:tcPr>
                <w:p>
                  <w:pPr>
                    <w:pStyle w:val="11"/>
                    <w:bidi w:val="0"/>
                    <w:rPr>
                      <w:vertAlign w:val="superscript"/>
                    </w:rPr>
                  </w:pPr>
                  <w:r>
                    <w:t>企业边界 2.0mg/m</w:t>
                  </w:r>
                  <w:r>
                    <w:rPr>
                      <w:vertAlign w:val="superscript"/>
                    </w:rPr>
                    <w:t>3</w:t>
                  </w:r>
                </w:p>
              </w:tc>
            </w:tr>
          </w:tbl>
          <w:p>
            <w:pPr>
              <w:adjustRightInd w:val="0"/>
              <w:snapToGrid w:val="0"/>
              <w:spacing w:line="500" w:lineRule="exact"/>
              <w:ind w:firstLine="480" w:firstLineChars="200"/>
              <w:jc w:val="left"/>
            </w:pPr>
            <w:r>
              <w:rPr>
                <w:rFonts w:hint="eastAsia"/>
              </w:rPr>
              <w:t>根据</w:t>
            </w:r>
            <w:r>
              <w:t>《加油站大气污染物排放标准》(GB20952-2007)中的相关规定</w:t>
            </w:r>
            <w:r>
              <w:rPr>
                <w:rFonts w:hint="eastAsia"/>
              </w:rPr>
              <w:t>排放口距地平面高度应不低于4m。</w:t>
            </w:r>
          </w:p>
          <w:p>
            <w:pPr>
              <w:adjustRightInd w:val="0"/>
              <w:snapToGrid w:val="0"/>
              <w:spacing w:line="500" w:lineRule="exact"/>
              <w:ind w:firstLine="0" w:firstLineChars="0"/>
              <w:jc w:val="left"/>
            </w:pPr>
            <w:r>
              <w:rPr>
                <w:b/>
                <w:bCs/>
              </w:rPr>
              <w:t>2</w:t>
            </w:r>
            <w:r>
              <w:rPr>
                <w:rFonts w:hint="eastAsia"/>
                <w:b/>
                <w:bCs/>
              </w:rPr>
              <w:t>、</w:t>
            </w:r>
            <w:r>
              <w:rPr>
                <w:b/>
                <w:bCs/>
              </w:rPr>
              <w:t>噪声</w:t>
            </w:r>
          </w:p>
          <w:p>
            <w:pPr>
              <w:keepNext w:val="0"/>
              <w:keepLines w:val="0"/>
              <w:pageBreakBefore w:val="0"/>
              <w:widowControl w:val="0"/>
              <w:tabs>
                <w:tab w:val="left" w:pos="5790"/>
              </w:tabs>
              <w:kinsoku/>
              <w:wordWrap/>
              <w:overflowPunct/>
              <w:topLinePunct w:val="0"/>
              <w:autoSpaceDE/>
              <w:autoSpaceDN/>
              <w:bidi w:val="0"/>
              <w:adjustRightInd/>
              <w:snapToGrid/>
              <w:spacing w:line="360" w:lineRule="auto"/>
              <w:ind w:firstLine="480" w:firstLineChars="200"/>
              <w:jc w:val="left"/>
              <w:textAlignment w:val="auto"/>
            </w:pPr>
            <w:r>
              <w:t>营运期</w:t>
            </w:r>
            <w:r>
              <w:rPr>
                <w:rFonts w:hint="eastAsia"/>
              </w:rPr>
              <w:t>噪声</w:t>
            </w:r>
            <w:r>
              <w:t>执行《工业企业厂界环境噪声排放标准》（GB12348-2008）2类</w:t>
            </w:r>
            <w:r>
              <w:rPr>
                <w:rFonts w:hint="eastAsia"/>
                <w:lang w:eastAsia="zh-CN"/>
              </w:rPr>
              <w:t>和</w:t>
            </w:r>
            <w:r>
              <w:rPr>
                <w:rFonts w:hint="eastAsia"/>
                <w:lang w:val="en-US" w:eastAsia="zh-CN"/>
              </w:rPr>
              <w:t>4类</w:t>
            </w:r>
            <w:r>
              <w:t>标准限值，详见表</w:t>
            </w:r>
            <w:r>
              <w:rPr>
                <w:rFonts w:hint="eastAsia"/>
                <w:lang w:val="en-US" w:eastAsia="zh-CN"/>
              </w:rPr>
              <w:t>20</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lang w:val="en-US" w:eastAsia="zh-CN"/>
              </w:rPr>
            </w:pPr>
            <w:r>
              <w:rPr>
                <w:rFonts w:hint="eastAsia"/>
                <w:b/>
                <w:bCs/>
                <w:lang w:val="en-US" w:eastAsia="zh-CN"/>
              </w:rPr>
              <w:t>表20《工业企业厂界环境噪声排放标准》（GB12348-2008）单位：dB（A）</w:t>
            </w:r>
          </w:p>
          <w:tbl>
            <w:tblPr>
              <w:tblStyle w:val="22"/>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3"/>
              <w:gridCol w:w="1483"/>
              <w:gridCol w:w="2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top w:val="single" w:color="auto" w:sz="8" w:space="0"/>
                    <w:left w:val="single" w:color="auto" w:sz="0" w:space="0"/>
                  </w:tcBorders>
                  <w:vAlign w:val="center"/>
                </w:tcPr>
                <w:p>
                  <w:pPr>
                    <w:spacing w:line="240" w:lineRule="auto"/>
                    <w:ind w:firstLine="0" w:firstLineChars="0"/>
                    <w:jc w:val="center"/>
                    <w:textAlignment w:val="baseline"/>
                    <w:rPr>
                      <w:sz w:val="21"/>
                      <w:szCs w:val="21"/>
                    </w:rPr>
                  </w:pPr>
                  <w:r>
                    <w:rPr>
                      <w:sz w:val="21"/>
                      <w:szCs w:val="21"/>
                    </w:rPr>
                    <w:t>边界外声环境功能区类别</w:t>
                  </w:r>
                </w:p>
              </w:tc>
              <w:tc>
                <w:tcPr>
                  <w:tcW w:w="1483" w:type="dxa"/>
                  <w:tcBorders>
                    <w:top w:val="single" w:color="auto" w:sz="8" w:space="0"/>
                  </w:tcBorders>
                  <w:vAlign w:val="center"/>
                </w:tcPr>
                <w:p>
                  <w:pPr>
                    <w:spacing w:line="240" w:lineRule="auto"/>
                    <w:ind w:firstLine="0" w:firstLineChars="0"/>
                    <w:jc w:val="center"/>
                    <w:textAlignment w:val="baseline"/>
                    <w:rPr>
                      <w:sz w:val="21"/>
                      <w:szCs w:val="21"/>
                    </w:rPr>
                  </w:pPr>
                  <w:r>
                    <w:rPr>
                      <w:sz w:val="21"/>
                      <w:szCs w:val="21"/>
                    </w:rPr>
                    <w:t>昼间</w:t>
                  </w:r>
                </w:p>
              </w:tc>
              <w:tc>
                <w:tcPr>
                  <w:tcW w:w="2519" w:type="dxa"/>
                  <w:tcBorders>
                    <w:top w:val="single" w:color="auto" w:sz="8" w:space="0"/>
                    <w:right w:val="single" w:color="auto" w:sz="8" w:space="0"/>
                  </w:tcBorders>
                  <w:vAlign w:val="center"/>
                </w:tcPr>
                <w:p>
                  <w:pPr>
                    <w:spacing w:line="240" w:lineRule="auto"/>
                    <w:ind w:firstLine="0" w:firstLineChars="0"/>
                    <w:jc w:val="center"/>
                    <w:textAlignment w:val="baseline"/>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tcBorders>
                  <w:vAlign w:val="center"/>
                </w:tcPr>
                <w:p>
                  <w:pPr>
                    <w:spacing w:line="240" w:lineRule="auto"/>
                    <w:ind w:firstLine="0" w:firstLineChars="0"/>
                    <w:jc w:val="center"/>
                    <w:textAlignment w:val="baseline"/>
                    <w:rPr>
                      <w:sz w:val="21"/>
                      <w:szCs w:val="21"/>
                    </w:rPr>
                  </w:pPr>
                  <w:r>
                    <w:rPr>
                      <w:sz w:val="21"/>
                      <w:szCs w:val="21"/>
                    </w:rPr>
                    <w:t>2类</w:t>
                  </w:r>
                </w:p>
              </w:tc>
              <w:tc>
                <w:tcPr>
                  <w:tcW w:w="1483" w:type="dxa"/>
                  <w:vAlign w:val="center"/>
                </w:tcPr>
                <w:p>
                  <w:pPr>
                    <w:spacing w:line="240" w:lineRule="auto"/>
                    <w:ind w:firstLine="0" w:firstLineChars="0"/>
                    <w:jc w:val="center"/>
                    <w:textAlignment w:val="baseline"/>
                    <w:rPr>
                      <w:sz w:val="21"/>
                      <w:szCs w:val="21"/>
                    </w:rPr>
                  </w:pPr>
                  <w:r>
                    <w:rPr>
                      <w:sz w:val="21"/>
                      <w:szCs w:val="21"/>
                    </w:rPr>
                    <w:t>60</w:t>
                  </w:r>
                </w:p>
              </w:tc>
              <w:tc>
                <w:tcPr>
                  <w:tcW w:w="2519" w:type="dxa"/>
                  <w:tcBorders>
                    <w:right w:val="single" w:color="auto" w:sz="8" w:space="0"/>
                  </w:tcBorders>
                  <w:vAlign w:val="center"/>
                </w:tcPr>
                <w:p>
                  <w:pPr>
                    <w:spacing w:line="240" w:lineRule="auto"/>
                    <w:ind w:firstLine="0" w:firstLineChars="0"/>
                    <w:jc w:val="center"/>
                    <w:textAlignment w:val="baseline"/>
                    <w:rPr>
                      <w:sz w:val="21"/>
                      <w:szCs w:val="21"/>
                    </w:rPr>
                  </w:pPr>
                  <w:r>
                    <w:rPr>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bottom w:val="single" w:color="auto" w:sz="8" w:space="0"/>
                  </w:tcBorders>
                  <w:vAlign w:val="center"/>
                </w:tcPr>
                <w:p>
                  <w:pPr>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4类</w:t>
                  </w:r>
                </w:p>
              </w:tc>
              <w:tc>
                <w:tcPr>
                  <w:tcW w:w="1483" w:type="dxa"/>
                  <w:tcBorders>
                    <w:bottom w:val="single" w:color="auto" w:sz="8" w:space="0"/>
                  </w:tcBorders>
                  <w:vAlign w:val="center"/>
                </w:tcPr>
                <w:p>
                  <w:pPr>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70</w:t>
                  </w:r>
                </w:p>
              </w:tc>
              <w:tc>
                <w:tcPr>
                  <w:tcW w:w="2519" w:type="dxa"/>
                  <w:tcBorders>
                    <w:bottom w:val="single" w:color="auto" w:sz="8" w:space="0"/>
                    <w:right w:val="single" w:color="auto" w:sz="8" w:space="0"/>
                  </w:tcBorders>
                  <w:vAlign w:val="center"/>
                </w:tcPr>
                <w:p>
                  <w:pPr>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55</w:t>
                  </w:r>
                </w:p>
              </w:tc>
            </w:tr>
          </w:tbl>
          <w:p>
            <w:pPr>
              <w:adjustRightInd w:val="0"/>
              <w:snapToGrid w:val="0"/>
              <w:spacing w:line="500" w:lineRule="exact"/>
              <w:ind w:firstLine="0" w:firstLineChars="0"/>
              <w:jc w:val="left"/>
            </w:pPr>
            <w:r>
              <w:rPr>
                <w:rFonts w:hint="eastAsia"/>
                <w:b/>
                <w:bCs/>
              </w:rPr>
              <w:t>3、</w:t>
            </w:r>
            <w:r>
              <w:rPr>
                <w:b/>
                <w:bCs/>
              </w:rPr>
              <w:t>固体废物</w:t>
            </w:r>
          </w:p>
          <w:p>
            <w:pPr>
              <w:tabs>
                <w:tab w:val="left" w:pos="5790"/>
              </w:tabs>
              <w:adjustRightInd w:val="0"/>
              <w:snapToGrid w:val="0"/>
              <w:spacing w:line="500" w:lineRule="exact"/>
              <w:ind w:firstLine="480" w:firstLineChars="200"/>
              <w:jc w:val="left"/>
            </w:pPr>
            <w:r>
              <w:t>一般固体废物执行《一般工业固体废物贮存、处置场污染物控制标准》（GB18599-2001）</w:t>
            </w:r>
            <w:r>
              <w:rPr>
                <w:rFonts w:hint="eastAsia"/>
              </w:rPr>
              <w:t>及2013修改单。</w:t>
            </w:r>
          </w:p>
          <w:p>
            <w:pPr>
              <w:tabs>
                <w:tab w:val="left" w:pos="5790"/>
              </w:tabs>
              <w:adjustRightInd w:val="0"/>
              <w:snapToGrid w:val="0"/>
              <w:spacing w:line="500" w:lineRule="exact"/>
              <w:ind w:firstLine="480" w:firstLineChars="200"/>
              <w:jc w:val="left"/>
              <w:rPr>
                <w:rFonts w:ascii="Times New Roman" w:hAnsi="Times New Roman" w:eastAsia="宋体" w:cs="Times New Roman"/>
                <w:sz w:val="24"/>
                <w:szCs w:val="20"/>
              </w:rPr>
            </w:pPr>
            <w:r>
              <w:rPr>
                <w:rFonts w:hint="eastAsia"/>
              </w:rPr>
              <w:t>危险</w:t>
            </w:r>
            <w:r>
              <w:t>废物执行</w:t>
            </w:r>
            <w:r>
              <w:rPr>
                <w:rFonts w:hint="eastAsia"/>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1"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总量控制指标</w:t>
            </w:r>
          </w:p>
        </w:tc>
        <w:tc>
          <w:tcPr>
            <w:tcW w:w="7771" w:type="dxa"/>
            <w:vAlign w:val="center"/>
          </w:tcPr>
          <w:p>
            <w:pPr>
              <w:pStyle w:val="2"/>
              <w:ind w:left="0" w:leftChars="0" w:firstLine="0" w:firstLineChars="0"/>
              <w:jc w:val="left"/>
              <w:rPr>
                <w:rFonts w:ascii="Times New Roman" w:hAnsi="Times New Roman" w:eastAsia="宋体" w:cs="Times New Roman"/>
                <w:sz w:val="24"/>
                <w:szCs w:val="20"/>
              </w:rPr>
            </w:pP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建议本项目不设置污染物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tc>
      </w:tr>
    </w:tbl>
    <w:p>
      <w:pPr>
        <w:rPr>
          <w:rFonts w:ascii="Times New Roman" w:hAnsi="Times New Roman" w:eastAsia="宋体" w:cs="Times New Roman"/>
          <w:b/>
          <w:bCs/>
          <w:kern w:val="44"/>
          <w:sz w:val="30"/>
          <w:szCs w:val="30"/>
        </w:rPr>
      </w:pPr>
      <w:bookmarkStart w:id="13" w:name="_Toc256177432"/>
      <w:bookmarkStart w:id="14" w:name="_Toc168387860"/>
      <w:bookmarkStart w:id="15" w:name="_Toc257241227"/>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建设项目工程分析</w:t>
      </w:r>
      <w:bookmarkEnd w:id="13"/>
      <w:bookmarkEnd w:id="14"/>
      <w:bookmarkEnd w:id="15"/>
    </w:p>
    <w:tbl>
      <w:tblPr>
        <w:tblStyle w:val="22"/>
        <w:tblW w:w="84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8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3024" w:hRule="atLeast"/>
          <w:jc w:val="center"/>
        </w:trPr>
        <w:tc>
          <w:tcPr>
            <w:tcW w:w="8450" w:type="dxa"/>
          </w:tcPr>
          <w:p>
            <w:pPr>
              <w:adjustRightInd w:val="0"/>
              <w:snapToGrid w:val="0"/>
              <w:spacing w:line="360" w:lineRule="auto"/>
              <w:ind w:firstLine="0" w:firstLineChars="0"/>
              <w:rPr>
                <w:rFonts w:ascii="Times New Roman" w:hAnsi="Times New Roman" w:eastAsia="宋体" w:cs="Times New Roman"/>
                <w:b/>
                <w:sz w:val="24"/>
                <w:szCs w:val="20"/>
              </w:rPr>
            </w:pPr>
            <w:r>
              <w:rPr>
                <w:rFonts w:hint="eastAsia" w:cs="Times New Roman"/>
                <w:b/>
                <w:sz w:val="24"/>
                <w:szCs w:val="20"/>
                <w:lang w:val="en-US" w:eastAsia="zh-CN"/>
              </w:rPr>
              <w:t>1、</w:t>
            </w:r>
            <w:r>
              <w:rPr>
                <w:rFonts w:hint="eastAsia" w:ascii="Times New Roman" w:hAnsi="Times New Roman" w:eastAsia="宋体" w:cs="Times New Roman"/>
                <w:b/>
                <w:sz w:val="24"/>
                <w:szCs w:val="20"/>
              </w:rPr>
              <w:t>工艺</w:t>
            </w:r>
            <w:r>
              <w:rPr>
                <w:rFonts w:ascii="Times New Roman" w:hAnsi="Times New Roman" w:eastAsia="宋体" w:cs="Times New Roman"/>
                <w:b/>
                <w:sz w:val="24"/>
                <w:szCs w:val="20"/>
              </w:rPr>
              <w:t>流程简述</w:t>
            </w:r>
          </w:p>
          <w:p>
            <w:pPr>
              <w:spacing w:line="360" w:lineRule="auto"/>
              <w:ind w:firstLine="482" w:firstLineChars="200"/>
              <w:rPr>
                <w:rFonts w:hint="default" w:ascii="Times New Roman" w:hAnsi="Times New Roman" w:eastAsia="宋体" w:cs="Times New Roman"/>
                <w:sz w:val="24"/>
              </w:rPr>
            </w:pPr>
            <w:r>
              <w:rPr>
                <w:rFonts w:hint="eastAsia"/>
                <w:b/>
                <w:bCs/>
                <w:sz w:val="24"/>
                <w:u w:val="single"/>
              </w:rPr>
              <w:t>本项目为加油站整体</w:t>
            </w:r>
            <w:r>
              <w:rPr>
                <w:rFonts w:hint="eastAsia"/>
                <w:b/>
                <w:bCs/>
                <w:sz w:val="24"/>
                <w:u w:val="single"/>
                <w:lang w:eastAsia="zh-CN"/>
              </w:rPr>
              <w:t>扩</w:t>
            </w:r>
            <w:r>
              <w:rPr>
                <w:rFonts w:hint="eastAsia"/>
                <w:b/>
                <w:bCs/>
                <w:sz w:val="24"/>
                <w:u w:val="single"/>
              </w:rPr>
              <w:t>建项目，</w:t>
            </w:r>
            <w:r>
              <w:rPr>
                <w:rFonts w:hint="eastAsia"/>
                <w:b/>
                <w:bCs/>
                <w:sz w:val="24"/>
                <w:u w:val="single"/>
                <w:lang w:eastAsia="zh-CN"/>
              </w:rPr>
              <w:t>对加油站</w:t>
            </w:r>
            <w:r>
              <w:rPr>
                <w:rFonts w:hint="eastAsia"/>
                <w:b/>
                <w:bCs/>
                <w:sz w:val="24"/>
                <w:u w:val="single"/>
              </w:rPr>
              <w:t>储罐区</w:t>
            </w:r>
            <w:r>
              <w:rPr>
                <w:rFonts w:hint="eastAsia"/>
                <w:b/>
                <w:bCs/>
                <w:sz w:val="24"/>
                <w:u w:val="single"/>
                <w:lang w:eastAsia="zh-CN"/>
              </w:rPr>
              <w:t>进行扩建，并对加油站</w:t>
            </w:r>
            <w:r>
              <w:rPr>
                <w:rFonts w:hint="eastAsia"/>
                <w:b/>
                <w:bCs/>
                <w:sz w:val="24"/>
                <w:u w:val="single"/>
              </w:rPr>
              <w:t>罩棚等设施</w:t>
            </w:r>
            <w:r>
              <w:rPr>
                <w:rFonts w:hint="eastAsia"/>
                <w:b/>
                <w:bCs/>
                <w:sz w:val="24"/>
                <w:u w:val="single"/>
                <w:lang w:eastAsia="zh-CN"/>
              </w:rPr>
              <w:t>进行整修重建</w:t>
            </w:r>
            <w:r>
              <w:rPr>
                <w:rFonts w:hint="default" w:ascii="Times New Roman" w:hAnsi="Times New Roman" w:eastAsia="宋体" w:cs="Times New Roman"/>
                <w:b/>
                <w:bCs/>
                <w:color w:val="auto"/>
                <w:sz w:val="24"/>
                <w:szCs w:val="24"/>
                <w:u w:val="single"/>
                <w:lang w:eastAsia="zh-CN"/>
              </w:rPr>
              <w:t>。</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w:t>
            </w:r>
            <w:r>
              <w:rPr>
                <w:rFonts w:hint="default" w:ascii="Times New Roman" w:hAnsi="Times New Roman" w:cs="Times New Roman"/>
                <w:b/>
                <w:bCs/>
                <w:u w:val="single"/>
                <w:lang w:val="zh-CN"/>
              </w:rPr>
              <w:t>将柴油罐由</w:t>
            </w:r>
            <w:r>
              <w:rPr>
                <w:rFonts w:hint="default" w:ascii="Times New Roman" w:hAnsi="Times New Roman" w:cs="Times New Roman"/>
                <w:b/>
                <w:bCs/>
                <w:u w:val="single"/>
                <w:lang w:val="en-US" w:eastAsia="zh-CN"/>
              </w:rPr>
              <w:t>30m³更换为50m³的储罐</w:t>
            </w:r>
            <w:r>
              <w:rPr>
                <w:rFonts w:hint="eastAsia"/>
                <w:b/>
                <w:bCs/>
                <w:u w:val="single"/>
                <w:lang w:val="zh-CN"/>
              </w:rPr>
              <w:t>。</w:t>
            </w:r>
            <w:r>
              <w:rPr>
                <w:rFonts w:hint="default" w:ascii="Times New Roman" w:hAnsi="Times New Roman" w:eastAsia="宋体" w:cs="Times New Roman"/>
                <w:color w:val="auto"/>
                <w:sz w:val="24"/>
                <w:szCs w:val="24"/>
                <w:lang w:eastAsia="zh-CN"/>
              </w:rPr>
              <w:t>项目建设对周围环境的影响分为施工期和运营期。</w:t>
            </w:r>
            <w:r>
              <w:rPr>
                <w:rFonts w:hint="default" w:ascii="Times New Roman" w:hAnsi="Times New Roman" w:eastAsia="宋体" w:cs="Times New Roman"/>
                <w:color w:val="auto"/>
                <w:sz w:val="24"/>
              </w:rPr>
              <w:t>根据建设单位提供资料，施工期共计约</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个月（合</w:t>
            </w:r>
            <w:r>
              <w:rPr>
                <w:rFonts w:hint="eastAsia" w:ascii="Times New Roman" w:hAnsi="Times New Roman" w:eastAsia="宋体" w:cs="Times New Roman"/>
                <w:color w:val="auto"/>
                <w:sz w:val="24"/>
                <w:lang w:val="en-US" w:eastAsia="zh-CN"/>
              </w:rPr>
              <w:t>30</w:t>
            </w:r>
            <w:r>
              <w:rPr>
                <w:rFonts w:hint="default" w:ascii="Times New Roman" w:hAnsi="Times New Roman" w:eastAsia="宋体" w:cs="Times New Roman"/>
                <w:color w:val="auto"/>
                <w:sz w:val="24"/>
              </w:rPr>
              <w:t>天），</w:t>
            </w:r>
            <w:r>
              <w:rPr>
                <w:rFonts w:hint="eastAsia" w:ascii="Times New Roman" w:hAnsi="Times New Roman"/>
                <w:sz w:val="24"/>
              </w:rPr>
              <w:t>项目施工期工艺流程及产污工序，见图1</w:t>
            </w:r>
            <w:r>
              <w:rPr>
                <w:rFonts w:ascii="Times New Roman" w:hAnsi="Times New Roman"/>
                <w:sz w:val="24"/>
              </w:rPr>
              <w:t>。</w:t>
            </w:r>
          </w:p>
          <w:p>
            <w:pPr>
              <w:spacing w:line="360" w:lineRule="auto"/>
              <w:ind w:left="0" w:leftChars="0" w:firstLine="0" w:firstLineChars="0"/>
              <w:rPr>
                <w:rFonts w:hint="eastAsia" w:ascii="Times New Roman" w:hAnsi="Times New Roman"/>
                <w:sz w:val="24"/>
                <w:szCs w:val="22"/>
              </w:rPr>
            </w:pPr>
            <w:r>
              <w:rPr>
                <w:rFonts w:hint="eastAsia" w:ascii="Times New Roman" w:hAnsi="Times New Roman"/>
                <w:b/>
                <w:bCs/>
                <w:sz w:val="24"/>
                <w:szCs w:val="22"/>
              </w:rPr>
              <w:t>1</w:t>
            </w:r>
            <w:r>
              <w:rPr>
                <w:rFonts w:hint="eastAsia"/>
                <w:b/>
                <w:bCs/>
                <w:sz w:val="24"/>
                <w:szCs w:val="22"/>
                <w:lang w:val="en-US" w:eastAsia="zh-CN"/>
              </w:rPr>
              <w:t>.1</w:t>
            </w:r>
            <w:r>
              <w:rPr>
                <w:rFonts w:hint="eastAsia" w:ascii="Times New Roman" w:hAnsi="Times New Roman"/>
                <w:b/>
                <w:bCs/>
                <w:sz w:val="24"/>
                <w:szCs w:val="22"/>
              </w:rPr>
              <w:t>、工艺流程及产污环节</w:t>
            </w:r>
          </w:p>
          <w:p>
            <w:pPr>
              <w:spacing w:line="360" w:lineRule="auto"/>
              <w:ind w:left="0" w:leftChars="0" w:firstLine="0" w:firstLineChars="0"/>
              <w:rPr>
                <w:rFonts w:hint="eastAsia" w:ascii="Times New Roman" w:hAnsi="Times New Roman"/>
                <w:b/>
                <w:bCs/>
                <w:sz w:val="24"/>
                <w:szCs w:val="32"/>
              </w:rPr>
            </w:pPr>
            <w:r>
              <w:rPr>
                <w:rFonts w:hint="eastAsia" w:ascii="Times New Roman" w:hAnsi="Times New Roman"/>
                <w:b/>
                <w:bCs/>
                <w:sz w:val="24"/>
                <w:szCs w:val="32"/>
              </w:rPr>
              <w:t>施工期：</w:t>
            </w:r>
          </w:p>
          <w:p>
            <w:pPr>
              <w:adjustRightInd w:val="0"/>
              <w:snapToGrid w:val="0"/>
              <w:spacing w:line="360" w:lineRule="auto"/>
              <w:ind w:left="0" w:leftChars="0" w:firstLine="0" w:firstLineChars="0"/>
              <w:jc w:val="both"/>
              <w:rPr>
                <w:rFonts w:ascii="Times New Roman" w:hAnsi="Times New Roman"/>
                <w:b/>
                <w:color w:val="0070C0"/>
                <w:sz w:val="24"/>
              </w:rPr>
            </w:pPr>
            <w:r>
              <w:rPr>
                <w:rFonts w:ascii="Times New Roman" w:hAnsi="Times New Roman"/>
                <w:b/>
                <w:sz w:val="24"/>
                <w:szCs w:val="20"/>
              </w:rPr>
              <mc:AlternateContent>
                <mc:Choice Requires="wpc">
                  <w:drawing>
                    <wp:inline distT="0" distB="0" distL="114300" distR="114300">
                      <wp:extent cx="5171440" cy="1772920"/>
                      <wp:effectExtent l="0" t="0" r="0" b="0"/>
                      <wp:docPr id="70" name="画布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 name="文本框 51"/>
                              <wps:cNvSpPr txBox="1">
                                <a:spLocks noChangeArrowheads="1"/>
                              </wps:cNvSpPr>
                              <wps:spPr bwMode="auto">
                                <a:xfrm>
                                  <a:off x="334010" y="21590"/>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52" name="直接箭头连接符 52"/>
                              <wps:cNvCnPr>
                                <a:cxnSpLocks noChangeShapeType="1"/>
                              </wps:cNvCnPr>
                              <wps:spPr bwMode="auto">
                                <a:xfrm flipV="1">
                                  <a:off x="665480" y="1041400"/>
                                  <a:ext cx="635" cy="205740"/>
                                </a:xfrm>
                                <a:prstGeom prst="straightConnector1">
                                  <a:avLst/>
                                </a:prstGeom>
                                <a:noFill/>
                                <a:ln w="9525">
                                  <a:solidFill>
                                    <a:srgbClr val="000000"/>
                                  </a:solidFill>
                                  <a:prstDash val="dashDot"/>
                                  <a:round/>
                                  <a:tailEnd type="stealth" w="med" len="med"/>
                                </a:ln>
                                <a:effectLst/>
                              </wps:spPr>
                              <wps:bodyPr/>
                            </wps:wsp>
                            <wps:wsp>
                              <wps:cNvPr id="53" name="文本框 53"/>
                              <wps:cNvSpPr txBox="1">
                                <a:spLocks noChangeArrowheads="1"/>
                              </wps:cNvSpPr>
                              <wps:spPr bwMode="auto">
                                <a:xfrm>
                                  <a:off x="381635" y="1289685"/>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基础工程</w:t>
                                    </w:r>
                                  </w:p>
                                </w:txbxContent>
                              </wps:txbx>
                              <wps:bodyPr rot="0" vert="horz" wrap="square" lIns="91440" tIns="45720" rIns="91440" bIns="45720" anchor="t" anchorCtr="0" upright="1">
                                <a:noAutofit/>
                              </wps:bodyPr>
                            </wps:wsp>
                            <wps:wsp>
                              <wps:cNvPr id="54" name="直接箭头连接符 54"/>
                              <wps:cNvCnPr>
                                <a:cxnSpLocks noChangeShapeType="1"/>
                              </wps:cNvCnPr>
                              <wps:spPr bwMode="auto">
                                <a:xfrm flipV="1">
                                  <a:off x="1776730" y="1046480"/>
                                  <a:ext cx="635" cy="205740"/>
                                </a:xfrm>
                                <a:prstGeom prst="straightConnector1">
                                  <a:avLst/>
                                </a:prstGeom>
                                <a:noFill/>
                                <a:ln w="9525">
                                  <a:solidFill>
                                    <a:srgbClr val="000000"/>
                                  </a:solidFill>
                                  <a:prstDash val="dashDot"/>
                                  <a:round/>
                                  <a:tailEnd type="stealth" w="med" len="med"/>
                                </a:ln>
                                <a:effectLst/>
                              </wps:spPr>
                              <wps:bodyPr/>
                            </wps:wsp>
                            <wps:wsp>
                              <wps:cNvPr id="55" name="文本框 55"/>
                              <wps:cNvSpPr txBox="1">
                                <a:spLocks noChangeArrowheads="1"/>
                              </wps:cNvSpPr>
                              <wps:spPr bwMode="auto">
                                <a:xfrm>
                                  <a:off x="1416685" y="126619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主体工程</w:t>
                                    </w:r>
                                  </w:p>
                                </w:txbxContent>
                              </wps:txbx>
                              <wps:bodyPr rot="0" vert="horz" wrap="square" lIns="91440" tIns="45720" rIns="91440" bIns="45720" anchor="t" anchorCtr="0" upright="1">
                                <a:noAutofit/>
                              </wps:bodyPr>
                            </wps:wsp>
                            <wps:wsp>
                              <wps:cNvPr id="56" name="直接箭头连接符 56"/>
                              <wps:cNvCnPr>
                                <a:cxnSpLocks noChangeShapeType="1"/>
                              </wps:cNvCnPr>
                              <wps:spPr bwMode="auto">
                                <a:xfrm flipV="1">
                                  <a:off x="986790" y="1432560"/>
                                  <a:ext cx="204470" cy="1905"/>
                                </a:xfrm>
                                <a:prstGeom prst="straightConnector1">
                                  <a:avLst/>
                                </a:prstGeom>
                                <a:noFill/>
                                <a:ln>
                                  <a:noFill/>
                                </a:ln>
                                <a:effectLst/>
                              </wps:spPr>
                              <wps:bodyPr/>
                            </wps:wsp>
                            <wps:wsp>
                              <wps:cNvPr id="57" name="直接箭头连接符 57"/>
                              <wps:cNvCnPr>
                                <a:cxnSpLocks noChangeShapeType="1"/>
                              </wps:cNvCnPr>
                              <wps:spPr bwMode="auto">
                                <a:xfrm flipV="1">
                                  <a:off x="986790" y="1432560"/>
                                  <a:ext cx="204470" cy="1905"/>
                                </a:xfrm>
                                <a:prstGeom prst="straightConnector1">
                                  <a:avLst/>
                                </a:prstGeom>
                                <a:noFill/>
                                <a:ln>
                                  <a:noFill/>
                                </a:ln>
                                <a:effectLst/>
                              </wps:spPr>
                              <wps:bodyPr/>
                            </wps:wsp>
                            <wps:wsp>
                              <wps:cNvPr id="58" name="直接箭头连接符 58"/>
                              <wps:cNvCnPr>
                                <a:cxnSpLocks noChangeShapeType="1"/>
                              </wps:cNvCnPr>
                              <wps:spPr bwMode="auto">
                                <a:xfrm>
                                  <a:off x="1174115" y="1431290"/>
                                  <a:ext cx="204470" cy="635"/>
                                </a:xfrm>
                                <a:prstGeom prst="straightConnector1">
                                  <a:avLst/>
                                </a:prstGeom>
                                <a:noFill/>
                                <a:ln w="9525">
                                  <a:solidFill>
                                    <a:srgbClr val="000000"/>
                                  </a:solidFill>
                                  <a:round/>
                                  <a:tailEnd type="stealth" w="med" len="med"/>
                                </a:ln>
                                <a:effectLst/>
                              </wps:spPr>
                              <wps:bodyPr/>
                            </wps:wsp>
                            <wps:wsp>
                              <wps:cNvPr id="59" name="直接箭头连接符 59"/>
                              <wps:cNvCnPr>
                                <a:cxnSpLocks noChangeShapeType="1"/>
                              </wps:cNvCnPr>
                              <wps:spPr bwMode="auto">
                                <a:xfrm flipV="1">
                                  <a:off x="2764790" y="1036955"/>
                                  <a:ext cx="635" cy="205740"/>
                                </a:xfrm>
                                <a:prstGeom prst="straightConnector1">
                                  <a:avLst/>
                                </a:prstGeom>
                                <a:noFill/>
                                <a:ln w="9525">
                                  <a:solidFill>
                                    <a:srgbClr val="000000"/>
                                  </a:solidFill>
                                  <a:prstDash val="dashDot"/>
                                  <a:round/>
                                  <a:tailEnd type="stealth" w="med" len="med"/>
                                </a:ln>
                                <a:effectLst/>
                              </wps:spPr>
                              <wps:bodyPr/>
                            </wps:wsp>
                            <wps:wsp>
                              <wps:cNvPr id="60" name="文本框 60"/>
                              <wps:cNvSpPr txBox="1">
                                <a:spLocks noChangeArrowheads="1"/>
                              </wps:cNvSpPr>
                              <wps:spPr bwMode="auto">
                                <a:xfrm>
                                  <a:off x="2376170" y="128524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设备安装</w:t>
                                    </w:r>
                                  </w:p>
                                </w:txbxContent>
                              </wps:txbx>
                              <wps:bodyPr rot="0" vert="horz" wrap="square" lIns="91440" tIns="45720" rIns="91440" bIns="45720" anchor="t" anchorCtr="0" upright="1">
                                <a:noAutofit/>
                              </wps:bodyPr>
                            </wps:wsp>
                            <wps:wsp>
                              <wps:cNvPr id="61" name="直接箭头连接符 61"/>
                              <wps:cNvCnPr>
                                <a:cxnSpLocks noChangeShapeType="1"/>
                              </wps:cNvCnPr>
                              <wps:spPr bwMode="auto">
                                <a:xfrm>
                                  <a:off x="2171700" y="1450340"/>
                                  <a:ext cx="204470" cy="635"/>
                                </a:xfrm>
                                <a:prstGeom prst="straightConnector1">
                                  <a:avLst/>
                                </a:prstGeom>
                                <a:noFill/>
                                <a:ln w="9525">
                                  <a:solidFill>
                                    <a:srgbClr val="000000"/>
                                  </a:solidFill>
                                  <a:round/>
                                  <a:tailEnd type="stealth" w="med" len="med"/>
                                </a:ln>
                                <a:effectLst/>
                              </wps:spPr>
                              <wps:bodyPr/>
                            </wps:wsp>
                            <wps:wsp>
                              <wps:cNvPr id="62" name="直接箭头连接符 62"/>
                              <wps:cNvCnPr>
                                <a:cxnSpLocks noChangeShapeType="1"/>
                              </wps:cNvCnPr>
                              <wps:spPr bwMode="auto">
                                <a:xfrm flipV="1">
                                  <a:off x="3752215" y="1051560"/>
                                  <a:ext cx="635" cy="205740"/>
                                </a:xfrm>
                                <a:prstGeom prst="straightConnector1">
                                  <a:avLst/>
                                </a:prstGeom>
                                <a:noFill/>
                                <a:ln w="9525">
                                  <a:solidFill>
                                    <a:srgbClr val="000000"/>
                                  </a:solidFill>
                                  <a:prstDash val="dashDot"/>
                                  <a:round/>
                                  <a:tailEnd type="stealth" w="med" len="med"/>
                                </a:ln>
                                <a:effectLst/>
                              </wps:spPr>
                              <wps:bodyPr/>
                            </wps:wsp>
                            <wps:wsp>
                              <wps:cNvPr id="63" name="文本框 63"/>
                              <wps:cNvSpPr txBox="1">
                                <a:spLocks noChangeArrowheads="1"/>
                              </wps:cNvSpPr>
                              <wps:spPr bwMode="auto">
                                <a:xfrm>
                                  <a:off x="3363595" y="129032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装饰工程</w:t>
                                    </w:r>
                                  </w:p>
                                </w:txbxContent>
                              </wps:txbx>
                              <wps:bodyPr rot="0" vert="horz" wrap="square" lIns="91440" tIns="45720" rIns="91440" bIns="45720" anchor="t" anchorCtr="0" upright="1">
                                <a:noAutofit/>
                              </wps:bodyPr>
                            </wps:wsp>
                            <wps:wsp>
                              <wps:cNvPr id="64" name="直接箭头连接符 64"/>
                              <wps:cNvCnPr>
                                <a:cxnSpLocks noChangeShapeType="1"/>
                              </wps:cNvCnPr>
                              <wps:spPr bwMode="auto">
                                <a:xfrm>
                                  <a:off x="3140075" y="1417320"/>
                                  <a:ext cx="204470" cy="635"/>
                                </a:xfrm>
                                <a:prstGeom prst="straightConnector1">
                                  <a:avLst/>
                                </a:prstGeom>
                                <a:noFill/>
                                <a:ln w="9525">
                                  <a:solidFill>
                                    <a:srgbClr val="000000"/>
                                  </a:solidFill>
                                  <a:round/>
                                  <a:tailEnd type="stealth" w="med" len="med"/>
                                </a:ln>
                                <a:effectLst/>
                              </wps:spPr>
                              <wps:bodyPr/>
                            </wps:wsp>
                            <wps:wsp>
                              <wps:cNvPr id="65" name="文本框 65"/>
                              <wps:cNvSpPr txBox="1">
                                <a:spLocks noChangeArrowheads="1"/>
                              </wps:cNvSpPr>
                              <wps:spPr bwMode="auto">
                                <a:xfrm>
                                  <a:off x="4363720" y="1276350"/>
                                  <a:ext cx="49847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竣工</w:t>
                                    </w:r>
                                  </w:p>
                                </w:txbxContent>
                              </wps:txbx>
                              <wps:bodyPr rot="0" vert="horz" wrap="square" lIns="91440" tIns="45720" rIns="91440" bIns="45720" anchor="t" anchorCtr="0" upright="1">
                                <a:noAutofit/>
                              </wps:bodyPr>
                            </wps:wsp>
                            <wps:wsp>
                              <wps:cNvPr id="66" name="直接箭头连接符 66"/>
                              <wps:cNvCnPr>
                                <a:cxnSpLocks noChangeShapeType="1"/>
                              </wps:cNvCnPr>
                              <wps:spPr bwMode="auto">
                                <a:xfrm>
                                  <a:off x="4140200" y="1450975"/>
                                  <a:ext cx="204470" cy="635"/>
                                </a:xfrm>
                                <a:prstGeom prst="straightConnector1">
                                  <a:avLst/>
                                </a:prstGeom>
                                <a:noFill/>
                                <a:ln w="9525">
                                  <a:solidFill>
                                    <a:srgbClr val="000000"/>
                                  </a:solidFill>
                                  <a:round/>
                                  <a:tailEnd type="stealth" w="med" len="med"/>
                                </a:ln>
                                <a:effectLst/>
                              </wps:spPr>
                              <wps:bodyPr/>
                            </wps:wsp>
                            <wps:wsp>
                              <wps:cNvPr id="67" name="文本框 67"/>
                              <wps:cNvSpPr txBox="1">
                                <a:spLocks noChangeArrowheads="1"/>
                              </wps:cNvSpPr>
                              <wps:spPr bwMode="auto">
                                <a:xfrm>
                                  <a:off x="2455545" y="347980"/>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8" name="文本框 68"/>
                              <wps:cNvSpPr txBox="1">
                                <a:spLocks noChangeArrowheads="1"/>
                              </wps:cNvSpPr>
                              <wps:spPr bwMode="auto">
                                <a:xfrm>
                                  <a:off x="3354070" y="334645"/>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9" name="文本框 69"/>
                              <wps:cNvSpPr txBox="1">
                                <a:spLocks noChangeArrowheads="1"/>
                              </wps:cNvSpPr>
                              <wps:spPr bwMode="auto">
                                <a:xfrm>
                                  <a:off x="1397635" y="132715"/>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39.6pt;width:407.2pt;" coordsize="5171440,1772920" editas="canvas"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">
                      <o:lock v:ext="edit" aspectratio="f"/>
                      <v:shape id="_x0000_s1026" o:spid="_x0000_s1026" style="position:absolute;left:0;top:0;height:1772920;width:5171440;" filled="f" stroked="f" coordsize="21600,21600"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">
                        <v:fill on="f" focussize="0,0"/>
                        <v:stroke on="f"/>
                        <v:imagedata o:title=""/>
                        <o:lock v:ext="edit" aspectratio="t"/>
                      </v:shape>
                      <v:shape id="_x0000_s1026" o:spid="_x0000_s1026" o:spt="202" type="#_x0000_t202" style="position:absolute;left:334010;top:21590;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ZLz&#10;CtQAAAAFAQAADwAAAAAAAAABACAAAAAiAAAAZHJzL2Rvd25yZXYueG1sUEsBAhQAFAAAAAgAh07i&#10;QHE9usImAgAALQQAAA4AAAAAAAAAAQAgAAAAIwEAAGRycy9lMm9Eb2MueG1sUEsFBgAAAAAGAAYA&#10;WQEAALs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32" type="#_x0000_t32" style="position:absolute;left:665480;top:104140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X9yHWAAAABQEAAA8AAAAAAAAAAQAgAAAAIgAAAGRycy9kb3ducmV2Lnht&#10;bFBLAQIUABQAAAAIAIdO4kCTuWWlNAIAACwEAAAOAAAAAAAAAAEAIAAAACUBAABkcnMvZTJvRG9j&#10;LnhtbFBLBQYAAAAABgAGAFkBAADLBQAAAAA=&#10;">
                        <v:fill on="f" focussize="0,0"/>
                        <v:stroke color="#000000" joinstyle="round" dashstyle="dashDot" endarrow="classic"/>
                        <v:imagedata o:title=""/>
                        <o:lock v:ext="edit" aspectratio="f"/>
                      </v:shape>
                      <v:shape id="_x0000_s1026" o:spid="_x0000_s1026" o:spt="202" type="#_x0000_t202" style="position:absolute;left:381635;top:1289685;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F3ANKFQAgAAeA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基础工程</w:t>
                              </w:r>
                            </w:p>
                          </w:txbxContent>
                        </v:textbox>
                      </v:shape>
                      <v:shape id="_x0000_s1026" o:spid="_x0000_s1026" o:spt="32" type="#_x0000_t32" style="position:absolute;left:1776730;top:104648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1f3IdYAAAAFAQAADwAAAAAAAAABACAAAAAiAAAAZHJzL2Rvd25yZXYu&#10;eG1sUEsBAhQAFAAAAAgAh07iQPOeDFo2AgAALQQAAA4AAAAAAAAAAQAgAAAAJQEAAGRycy9lMm9E&#10;b2MueG1sUEsFBgAAAAAGAAYAWQEAAM0FAAAAAA==&#10;">
                        <v:fill on="f" focussize="0,0"/>
                        <v:stroke color="#000000" joinstyle="round" dashstyle="dashDot" endarrow="classic"/>
                        <v:imagedata o:title=""/>
                        <o:lock v:ext="edit" aspectratio="f"/>
                      </v:shape>
                      <v:shape id="_x0000_s1026" o:spid="_x0000_s1026" o:spt="202" type="#_x0000_t202" style="position:absolute;left:1416685;top:126619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M8Gd51AAAAAUBAAAPAAAAAAAA&#10;AAEAIAAAACIAAABkcnMvZG93bnJldi54bWxQSwECFAAUAAAACACHTuJAcXCkg08CAAB5BAAADgAA&#10;AAAAAAABACAAAAAjAQAAZHJzL2Uyb0RvYy54bWxQSwUGAAAAAAYABgBZAQAA5A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主体工程</w:t>
                              </w:r>
                            </w:p>
                          </w:txbxContent>
                        </v:textbox>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LU9cX&#10;0wAAAAUBAAAPAAAAAAAAAAEAIAAAACIAAABkcnMvZG93bnJldi54bWxQSwECFAAUAAAACACHTuJA&#10;vVNiq+0BAACpAwAADgAAAAAAAAABACAAAAAiAQAAZHJzL2Uyb0RvYy54bWxQSwUGAAAAAAYABgBZ&#10;AQAAgQUAAAAA&#10;">
                        <v:fill on="f" focussize="0,0"/>
                        <v:stroke on="f"/>
                        <v:imagedata o:title=""/>
                        <o:lock v:ext="edit" aspectratio="f"/>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LU9cX&#10;0wAAAAUBAAAPAAAAAAAAAAEAIAAAACIAAABkcnMvZG93bnJldi54bWxQSwECFAAUAAAACACHTuJA&#10;6mPxh+0BAACpAwAADgAAAAAAAAABACAAAAAiAQAAZHJzL2Uyb0RvYy54bWxQSwUGAAAAAAYABgBZ&#10;AQAAgQUAAAAA&#10;">
                        <v:fill on="f" focussize="0,0"/>
                        <v:stroke on="f"/>
                        <v:imagedata o:title=""/>
                        <o:lock v:ext="edit" aspectratio="f"/>
                      </v:shape>
                      <v:shape id="_x0000_s1026" o:spid="_x0000_s1026" o:spt="32" type="#_x0000_t32" style="position:absolute;left:1174115;top:143129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lFFDV&#10;AAAABQEAAA8AAAAAAAAAAQAgAAAAIgAAAGRycy9kb3ducmV2LnhtbFBLAQIUABQAAAAIAIdO4kDK&#10;Y3gLIwIAAAgEAAAOAAAAAAAAAAEAIAAAACQBAABkcnMvZTJvRG9jLnhtbFBLBQYAAAAABgAGAFkB&#10;AAC5BQAAAAA=&#10;">
                        <v:fill on="f" focussize="0,0"/>
                        <v:stroke color="#000000" joinstyle="round" endarrow="classic"/>
                        <v:imagedata o:title=""/>
                        <o:lock v:ext="edit" aspectratio="f"/>
                      </v:shape>
                      <v:shape id="_x0000_s1026" o:spid="_x0000_s1026" o:spt="32" type="#_x0000_t32" style="position:absolute;left:2764790;top:1036955;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NX9yHWAAAABQEAAA8AAAAAAAAAAQAgAAAAIgAAAGRycy9kb3ducmV2&#10;LnhtbFBLAQIUABQAAAAIAIdO4kBwFZgdNwIAAC0EAAAOAAAAAAAAAAEAIAAAACUBAABkcnMvZTJv&#10;RG9jLnhtbFBLBQYAAAAABgAGAFkBAADOBQAAAAA=&#10;">
                        <v:fill on="f" focussize="0,0"/>
                        <v:stroke color="#000000" joinstyle="round" dashstyle="dashDot" endarrow="classic"/>
                        <v:imagedata o:title=""/>
                        <o:lock v:ext="edit" aspectratio="f"/>
                      </v:shape>
                      <v:shape id="_x0000_s1026" o:spid="_x0000_s1026" o:spt="202" type="#_x0000_t202" style="position:absolute;left:2376170;top:128524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PVg/HhQAgAAeQ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设备安装</w:t>
                              </w:r>
                            </w:p>
                          </w:txbxContent>
                        </v:textbox>
                      </v:shape>
                      <v:shape id="_x0000_s1026" o:spid="_x0000_s1026" o:spt="32" type="#_x0000_t32" style="position:absolute;left:2171700;top:145034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vpRRQ1QAA&#10;AAUBAAAPAAAAAAAAAAEAIAAAACIAAABkcnMvZG93bnJldi54bWxQSwECFAAUAAAACACHTuJArgbg&#10;/SECAAAIBAAADgAAAAAAAAABACAAAAAkAQAAZHJzL2Uyb0RvYy54bWxQSwUGAAAAAAYABgBZAQAA&#10;twUAAAAA&#10;">
                        <v:fill on="f" focussize="0,0"/>
                        <v:stroke color="#000000" joinstyle="round" endarrow="classic"/>
                        <v:imagedata o:title=""/>
                        <o:lock v:ext="edit" aspectratio="f"/>
                      </v:shape>
                      <v:shape id="_x0000_s1026" o:spid="_x0000_s1026" o:spt="32" type="#_x0000_t32" style="position:absolute;left:3752215;top:105156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X9yHWAAAABQEAAA8AAAAAAAAAAQAgAAAAIgAAAGRycy9kb3ducmV2Lnht&#10;bFBLAQIUABQAAAAIAIdO4kC+c2pKNAIAAC0EAAAOAAAAAAAAAAEAIAAAACUBAABkcnMvZTJvRG9j&#10;LnhtbFBLBQYAAAAABgAGAFkBAADLBQAAAAA=&#10;">
                        <v:fill on="f" focussize="0,0"/>
                        <v:stroke color="#000000" joinstyle="round" dashstyle="dashDot" endarrow="classic"/>
                        <v:imagedata o:title=""/>
                        <o:lock v:ext="edit" aspectratio="f"/>
                      </v:shape>
                      <v:shape id="_x0000_s1026" o:spid="_x0000_s1026" o:spt="202" type="#_x0000_t202" style="position:absolute;left:3363595;top:129032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NqjuaxQAgAAeQ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装饰工程</w:t>
                              </w:r>
                            </w:p>
                          </w:txbxContent>
                        </v:textbox>
                      </v:shape>
                      <v:shape id="_x0000_s1026" o:spid="_x0000_s1026" o:spt="32" type="#_x0000_t32" style="position:absolute;left:3140075;top:141732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lFFDV&#10;AAAABQEAAA8AAAAAAAAAAQAgAAAAIgAAAGRycy9kb3ducmV2LnhtbFBLAQIUABQAAAAIAIdO4kCa&#10;LzA1IwIAAAgEAAAOAAAAAAAAAAEAIAAAACQBAABkcnMvZTJvRG9jLnhtbFBLBQYAAAAABgAGAFkB&#10;AAC5BQAAAAA=&#10;">
                        <v:fill on="f" focussize="0,0"/>
                        <v:stroke color="#000000" joinstyle="round" endarrow="classic"/>
                        <v:imagedata o:title=""/>
                        <o:lock v:ext="edit" aspectratio="f"/>
                      </v:shape>
                      <v:shape id="_x0000_s1026" o:spid="_x0000_s1026" o:spt="202" type="#_x0000_t202" style="position:absolute;left:4363720;top:1276350;height:323215;width:49847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zwZ3nUAAAABQEAAA8AAAAAAAAA&#10;AQAgAAAAIgAAAGRycy9kb3ducmV2LnhtbFBLAQIUABQAAAAIAIdO4kBzfUMnTgIAAHkEAAAOAAAA&#10;AAAAAAEAIAAAACMBAABkcnMvZTJvRG9jLnhtbFBLBQYAAAAABgAGAFkBAADjBQ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竣工</w:t>
                              </w:r>
                            </w:p>
                          </w:txbxContent>
                        </v:textbox>
                      </v:shape>
                      <v:shape id="_x0000_s1026" o:spid="_x0000_s1026" o:spt="32" type="#_x0000_t32" style="position:absolute;left:4140200;top:1450975;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vpRRQ&#10;1QAAAAUBAAAPAAAAAAAAAAEAIAAAACIAAABkcnMvZG93bnJldi54bWxQSwECFAAUAAAACACHTuJA&#10;P3gBWyQCAAAIBAAADgAAAAAAAAABACAAAAAkAQAAZHJzL2Uyb0RvYy54bWxQSwUGAAAAAAYABgBZ&#10;AQAAugUAAAAA&#10;">
                        <v:fill on="f" focussize="0,0"/>
                        <v:stroke color="#000000" joinstyle="round" endarrow="classic"/>
                        <v:imagedata o:title=""/>
                        <o:lock v:ext="edit" aspectratio="f"/>
                      </v:shape>
                      <v:shape id="_x0000_s1026" o:spid="_x0000_s1026" o:spt="202" type="#_x0000_t202" style="position:absolute;left:2455545;top:347980;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mS&#10;8wrUAAAABQEAAA8AAAAAAAAAAQAgAAAAIgAAAGRycy9kb3ducmV2LnhtbFBLAQIUABQAAAAIAIdO&#10;4kAlYRFhJwIAAC8EAAAOAAAAAAAAAAEAIAAAACMBAABkcnMvZTJvRG9jLnhtbFBLBQYAAAAABgAG&#10;AFkBAAC8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3354070;top:334645;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J&#10;kvMK1AAAAAUBAAAPAAAAAAAAAAEAIAAAACIAAABkcnMvZG93bnJldi54bWxQSwECFAAUAAAACACH&#10;TuJAgVojxygCAAAvBAAADgAAAAAAAAABACAAAAAjAQAAZHJzL2Uyb0RvYy54bWxQSwUGAAAAAAYA&#10;BgBZAQAAvQU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1397635;top:132715;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ZLz&#10;CtQAAAAFAQAADwAAAAAAAAABACAAAAAiAAAAZHJzL2Rvd25yZXYueG1sUEsBAhQAFAAAAAgAh07i&#10;QFDnv3YmAgAALwQAAA4AAAAAAAAAAQAgAAAAIwEAAGRycy9lMm9Eb2MueG1sUEsFBgAAAAAGAAYA&#10;WQEAALs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w10:wrap type="none"/>
                      <w10:anchorlock/>
                    </v:group>
                  </w:pict>
                </mc:Fallback>
              </mc:AlternateContent>
            </w:r>
          </w:p>
          <w:p>
            <w:pPr>
              <w:pStyle w:val="11"/>
              <w:bidi w:val="0"/>
              <w:jc w:val="center"/>
            </w:pPr>
            <w:r>
              <w:rPr>
                <w:b/>
                <w:bCs/>
                <w:sz w:val="24"/>
                <w:szCs w:val="24"/>
              </w:rPr>
              <w:t>图</w:t>
            </w:r>
            <w:r>
              <w:rPr>
                <w:rFonts w:hint="eastAsia"/>
                <w:b/>
                <w:bCs/>
                <w:sz w:val="24"/>
                <w:szCs w:val="24"/>
              </w:rPr>
              <w:t>1</w:t>
            </w:r>
            <w:r>
              <w:rPr>
                <w:b/>
                <w:bCs/>
                <w:sz w:val="24"/>
                <w:szCs w:val="24"/>
              </w:rPr>
              <w:t xml:space="preserve">  项目施工流程及</w:t>
            </w:r>
            <w:r>
              <w:rPr>
                <w:rFonts w:hint="eastAsia"/>
                <w:b/>
                <w:bCs/>
                <w:sz w:val="24"/>
                <w:szCs w:val="24"/>
              </w:rPr>
              <w:t>产</w:t>
            </w:r>
            <w:r>
              <w:rPr>
                <w:b/>
                <w:bCs/>
                <w:sz w:val="24"/>
                <w:szCs w:val="24"/>
              </w:rPr>
              <w:t>污</w:t>
            </w:r>
            <w:r>
              <w:rPr>
                <w:rFonts w:hint="eastAsia"/>
                <w:b/>
                <w:bCs/>
                <w:sz w:val="24"/>
                <w:szCs w:val="24"/>
              </w:rPr>
              <w:t>环节</w:t>
            </w:r>
          </w:p>
          <w:p>
            <w:pPr>
              <w:adjustRightInd w:val="0"/>
              <w:snapToGrid w:val="0"/>
              <w:spacing w:line="360" w:lineRule="auto"/>
              <w:ind w:firstLine="0" w:firstLineChars="0"/>
              <w:rPr>
                <w:rFonts w:hint="eastAsia" w:ascii="Times New Roman" w:hAnsi="Times New Roman" w:eastAsia="宋体" w:cs="Times New Roman"/>
                <w:b/>
                <w:sz w:val="24"/>
                <w:szCs w:val="24"/>
                <w:lang w:eastAsia="zh-CN"/>
              </w:rPr>
            </w:pPr>
            <w:r>
              <w:rPr>
                <w:rFonts w:hint="eastAsia" w:cs="Times New Roman"/>
                <w:b/>
                <w:sz w:val="24"/>
                <w:szCs w:val="24"/>
                <w:lang w:eastAsia="zh-CN"/>
              </w:rPr>
              <w:t>项目运营流程</w:t>
            </w:r>
          </w:p>
          <w:p>
            <w:pPr>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Cs w:val="20"/>
              </w:rPr>
              <mc:AlternateContent>
                <mc:Choice Requires="wpc">
                  <w:drawing>
                    <wp:inline distT="0" distB="0" distL="114300" distR="114300">
                      <wp:extent cx="5257800" cy="1983740"/>
                      <wp:effectExtent l="0" t="0" r="0" b="0"/>
                      <wp:docPr id="88" name="画布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文本框 31"/>
                              <wps:cNvSpPr txBox="1"/>
                              <wps:spPr>
                                <a:xfrm>
                                  <a:off x="114649" y="1188348"/>
                                  <a:ext cx="57105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wps:txbx>
                              <wps:bodyPr upright="1"/>
                            </wps:wsp>
                            <wps:wsp>
                              <wps:cNvPr id="2" name="文本框 32"/>
                              <wps:cNvSpPr txBox="1"/>
                              <wps:spPr>
                                <a:xfrm>
                                  <a:off x="1028922" y="1188348"/>
                                  <a:ext cx="571056" cy="29963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wps:txbx>
                              <wps:bodyPr upright="1"/>
                            </wps:wsp>
                            <wps:wsp>
                              <wps:cNvPr id="3" name="文本框 33"/>
                              <wps:cNvSpPr txBox="1"/>
                              <wps:spPr>
                                <a:xfrm>
                                  <a:off x="2057114" y="1188348"/>
                                  <a:ext cx="571056" cy="30109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wps:txbx>
                              <wps:bodyPr upright="1"/>
                            </wps:wsp>
                            <wps:wsp>
                              <wps:cNvPr id="4" name="文本框 34"/>
                              <wps:cNvSpPr txBox="1"/>
                              <wps:spPr>
                                <a:xfrm>
                                  <a:off x="3314605" y="1188348"/>
                                  <a:ext cx="57178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wps:txbx>
                              <wps:bodyPr upright="1"/>
                            </wps:wsp>
                            <wps:wsp>
                              <wps:cNvPr id="5" name="文本框 35"/>
                              <wps:cNvSpPr txBox="1"/>
                              <wps:spPr>
                                <a:xfrm>
                                  <a:off x="4343527" y="1188348"/>
                                  <a:ext cx="57178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wps:txbx>
                              <wps:bodyPr upright="1"/>
                            </wps:wsp>
                            <wps:wsp>
                              <wps:cNvPr id="6" name="任意多边形 36"/>
                              <wps:cNvSpPr/>
                              <wps:spPr>
                                <a:xfrm>
                                  <a:off x="685705" y="1340720"/>
                                  <a:ext cx="333724" cy="729"/>
                                </a:xfrm>
                                <a:custGeom>
                                  <a:avLst/>
                                  <a:gdLst/>
                                  <a:ahLst/>
                                  <a:cxnLst/>
                                  <a:pathLst>
                                    <a:path w="525" h="1">
                                      <a:moveTo>
                                        <a:pt x="0" y="1"/>
                                      </a:moveTo>
                                      <a:lnTo>
                                        <a:pt x="525" y="0"/>
                                      </a:lnTo>
                                    </a:path>
                                  </a:pathLst>
                                </a:custGeom>
                                <a:noFill/>
                                <a:ln w="9525" cap="flat" cmpd="sng">
                                  <a:solidFill>
                                    <a:srgbClr val="000000"/>
                                  </a:solidFill>
                                  <a:prstDash val="solid"/>
                                  <a:headEnd type="none" w="med" len="med"/>
                                  <a:tailEnd type="triangle" w="med" len="med"/>
                                </a:ln>
                              </wps:spPr>
                              <wps:bodyPr upright="1"/>
                            </wps:wsp>
                            <wps:wsp>
                              <wps:cNvPr id="7" name="任意多边形 37"/>
                              <wps:cNvSpPr/>
                              <wps:spPr>
                                <a:xfrm>
                                  <a:off x="1609471" y="1350926"/>
                                  <a:ext cx="457137" cy="729"/>
                                </a:xfrm>
                                <a:custGeom>
                                  <a:avLst/>
                                  <a:gdLst/>
                                  <a:ahLst/>
                                  <a:cxnLst/>
                                  <a:pathLst>
                                    <a:path w="720" h="1">
                                      <a:moveTo>
                                        <a:pt x="0" y="1"/>
                                      </a:moveTo>
                                      <a:lnTo>
                                        <a:pt x="720" y="0"/>
                                      </a:lnTo>
                                    </a:path>
                                  </a:pathLst>
                                </a:custGeom>
                                <a:noFill/>
                                <a:ln w="9525" cap="flat" cmpd="sng">
                                  <a:solidFill>
                                    <a:srgbClr val="000000"/>
                                  </a:solidFill>
                                  <a:prstDash val="solid"/>
                                  <a:headEnd type="none" w="med" len="med"/>
                                  <a:tailEnd type="triangle" w="med" len="med"/>
                                </a:ln>
                              </wps:spPr>
                              <wps:bodyPr upright="1"/>
                            </wps:wsp>
                            <wps:wsp>
                              <wps:cNvPr id="8" name="任意多边形 38"/>
                              <wps:cNvSpPr/>
                              <wps:spPr>
                                <a:xfrm>
                                  <a:off x="2628900" y="1331242"/>
                                  <a:ext cx="666718" cy="729"/>
                                </a:xfrm>
                                <a:custGeom>
                                  <a:avLst/>
                                  <a:gdLst/>
                                  <a:ahLst/>
                                  <a:cxnLst/>
                                  <a:pathLst>
                                    <a:path w="1050" h="1">
                                      <a:moveTo>
                                        <a:pt x="0" y="0"/>
                                      </a:moveTo>
                                      <a:lnTo>
                                        <a:pt x="1050" y="0"/>
                                      </a:lnTo>
                                    </a:path>
                                  </a:pathLst>
                                </a:custGeom>
                                <a:noFill/>
                                <a:ln w="9525" cap="flat" cmpd="sng">
                                  <a:solidFill>
                                    <a:srgbClr val="000000"/>
                                  </a:solidFill>
                                  <a:prstDash val="solid"/>
                                  <a:headEnd type="none" w="med" len="med"/>
                                  <a:tailEnd type="triangle" w="med" len="med"/>
                                </a:ln>
                              </wps:spPr>
                              <wps:bodyPr upright="1"/>
                            </wps:wsp>
                            <wps:wsp>
                              <wps:cNvPr id="9" name="任意多边形 39"/>
                              <wps:cNvSpPr/>
                              <wps:spPr>
                                <a:xfrm>
                                  <a:off x="3895884" y="1331242"/>
                                  <a:ext cx="438150" cy="729"/>
                                </a:xfrm>
                                <a:custGeom>
                                  <a:avLst/>
                                  <a:gdLst/>
                                  <a:ahLst/>
                                  <a:cxnLst/>
                                  <a:pathLst>
                                    <a:path w="690" h="1">
                                      <a:moveTo>
                                        <a:pt x="0" y="0"/>
                                      </a:moveTo>
                                      <a:lnTo>
                                        <a:pt x="690" y="0"/>
                                      </a:lnTo>
                                    </a:path>
                                  </a:pathLst>
                                </a:custGeom>
                                <a:noFill/>
                                <a:ln w="9525" cap="flat" cmpd="sng">
                                  <a:solidFill>
                                    <a:srgbClr val="000000"/>
                                  </a:solidFill>
                                  <a:prstDash val="solid"/>
                                  <a:headEnd type="none" w="med" len="med"/>
                                  <a:tailEnd type="triangle" w="med" len="med"/>
                                </a:ln>
                              </wps:spPr>
                              <wps:bodyPr upright="1"/>
                            </wps:wsp>
                            <wps:wsp>
                              <wps:cNvPr id="10" name="文本框 40"/>
                              <wps:cNvSpPr txBox="1"/>
                              <wps:spPr>
                                <a:xfrm>
                                  <a:off x="2628900" y="395873"/>
                                  <a:ext cx="571056"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11" name="任意多边形 41"/>
                              <wps:cNvSpPr/>
                              <wps:spPr>
                                <a:xfrm>
                                  <a:off x="2276189" y="608026"/>
                                  <a:ext cx="333724" cy="551889"/>
                                </a:xfrm>
                                <a:custGeom>
                                  <a:avLst/>
                                  <a:gdLst/>
                                  <a:ahLst/>
                                  <a:cxnLst/>
                                  <a:pathLst>
                                    <a:path w="525" h="869">
                                      <a:moveTo>
                                        <a:pt x="525" y="0"/>
                                      </a:moveTo>
                                      <a:lnTo>
                                        <a:pt x="0" y="869"/>
                                      </a:lnTo>
                                    </a:path>
                                  </a:pathLst>
                                </a:custGeom>
                                <a:noFill/>
                                <a:ln w="9525" cap="flat" cmpd="sng">
                                  <a:solidFill>
                                    <a:srgbClr val="000000"/>
                                  </a:solidFill>
                                  <a:prstDash val="solid"/>
                                  <a:headEnd type="none" w="med" len="med"/>
                                  <a:tailEnd type="triangle" w="med" len="med"/>
                                </a:ln>
                              </wps:spPr>
                              <wps:bodyPr upright="1"/>
                            </wps:wsp>
                            <wps:wsp>
                              <wps:cNvPr id="12" name="任意多边形 42"/>
                              <wps:cNvSpPr/>
                              <wps:spPr>
                                <a:xfrm>
                                  <a:off x="3210179" y="645937"/>
                                  <a:ext cx="428657" cy="542412"/>
                                </a:xfrm>
                                <a:custGeom>
                                  <a:avLst/>
                                  <a:gdLst/>
                                  <a:ahLst/>
                                  <a:cxnLst/>
                                  <a:pathLst>
                                    <a:path w="675" h="854">
                                      <a:moveTo>
                                        <a:pt x="675" y="854"/>
                                      </a:moveTo>
                                      <a:lnTo>
                                        <a:pt x="0" y="0"/>
                                      </a:lnTo>
                                    </a:path>
                                  </a:pathLst>
                                </a:custGeom>
                                <a:noFill/>
                                <a:ln w="9525" cap="flat" cmpd="sng">
                                  <a:solidFill>
                                    <a:srgbClr val="000000"/>
                                  </a:solidFill>
                                  <a:prstDash val="solid"/>
                                  <a:headEnd type="none" w="med" len="med"/>
                                  <a:tailEnd type="triangle" w="med" len="med"/>
                                </a:ln>
                              </wps:spPr>
                              <wps:bodyPr upright="1"/>
                            </wps:wsp>
                            <wps:wsp>
                              <wps:cNvPr id="13" name="文本框 43"/>
                              <wps:cNvSpPr txBox="1"/>
                              <wps:spPr>
                                <a:xfrm>
                                  <a:off x="3429254" y="594174"/>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4" name="文本框 44"/>
                              <wps:cNvSpPr txBox="1"/>
                              <wps:spPr>
                                <a:xfrm>
                                  <a:off x="2057114" y="495024"/>
                                  <a:ext cx="57251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5" name="文本框 62"/>
                              <wps:cNvSpPr txBox="1"/>
                              <wps:spPr>
                                <a:xfrm>
                                  <a:off x="3862292" y="1684101"/>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wps:txbx>
                              <wps:bodyPr upright="1"/>
                            </wps:wsp>
                            <wps:wsp>
                              <wps:cNvPr id="16" name="文本框 72"/>
                              <wps:cNvSpPr txBox="1"/>
                              <wps:spPr>
                                <a:xfrm>
                                  <a:off x="3429254" y="1684101"/>
                                  <a:ext cx="457137"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wps:txbx>
                              <wps:bodyPr upright="1"/>
                            </wps:wsp>
                            <wps:wsp>
                              <wps:cNvPr id="17" name="文本框 73"/>
                              <wps:cNvSpPr txBox="1"/>
                              <wps:spPr>
                                <a:xfrm>
                                  <a:off x="2857468" y="1684101"/>
                                  <a:ext cx="45567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wps:txbx>
                              <wps:bodyPr upright="1"/>
                            </wps:wsp>
                            <wps:wsp>
                              <wps:cNvPr id="18" name="流程图: 摘录 76"/>
                              <wps:cNvSpPr/>
                              <wps:spPr>
                                <a:xfrm>
                                  <a:off x="2857468" y="1783252"/>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19" name="流程图: 摘录 77"/>
                              <wps:cNvSpPr/>
                              <wps:spPr>
                                <a:xfrm>
                                  <a:off x="3314605"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0" name="流程图: 摘录 78"/>
                              <wps:cNvSpPr/>
                              <wps:spPr>
                                <a:xfrm>
                                  <a:off x="2057114"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1" name="流程图: 联系 79"/>
                              <wps:cNvSpPr/>
                              <wps:spPr>
                                <a:xfrm>
                                  <a:off x="3429254" y="1783252"/>
                                  <a:ext cx="114649"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2" name="流程图: 联系 80"/>
                              <wps:cNvSpPr/>
                              <wps:spPr>
                                <a:xfrm>
                                  <a:off x="3657822" y="990776"/>
                                  <a:ext cx="115380"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3" name="流程图: 过程 81"/>
                              <wps:cNvSpPr/>
                              <wps:spPr>
                                <a:xfrm>
                                  <a:off x="3897344" y="1783252"/>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4" name="流程图: 过程 82"/>
                              <wps:cNvSpPr/>
                              <wps:spPr>
                                <a:xfrm>
                                  <a:off x="2628900" y="990776"/>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5" name="文本框 83"/>
                              <wps:cNvSpPr txBox="1"/>
                              <wps:spPr>
                                <a:xfrm>
                                  <a:off x="566674" y="297452"/>
                                  <a:ext cx="570325"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26" name="任意多边形 84"/>
                              <wps:cNvSpPr/>
                              <wps:spPr>
                                <a:xfrm>
                                  <a:off x="1132618" y="594174"/>
                                  <a:ext cx="218345" cy="572303"/>
                                </a:xfrm>
                                <a:custGeom>
                                  <a:avLst/>
                                  <a:gdLst/>
                                  <a:ahLst/>
                                  <a:cxnLst/>
                                  <a:pathLst>
                                    <a:path w="343" h="901">
                                      <a:moveTo>
                                        <a:pt x="343" y="901"/>
                                      </a:moveTo>
                                      <a:lnTo>
                                        <a:pt x="0" y="0"/>
                                      </a:lnTo>
                                    </a:path>
                                  </a:pathLst>
                                </a:custGeom>
                                <a:noFill/>
                                <a:ln w="9525" cap="flat" cmpd="sng">
                                  <a:solidFill>
                                    <a:srgbClr val="000000"/>
                                  </a:solidFill>
                                  <a:prstDash val="solid"/>
                                  <a:headEnd type="none" w="med" len="med"/>
                                  <a:tailEnd type="triangle" w="med" len="med"/>
                                </a:ln>
                              </wps:spPr>
                              <wps:bodyPr upright="1"/>
                            </wps:wsp>
                            <wps:wsp>
                              <wps:cNvPr id="27" name="任意多边形 85"/>
                              <wps:cNvSpPr/>
                              <wps:spPr>
                                <a:xfrm>
                                  <a:off x="376079" y="597090"/>
                                  <a:ext cx="181102" cy="577406"/>
                                </a:xfrm>
                                <a:custGeom>
                                  <a:avLst/>
                                  <a:gdLst/>
                                  <a:ahLst/>
                                  <a:cxnLst/>
                                  <a:pathLst>
                                    <a:path w="285" h="910">
                                      <a:moveTo>
                                        <a:pt x="285" y="0"/>
                                      </a:moveTo>
                                      <a:lnTo>
                                        <a:pt x="0" y="910"/>
                                      </a:lnTo>
                                    </a:path>
                                  </a:pathLst>
                                </a:custGeom>
                                <a:noFill/>
                                <a:ln w="9525" cap="flat" cmpd="sng">
                                  <a:solidFill>
                                    <a:srgbClr val="000000"/>
                                  </a:solidFill>
                                  <a:prstDash val="solid"/>
                                  <a:headEnd type="none" w="med" len="med"/>
                                  <a:tailEnd type="triangle" w="med" len="med"/>
                                </a:ln>
                              </wps:spPr>
                              <wps:bodyPr upright="1"/>
                            </wps:wsp>
                            <wps:wsp>
                              <wps:cNvPr id="28" name="流程图: 摘录 86"/>
                              <wps:cNvSpPr/>
                              <wps:spPr>
                                <a:xfrm>
                                  <a:off x="1415955" y="990776"/>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9" name="流程图: 摘录 87"/>
                              <wps:cNvSpPr/>
                              <wps:spPr>
                                <a:xfrm>
                                  <a:off x="566674" y="990776"/>
                                  <a:ext cx="11391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c:wpc>
                        </a:graphicData>
                      </a:graphic>
                    </wp:inline>
                  </w:drawing>
                </mc:Choice>
                <mc:Fallback>
                  <w:pict>
                    <v:group id="_x0000_s1026" o:spid="_x0000_s1026" o:spt="203" style="height:156.2pt;width:414pt;" coordsize="5257800,1983740" editas="canvas"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F8r1PdYAAAAFAQAADwAAAAAAAAABACAA&#10;AAAiAAAAZHJzL2Rvd25yZXYueG1sUEsBAhQAFAAAAAgAh07iQKegVm7ZBwAAokUAAA4AAAAAAAAA&#10;AQAgAAAAJQEAAGRycy9lMm9Eb2MueG1sUEsFBgAAAAAGAAYAWQEAAHALAAAAAA==&#10;">
                      <o:lock v:ext="edit" aspectratio="f"/>
                      <v:shape id="_x0000_s1026" o:spid="_x0000_s1026" style="position:absolute;left:0;top:0;height:1983740;width:5257800;" filled="f" stroked="f" coordsize="21600,21600"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">
                        <v:fill on="f" focussize="0,0"/>
                        <v:stroke on="f"/>
                        <v:imagedata o:title=""/>
                        <o:lock v:ext="edit" aspectratio="t"/>
                      </v:shape>
                      <v:shape id="文本框 31" o:spid="_x0000_s1026" o:spt="202" type="#_x0000_t202" style="position:absolute;left:114649;top:1188348;height:298910;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m0ELVAAAABQEAAA8AAAAA&#10;AAAAAQAgAAAAIgAAAGRycy9kb3ducmV2LnhtbFBLAQIUABQAAAAIAIdO4kDzL69wFwIAAEEEAAAO&#10;AAAAAAAAAAEAIAAAACQBAABkcnMvZTJvRG9jLnhtbFBLBQYAAAAABgAGAFkBAACtBQ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v:textbox>
                      </v:shape>
                      <v:shape id="文本框 32" o:spid="_x0000_s1026" o:spt="202" type="#_x0000_t202" style="position:absolute;left:1028922;top:1188348;height:299639;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umXnqx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v:textbox>
                      </v:shape>
                      <v:shape id="文本框 33" o:spid="_x0000_s1026" o:spt="202" type="#_x0000_t202" style="position:absolute;left:2057114;top:1188348;height:301097;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7PaxWx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v:textbox>
                      </v:shape>
                      <v:shape id="文本框 34" o:spid="_x0000_s1026" o:spt="202" type="#_x0000_t202" style="position:absolute;left:3314605;top:1188348;height:298910;width:57178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CbQQtUAAAAFAQAADwAA&#10;AAAAAAABACAAAAAiAAAAZHJzL2Rvd25yZXYueG1sUEsBAhQAFAAAAAgAh07iQI2ClvkZAgAAQgQA&#10;AA4AAAAAAAAAAQAgAAAAJAEAAGRycy9lMm9Eb2MueG1sUEsFBgAAAAAGAAYAWQEAAK8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v:textbox>
                      </v:shape>
                      <v:shape id="文本框 35" o:spid="_x0000_s1026" o:spt="202" type="#_x0000_t202" style="position:absolute;left:4343527;top:1188348;height:298910;width:57178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HNc/Re7AQAAWg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v:textbox>
                      </v:shape>
                      <v:shape id="任意多边形 36" o:spid="_x0000_s1026" o:spt="100" style="position:absolute;left:685705;top:1340720;height:729;width:333724;" filled="f" stroked="t" coordsize="525,1" o:gfxdata="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V8fZdMAAAAFAQAADwAAAAAAAAABACAAAAAiAAAA&#10;ZHJzL2Rvd25yZXYueG1sUEsBAhQAFAAAAAgAh07iQJemBQpFAgAAlwQAAA4AAAAAAAAAAQAgAAAA&#10;IgEAAGRycy9lMm9Eb2MueG1sUEsFBgAAAAAGAAYAWQEAANkFAAAAAA==&#10;" path="m0,1l525,0e">
                        <v:fill on="f" focussize="0,0"/>
                        <v:stroke color="#000000" joinstyle="round" endarrow="block"/>
                        <v:imagedata o:title=""/>
                        <o:lock v:ext="edit" aspectratio="f"/>
                      </v:shape>
                      <v:shape id="任意多边形 37" o:spid="_x0000_s1026" o:spt="100" style="position:absolute;left:1609471;top:1350926;height:729;width:457137;" filled="f" stroked="t" coordsize="720,1" o:gfxdata="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im8eDVAAAABQEAAA8AAAAAAAAAAQAgAAAAIgAA&#10;AGRycy9kb3ducmV2LnhtbFBLAQIUABQAAAAIAIdO4kDEoj8eRAIAAJgEAAAOAAAAAAAAAAEAIAAA&#10;ACQBAABkcnMvZTJvRG9jLnhtbFBLBQYAAAAABgAGAFkBAADaBQAAAAA=&#10;" path="m0,1l720,0e">
                        <v:fill on="f" focussize="0,0"/>
                        <v:stroke color="#000000" joinstyle="round" endarrow="block"/>
                        <v:imagedata o:title=""/>
                        <o:lock v:ext="edit" aspectratio="f"/>
                      </v:shape>
                      <v:shape id="任意多边形 38" o:spid="_x0000_s1026" o:spt="100" style="position:absolute;left:2628900;top:1331242;height:729;width:666718;" filled="f" stroked="t" coordsize="1050,1" o:gfxdata="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xnrkNYAAAAFAQAADwAAAAAAAAABACAA&#10;AAAiAAAAZHJzL2Rvd25yZXYueG1sUEsBAhQAFAAAAAgAh07iQBFtJ3NIAgAAmgQAAA4AAAAAAAAA&#10;AQAgAAAAJQEAAGRycy9lMm9Eb2MueG1sUEsFBgAAAAAGAAYAWQEAAN8FAAAAAA==&#10;" path="m0,0l1050,0e">
                        <v:fill on="f" focussize="0,0"/>
                        <v:stroke color="#000000" joinstyle="round" endarrow="block"/>
                        <v:imagedata o:title=""/>
                        <o:lock v:ext="edit" aspectratio="f"/>
                      </v:shape>
                      <v:shape id="任意多边形 39" o:spid="_x0000_s1026" o:spt="100" style="position:absolute;left:3895884;top:1331242;height:729;width:438150;" filled="f" stroked="t" coordsize="690,1" o:gfxdata="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l2ZJ91AAAAAUBAAAPAAAAAAAAAAEAIAAA&#10;ACIAAABkcnMvZG93bnJldi54bWxQSwECFAAUAAAACACHTuJAr8oshUkCAACYBAAADgAAAAAAAAAB&#10;ACAAAAAjAQAAZHJzL2Uyb0RvYy54bWxQSwUGAAAAAAYABgBZAQAA3gUAAAAA&#10;" path="m0,0l690,0e">
                        <v:fill on="f" focussize="0,0"/>
                        <v:stroke color="#000000" joinstyle="round" endarrow="block"/>
                        <v:imagedata o:title=""/>
                        <o:lock v:ext="edit" aspectratio="f"/>
                      </v:shape>
                      <v:shape id="文本框 40" o:spid="_x0000_s1026" o:spt="202" type="#_x0000_t202" style="position:absolute;left:2628900;top:395873;height:500856;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bBcwoB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41" o:spid="_x0000_s1026" o:spt="100" style="position:absolute;left:2276189;top:608026;height:551889;width:333724;" filled="f" stroked="t" coordsize="525,869" o:gfxdata="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hef8tUAAAAFAQAADwAAAAAA&#10;AAABACAAAAAiAAAAZHJzL2Rvd25yZXYueG1sUEsBAhQAFAAAAAgAh07iQKPhJM9PAgAAnwQAAA4A&#10;AAAAAAAAAQAgAAAAJAEAAGRycy9lMm9Eb2MueG1sUEsFBgAAAAAGAAYAWQEAAOUFAAAAAA==&#10;" path="m525,0l0,869e">
                        <v:fill on="f" focussize="0,0"/>
                        <v:stroke color="#000000" joinstyle="round" endarrow="block"/>
                        <v:imagedata o:title=""/>
                        <o:lock v:ext="edit" aspectratio="f"/>
                      </v:shape>
                      <v:shape id="任意多边形 42" o:spid="_x0000_s1026" o:spt="100" style="position:absolute;left:3210179;top:645937;height:542412;width:428657;" filled="f" stroked="t" coordsize="675,854" o:gfxdata="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DWkv/WAAAABQEAAA8AAAAA&#10;AAAAAQAgAAAAIgAAAGRycy9kb3ducmV2LnhtbFBLAQIUABQAAAAIAIdO4kDkqkNVTwIAAJ8EAAAO&#10;AAAAAAAAAAEAIAAAACUBAABkcnMvZTJvRG9jLnhtbFBLBQYAAAAABgAGAFkBAADmBQAAAAA=&#10;" path="m675,854l0,0e">
                        <v:fill on="f" focussize="0,0"/>
                        <v:stroke color="#000000" joinstyle="round" endarrow="block"/>
                        <v:imagedata o:title=""/>
                        <o:lock v:ext="edit" aspectratio="f"/>
                      </v:shape>
                      <v:shape id="文本框 43" o:spid="_x0000_s1026" o:spt="202" type="#_x0000_t202" style="position:absolute;left:3429254;top:594174;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7FYz/0wAAAAUBAAAPAAAAAAAAAAEAIAAAACIAAABkcnMvZG93bnJldi54bWxQSwECFAAUAAAA&#10;CACHTuJA2VIuZ7oBAABaAwAADgAAAAAAAAABACAAAAAiAQAAZHJzL2Uyb0RvYy54bWxQSwUGAAAA&#10;AAYABgBZAQAATg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44" o:spid="_x0000_s1026" o:spt="202" type="#_x0000_t202" style="position:absolute;left:2057114;top:495024;height:299639;width:57251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PsVjP/TAAAABQEAAA8AAAAAAAAAAQAgAAAAIgAAAGRycy9kb3ducmV2LnhtbFBLAQIUABQAAAAI&#10;AIdO4kB+Zu3uuQEAAFoDAAAOAAAAAAAAAAEAIAAAACIBAABkcnMvZTJvRG9jLnhtbFBLBQYAAAAA&#10;BgAGAFkBAABNBQ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62" o:spid="_x0000_s1026" o:spt="202" type="#_x0000_t202" style="position:absolute;left:3862292;top:1684101;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BkBpPm7AQAAWw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v:textbox>
                      </v:shape>
                      <v:shape id="文本框 72" o:spid="_x0000_s1026" o:spt="202" type="#_x0000_t202" style="position:absolute;left:3429254;top:1684101;height:298910;width:457137;"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7FYz/0wAAAAUBAAAPAAAAAAAAAAEAIAAAACIAAABkcnMvZG93bnJldi54bWxQSwECFAAUAAAA&#10;CACHTuJAE4aSIboBAABbAwAADgAAAAAAAAABACAAAAAiAQAAZHJzL2Uyb0RvYy54bWxQSwUGAAAA&#10;AAYABgBZAQAATg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v:textbox>
                      </v:shape>
                      <v:shape id="文本框 73" o:spid="_x0000_s1026" o:spt="202" type="#_x0000_t202" style="position:absolute;left:2857468;top:1684101;height:299639;width:45567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FtFEY67AQAAWw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v:textbox>
                      </v:shape>
                      <v:shape id="流程图: 摘录 76" o:spid="_x0000_s1026" o:spt="127" type="#_x0000_t127" style="position:absolute;left:2857468;top:1783252;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JXIctMAAAAFAQAA&#10;DwAAAAAAAAABACAAAAAiAAAAZHJzL2Rvd25yZXYueG1sUEsBAhQAFAAAAAgAh07iQD22RH8eAgAA&#10;QQQAAA4AAAAAAAAAAQAgAAAAIgEAAGRycy9lMm9Eb2MueG1sUEsFBgAAAAAGAAYAWQEAALIFAAAA&#10;AA==&#10;">
                        <v:fill on="t" focussize="0,0"/>
                        <v:stroke color="#000000" joinstyle="miter"/>
                        <v:imagedata o:title=""/>
                        <o:lock v:ext="edit" aspectratio="f"/>
                      </v:shape>
                      <v:shape id="流程图: 摘录 77" o:spid="_x0000_s1026" o:spt="127" type="#_x0000_t127" style="position:absolute;left:3314605;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DDIpc6HAIAAEAE&#10;AAAOAAAAAAAAAAEAIAAAACIBAABkcnMvZTJvRG9jLnhtbFBLBQYAAAAABgAGAFkBAACwBQAAAAA=&#10;">
                        <v:fill on="t" focussize="0,0"/>
                        <v:stroke color="#000000" joinstyle="miter"/>
                        <v:imagedata o:title=""/>
                        <o:lock v:ext="edit" aspectratio="f"/>
                      </v:shape>
                      <v:shape id="流程图: 摘录 78" o:spid="_x0000_s1026" o:spt="127" type="#_x0000_t127" style="position:absolute;left:2057114;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Alchy0wAAAAUBAAAPAAAA&#10;AAAAAAEAIAAAACIAAABkcnMvZG93bnJldi54bWxQSwECFAAUAAAACACHTuJA6VEmPRoCAABABAAA&#10;DgAAAAAAAAABACAAAAAiAQAAZHJzL2Uyb0RvYy54bWxQSwUGAAAAAAYABgBZAQAArgUAAAAA&#10;">
                        <v:fill on="t" focussize="0,0"/>
                        <v:stroke color="#000000" joinstyle="miter"/>
                        <v:imagedata o:title=""/>
                        <o:lock v:ext="edit" aspectratio="f"/>
                      </v:shape>
                      <v:shape id="流程图: 联系 79" o:spid="_x0000_s1026" o:spt="120" type="#_x0000_t120" style="position:absolute;left:3429254;top:1783252;height:99151;width:114649;"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tHePk1QAAAAUBAAAP&#10;AAAAAAAAAAEAIAAAACIAAABkcnMvZG93bnJldi54bWxQSwECFAAUAAAACACHTuJABqjoGhsCAAA5&#10;BAAADgAAAAAAAAABACAAAAAkAQAAZHJzL2Uyb0RvYy54bWxQSwUGAAAAAAYABgBZAQAAsQUAAAAA&#10;">
                        <v:fill on="t" focussize="0,0"/>
                        <v:stroke color="#000000" joinstyle="round"/>
                        <v:imagedata o:title=""/>
                        <o:lock v:ext="edit" aspectratio="f"/>
                      </v:shape>
                      <v:shape id="流程图: 联系 80" o:spid="_x0000_s1026" o:spt="120" type="#_x0000_t120" style="position:absolute;left:3657822;top:990776;height:99151;width:115380;"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R3j5NUAAAAFAQAADwAAAAAAAAAB&#10;ACAAAAAiAAAAZHJzL2Rvd25yZXYueG1sUEsBAhQAFAAAAAgAh07iQMFbApATAgAAOAQAAA4AAAAA&#10;AAAAAQAgAAAAJAEAAGRycy9lMm9Eb2MueG1sUEsFBgAAAAAGAAYAWQEAAKkFAAAAAA==&#10;">
                        <v:fill on="t" focussize="0,0"/>
                        <v:stroke color="#000000" joinstyle="round"/>
                        <v:imagedata o:title=""/>
                        <o:lock v:ext="edit" aspectratio="f"/>
                      </v:shape>
                      <v:shape id="流程图: 过程 81" o:spid="_x0000_s1026" o:spt="109" type="#_x0000_t109" style="position:absolute;left:3897344;top:1783252;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4o7ddQAAAAFAQAADwAA&#10;AAAAAAABACAAAAAiAAAAZHJzL2Rvd25yZXYueG1sUEsBAhQAFAAAAAgAh07iQCrEclcaAgAAQQQA&#10;AA4AAAAAAAAAAQAgAAAAIwEAAGRycy9lMm9Eb2MueG1sUEsFBgAAAAAGAAYAWQEAAK8FAAAAAA==&#10;">
                        <v:fill on="t" focussize="0,0"/>
                        <v:stroke color="#000000" joinstyle="miter"/>
                        <v:imagedata o:title=""/>
                        <o:lock v:ext="edit" aspectratio="f"/>
                      </v:shape>
                      <v:shape id="流程图: 过程 82" o:spid="_x0000_s1026" o:spt="109" type="#_x0000_t109" style="position:absolute;left:2628900;top:990776;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KO3XUAAAABQEAAA8AAAAAAAAA&#10;AQAgAAAAIgAAAGRycy9kb3ducmV2LnhtbFBLAQIUABQAAAAIAIdO4kCid0mQFQIAAEAEAAAOAAAA&#10;AAAAAAEAIAAAACMBAABkcnMvZTJvRG9jLnhtbFBLBQYAAAAABgAGAFkBAACqBQAAAAA=&#10;">
                        <v:fill on="t" focussize="0,0"/>
                        <v:stroke color="#000000" joinstyle="miter"/>
                        <v:imagedata o:title=""/>
                        <o:lock v:ext="edit" aspectratio="f"/>
                      </v:shape>
                      <v:shape id="文本框 83" o:spid="_x0000_s1026" o:spt="202" type="#_x0000_t202" style="position:absolute;left:566674;top:297452;height:500856;width:570325;"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CbQQtUAAAAFAQAADwAAAAAAAAAB&#10;ACAAAAAiAAAAZHJzL2Rvd25yZXYueG1sUEsBAhQAFAAAAAgAh07iQHie50ITAgAAQQQAAA4AAAAA&#10;AAAAAQAgAAAAJAEAAGRycy9lMm9Eb2MueG1sUEsFBgAAAAAGAAYAWQEAAKk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84" o:spid="_x0000_s1026" o:spt="100" style="position:absolute;left:1132618;top:594174;height:572303;width:218345;" filled="f" stroked="t" coordsize="343,901" o:gfxdata="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FVQ29IAAAAFAQAADwAAAAAAAAAB&#10;ACAAAAAiAAAAZHJzL2Rvd25yZXYueG1sUEsBAhQAFAAAAAgAh07iQMRGsmlPAgAAnwQAAA4AAAAA&#10;AAAAAQAgAAAAIQEAAGRycy9lMm9Eb2MueG1sUEsFBgAAAAAGAAYAWQEAAOIFAAAAAA==&#10;" path="m343,901l0,0e">
                        <v:fill on="f" focussize="0,0"/>
                        <v:stroke color="#000000" joinstyle="round" endarrow="block"/>
                        <v:imagedata o:title=""/>
                        <o:lock v:ext="edit" aspectratio="f"/>
                      </v:shape>
                      <v:shape id="任意多边形 85" o:spid="_x0000_s1026" o:spt="100" style="position:absolute;left:376079;top:597090;height:577406;width:181102;" filled="f" stroked="t" coordsize="285,910" o:gfxdata="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BKXYrVAAAABQEAAA8AAAAAAAAA&#10;AQAgAAAAIgAAAGRycy9kb3ducmV2LnhtbFBLAQIUABQAAAAIAIdO4kCxT2mZTQIAAJ4EAAAOAAAA&#10;AAAAAAEAIAAAACQBAABkcnMvZTJvRG9jLnhtbFBLBQYAAAAABgAGAFkBAADjBQAAAAA=&#10;" path="m285,0l0,910e">
                        <v:fill on="f" focussize="0,0"/>
                        <v:stroke color="#000000" joinstyle="round" endarrow="block"/>
                        <v:imagedata o:title=""/>
                        <o:lock v:ext="edit" aspectratio="f"/>
                      </v:shape>
                      <v:shape id="流程图: 摘录 86" o:spid="_x0000_s1026" o:spt="127" type="#_x0000_t127" style="position:absolute;left:1415955;top:990776;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Aqr1/ZHAIAAEAE&#10;AAAOAAAAAAAAAAEAIAAAACIBAABkcnMvZTJvRG9jLnhtbFBLBQYAAAAABgAGAFkBAACwBQAAAAA=&#10;">
                        <v:fill on="t" focussize="0,0"/>
                        <v:stroke color="#000000" joinstyle="miter"/>
                        <v:imagedata o:title=""/>
                        <o:lock v:ext="edit" aspectratio="f"/>
                      </v:shape>
                      <v:shape id="流程图: 摘录 87" o:spid="_x0000_s1026" o:spt="127" type="#_x0000_t127" style="position:absolute;left:566674;top:990776;height:99151;width:11391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B/xq0mHAIAAD8E&#10;AAAOAAAAAAAAAAEAIAAAACIBAABkcnMvZTJvRG9jLnhtbFBLBQYAAAAABgAGAFkBAACwBQAAAAA=&#10;">
                        <v:fill on="t" focussize="0,0"/>
                        <v:stroke color="#000000" joinstyle="miter"/>
                        <v:imagedata o:title=""/>
                        <o:lock v:ext="edit" aspectratio="f"/>
                      </v:shape>
                      <w10:wrap type="none"/>
                      <w10:anchorlock/>
                    </v:group>
                  </w:pict>
                </mc:Fallback>
              </mc:AlternateContent>
            </w:r>
          </w:p>
          <w:p>
            <w:pPr>
              <w:bidi w:val="0"/>
              <w:jc w:val="center"/>
              <w:rPr>
                <w:rFonts w:hint="eastAsia" w:ascii="Times New Roman" w:hAnsi="Times New Roman" w:eastAsia="宋体" w:cs="Times New Roman"/>
                <w:b/>
                <w:szCs w:val="24"/>
              </w:rPr>
            </w:pPr>
            <w:r>
              <w:rPr>
                <w:rFonts w:hint="eastAsia"/>
                <w:b/>
                <w:bCs/>
              </w:rPr>
              <w:t>图</w:t>
            </w:r>
            <w:r>
              <w:rPr>
                <w:rFonts w:hint="eastAsia"/>
                <w:b/>
                <w:bCs/>
                <w:lang w:val="en-US" w:eastAsia="zh-CN"/>
              </w:rPr>
              <w:t>2</w:t>
            </w:r>
            <w:r>
              <w:rPr>
                <w:rFonts w:hint="eastAsia"/>
                <w:b/>
                <w:bCs/>
              </w:rPr>
              <w:t xml:space="preserve"> 项目工艺流程及产污环节图</w:t>
            </w:r>
          </w:p>
          <w:p>
            <w:pPr>
              <w:adjustRightInd w:val="0"/>
              <w:snapToGrid w:val="0"/>
              <w:spacing w:line="360" w:lineRule="auto"/>
              <w:ind w:firstLine="0" w:firstLineChars="0"/>
              <w:rPr>
                <w:rFonts w:ascii="Times New Roman" w:hAnsi="Times New Roman" w:eastAsia="宋体" w:cs="Times New Roman"/>
                <w:sz w:val="24"/>
                <w:szCs w:val="24"/>
              </w:rPr>
            </w:pPr>
            <w:r>
              <w:rPr>
                <w:rFonts w:hint="eastAsia" w:cs="Times New Roman"/>
                <w:b/>
                <w:sz w:val="24"/>
                <w:szCs w:val="24"/>
                <w:lang w:val="en-US" w:eastAsia="zh-CN"/>
              </w:rPr>
              <w:t>1.2</w:t>
            </w:r>
            <w:r>
              <w:rPr>
                <w:rFonts w:hint="eastAsia" w:ascii="Times New Roman" w:hAnsi="Times New Roman" w:eastAsia="宋体" w:cs="Times New Roman"/>
                <w:b/>
                <w:sz w:val="24"/>
                <w:szCs w:val="24"/>
              </w:rPr>
              <w:t>加油站工艺流程简述</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1</w:t>
            </w: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eastAsia="zh-CN"/>
              </w:rPr>
              <w:t>卸</w:t>
            </w:r>
            <w:r>
              <w:rPr>
                <w:rFonts w:hint="default" w:ascii="Times New Roman" w:hAnsi="Times New Roman" w:eastAsia="宋体" w:cs="Times New Roman"/>
                <w:b/>
                <w:bCs/>
                <w:color w:val="000000"/>
                <w:sz w:val="24"/>
                <w:szCs w:val="22"/>
              </w:rPr>
              <w:t>油</w:t>
            </w:r>
            <w:r>
              <w:rPr>
                <w:rFonts w:hint="eastAsia" w:ascii="Times New Roman" w:hAnsi="Times New Roman" w:eastAsia="宋体" w:cs="Times New Roman"/>
                <w:b/>
                <w:bCs/>
                <w:color w:val="000000"/>
                <w:sz w:val="24"/>
                <w:szCs w:val="22"/>
                <w:lang w:eastAsia="zh-CN"/>
              </w:rPr>
              <w:t>工艺</w:t>
            </w:r>
            <w:r>
              <w:rPr>
                <w:rFonts w:hint="default"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rPr>
            </w:pPr>
            <w:r>
              <w:rPr>
                <w:rFonts w:hint="eastAsia" w:ascii="Times New Roman" w:hAnsi="Times New Roman" w:eastAsia="宋体" w:cs="Times New Roman"/>
                <w:color w:val="000000"/>
                <w:sz w:val="24"/>
                <w:szCs w:val="22"/>
              </w:rPr>
              <w:t>成品油由油罐车运至加油站，通过罐车与储油罐之间的管道依靠重力自流的方式卸入储油罐中，项目采用浸没式密闭卸油方式。卸油时，卸油软管连接罐车出油口和罐区卸油口，油气回收软管连接罐车油气回收口和卸油口的油气回收管道接口。当罐车内汽油流入加油站汽油罐时，汽油罐内油气通过通气管连通管进入到低标号汽油罐内，再通过油气回收管道流入到罐车内，用相同体积的汽油将汽油罐内相同体积的油气置换到罐车内，整个过程中无油气排放。卸油时由于通气管上安装有压力真空阀</w:t>
            </w:r>
            <w:r>
              <w:rPr>
                <w:rFonts w:hint="eastAsia" w:ascii="Times New Roman" w:hAnsi="Times New Roman" w:eastAsia="宋体" w:cs="Times New Roman"/>
                <w:color w:val="000000"/>
                <w:sz w:val="24"/>
                <w:szCs w:val="22"/>
                <w:lang w:eastAsia="zh-CN"/>
              </w:rPr>
              <w:t>（一次油气回收）</w:t>
            </w:r>
            <w:r>
              <w:rPr>
                <w:rFonts w:hint="eastAsia" w:ascii="Times New Roman" w:hAnsi="Times New Roman" w:eastAsia="宋体" w:cs="Times New Roman"/>
                <w:color w:val="000000"/>
                <w:sz w:val="24"/>
                <w:szCs w:val="22"/>
              </w:rPr>
              <w:t>，在设定工作压力内不会开启，不会造成油气通过通气管的排放。此方式为平衡式回收，回收率可达95%以上。此过程主要的污染物是泄露出的极少量呼吸废气。</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lang w:eastAsia="zh-CN"/>
              </w:rPr>
            </w:pPr>
            <w:r>
              <w:rPr>
                <w:rFonts w:hint="eastAsia" w:ascii="Times New Roman" w:hAnsi="Times New Roman" w:eastAsia="宋体" w:cs="Times New Roman"/>
                <w:color w:val="000000"/>
                <w:sz w:val="24"/>
                <w:szCs w:val="22"/>
              </w:rPr>
              <w:t>成品油卸车工艺流程见</w:t>
            </w:r>
            <w:r>
              <w:rPr>
                <w:rFonts w:hint="eastAsia" w:ascii="Times New Roman" w:hAnsi="Times New Roman" w:eastAsia="宋体" w:cs="Times New Roman"/>
                <w:color w:val="000000"/>
                <w:sz w:val="24"/>
                <w:szCs w:val="22"/>
                <w:lang w:eastAsia="zh-CN"/>
              </w:rPr>
              <w:t>下</w:t>
            </w:r>
            <w:r>
              <w:rPr>
                <w:rFonts w:hint="eastAsia" w:ascii="Times New Roman" w:hAnsi="Times New Roman" w:eastAsia="宋体" w:cs="Times New Roman"/>
                <w:color w:val="000000"/>
                <w:sz w:val="24"/>
                <w:szCs w:val="22"/>
              </w:rPr>
              <w:t>图</w:t>
            </w:r>
            <w:r>
              <w:rPr>
                <w:rFonts w:hint="eastAsia" w:ascii="Times New Roman" w:hAnsi="Times New Roman" w:eastAsia="宋体" w:cs="Times New Roman"/>
                <w:color w:val="000000"/>
                <w:sz w:val="24"/>
                <w:szCs w:val="22"/>
                <w:lang w:val="en-US" w:eastAsia="zh-CN"/>
              </w:rPr>
              <w:t>2</w:t>
            </w:r>
            <w:r>
              <w:rPr>
                <w:rFonts w:hint="eastAsia" w:ascii="Times New Roman" w:hAnsi="Times New Roman" w:eastAsia="宋体" w:cs="Times New Roman"/>
                <w:color w:val="000000"/>
                <w:sz w:val="24"/>
                <w:szCs w:val="22"/>
                <w:lang w:eastAsia="zh-CN"/>
              </w:rPr>
              <w:t>：</w:t>
            </w: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bidi w:val="0"/>
              <w:jc w:val="center"/>
              <w:rPr>
                <w:rFonts w:hint="default" w:ascii="Times New Roman" w:hAnsi="Times New Roman" w:eastAsia="宋体" w:cs="Times New Roman"/>
                <w:b/>
                <w:bCs/>
                <w:color w:val="000000"/>
                <w:szCs w:val="24"/>
              </w:rPr>
            </w:pPr>
            <w:r>
              <w:rPr>
                <w:rFonts w:hint="default"/>
                <w:b/>
                <w:bCs/>
              </w:rPr>
              <w:drawing>
                <wp:anchor distT="0" distB="0" distL="114300" distR="114300" simplePos="0" relativeHeight="299943936" behindDoc="0" locked="0" layoutInCell="1" allowOverlap="1">
                  <wp:simplePos x="0" y="0"/>
                  <wp:positionH relativeFrom="column">
                    <wp:posOffset>1367155</wp:posOffset>
                  </wp:positionH>
                  <wp:positionV relativeFrom="paragraph">
                    <wp:posOffset>123825</wp:posOffset>
                  </wp:positionV>
                  <wp:extent cx="2905125" cy="1838325"/>
                  <wp:effectExtent l="0" t="0" r="9525" b="9525"/>
                  <wp:wrapTopAndBottom/>
                  <wp:docPr id="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5"/>
                          <pic:cNvPicPr>
                            <a:picLocks noChangeAspect="1"/>
                          </pic:cNvPicPr>
                        </pic:nvPicPr>
                        <pic:blipFill>
                          <a:blip r:embed="rId15"/>
                          <a:stretch>
                            <a:fillRect/>
                          </a:stretch>
                        </pic:blipFill>
                        <pic:spPr>
                          <a:xfrm>
                            <a:off x="0" y="0"/>
                            <a:ext cx="2905125" cy="1838325"/>
                          </a:xfrm>
                          <a:prstGeom prst="rect">
                            <a:avLst/>
                          </a:prstGeom>
                          <a:noFill/>
                          <a:ln>
                            <a:noFill/>
                          </a:ln>
                        </pic:spPr>
                      </pic:pic>
                    </a:graphicData>
                  </a:graphic>
                </wp:anchor>
              </w:drawing>
            </w:r>
            <w:r>
              <w:rPr>
                <w:rFonts w:hint="default"/>
                <w:b/>
                <w:bCs/>
              </w:rPr>
              <w:t>图</w:t>
            </w:r>
            <w:r>
              <w:rPr>
                <w:rFonts w:hint="eastAsia"/>
                <w:b/>
                <w:bCs/>
                <w:lang w:val="en-US" w:eastAsia="zh-CN"/>
              </w:rPr>
              <w:t xml:space="preserve">3   </w:t>
            </w:r>
            <w:r>
              <w:rPr>
                <w:rFonts w:hint="default"/>
                <w:b/>
                <w:bCs/>
              </w:rPr>
              <w:t xml:space="preserve"> </w:t>
            </w:r>
            <w:r>
              <w:rPr>
                <w:rFonts w:hint="eastAsia"/>
                <w:b/>
                <w:bCs/>
                <w:lang w:eastAsia="zh-CN"/>
              </w:rPr>
              <w:t>卸油</w:t>
            </w:r>
            <w:r>
              <w:rPr>
                <w:rFonts w:hint="default"/>
                <w:b/>
                <w:bCs/>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eastAsia" w:ascii="Times New Roman" w:hAnsi="Times New Roman" w:eastAsia="宋体" w:cs="Times New Roman"/>
                <w:b/>
                <w:bCs/>
                <w:color w:val="000000"/>
                <w:sz w:val="24"/>
                <w:szCs w:val="22"/>
              </w:rPr>
            </w:pPr>
            <w:r>
              <w:rPr>
                <w:rFonts w:hint="eastAsia"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2</w:t>
            </w:r>
            <w:r>
              <w:rPr>
                <w:rFonts w:hint="eastAsia" w:ascii="Times New Roman" w:hAnsi="Times New Roman" w:eastAsia="宋体" w:cs="Times New Roman"/>
                <w:b/>
                <w:bCs/>
                <w:color w:val="000000"/>
                <w:sz w:val="24"/>
                <w:szCs w:val="22"/>
              </w:rPr>
              <w:t>）加油</w:t>
            </w:r>
            <w:r>
              <w:rPr>
                <w:rFonts w:hint="eastAsia" w:ascii="Times New Roman" w:hAnsi="Times New Roman" w:eastAsia="宋体" w:cs="Times New Roman"/>
                <w:b/>
                <w:bCs/>
                <w:color w:val="000000"/>
                <w:sz w:val="24"/>
                <w:szCs w:val="22"/>
                <w:lang w:eastAsia="zh-CN"/>
              </w:rPr>
              <w:t>工艺</w:t>
            </w:r>
            <w:r>
              <w:rPr>
                <w:rFonts w:hint="eastAsia"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kern w:val="2"/>
                <w:sz w:val="24"/>
                <w:szCs w:val="22"/>
                <w:lang w:val="en-US" w:eastAsia="zh-CN" w:bidi="ar-SA"/>
              </w:rPr>
            </w:pPr>
            <w:r>
              <w:rPr>
                <w:rFonts w:hint="eastAsia" w:ascii="Times New Roman" w:hAnsi="Times New Roman" w:eastAsia="宋体" w:cs="Times New Roman"/>
                <w:color w:val="000000"/>
                <w:sz w:val="24"/>
                <w:szCs w:val="22"/>
                <w:lang w:val="en-US" w:eastAsia="zh-CN"/>
              </w:rPr>
              <w:t>加油时配备二次油气回收系统，采用真空辅助式油气回收系统。加油机采用自带的加油泵将成品油由储油罐吸到加油机中，加油时将油枪伸入车辆油箱，加油枪采用自封式，油枪上的橡胶盖和车辆油箱口紧密结合，通过导气管将车辆油箱和地埋油罐联通并形成密闭空间，向油箱注油同时通过油泵将油补充至自吸式加油机内，与此同时，车辆油箱内部的呼吸蒸气通过油枪导气管进入地埋油罐中，此过程主要的污染物是油箱泄露出的极少量呼吸废气。加油工艺流程见图3。</w:t>
            </w:r>
          </w:p>
          <w:p>
            <w:pPr>
              <w:bidi w:val="0"/>
              <w:jc w:val="center"/>
              <w:rPr>
                <w:rFonts w:hint="default" w:ascii="Times New Roman" w:hAnsi="Times New Roman" w:eastAsia="宋体" w:cs="Times New Roman"/>
                <w:b/>
                <w:bCs/>
                <w:color w:val="000000"/>
                <w:szCs w:val="24"/>
              </w:rPr>
            </w:pPr>
            <w:r>
              <w:rPr>
                <w:rFonts w:hint="default"/>
                <w:b/>
                <w:bCs/>
              </w:rPr>
              <w:drawing>
                <wp:anchor distT="0" distB="0" distL="114300" distR="114300" simplePos="0" relativeHeight="299944960" behindDoc="0" locked="0" layoutInCell="1" allowOverlap="1">
                  <wp:simplePos x="0" y="0"/>
                  <wp:positionH relativeFrom="column">
                    <wp:posOffset>895985</wp:posOffset>
                  </wp:positionH>
                  <wp:positionV relativeFrom="paragraph">
                    <wp:posOffset>48895</wp:posOffset>
                  </wp:positionV>
                  <wp:extent cx="3752850" cy="1933575"/>
                  <wp:effectExtent l="0" t="0" r="0" b="9525"/>
                  <wp:wrapTopAndBottom/>
                  <wp:docPr id="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6"/>
                          <pic:cNvPicPr>
                            <a:picLocks noChangeAspect="1"/>
                          </pic:cNvPicPr>
                        </pic:nvPicPr>
                        <pic:blipFill>
                          <a:blip r:embed="rId16"/>
                          <a:stretch>
                            <a:fillRect/>
                          </a:stretch>
                        </pic:blipFill>
                        <pic:spPr>
                          <a:xfrm>
                            <a:off x="0" y="0"/>
                            <a:ext cx="3752850" cy="1933575"/>
                          </a:xfrm>
                          <a:prstGeom prst="rect">
                            <a:avLst/>
                          </a:prstGeom>
                          <a:noFill/>
                          <a:ln>
                            <a:noFill/>
                          </a:ln>
                        </pic:spPr>
                      </pic:pic>
                    </a:graphicData>
                  </a:graphic>
                </wp:anchor>
              </w:drawing>
            </w:r>
            <w:r>
              <w:rPr>
                <w:rFonts w:hint="default"/>
                <w:b/>
                <w:bCs/>
              </w:rPr>
              <w:t>图</w:t>
            </w:r>
            <w:r>
              <w:rPr>
                <w:rFonts w:hint="eastAsia"/>
                <w:b/>
                <w:bCs/>
                <w:lang w:val="en-US" w:eastAsia="zh-CN"/>
              </w:rPr>
              <w:t xml:space="preserve">4   </w:t>
            </w:r>
            <w:r>
              <w:rPr>
                <w:rFonts w:hint="default"/>
                <w:b/>
                <w:bCs/>
              </w:rPr>
              <w:t xml:space="preserve"> </w:t>
            </w:r>
            <w:r>
              <w:rPr>
                <w:rFonts w:hint="eastAsia"/>
                <w:b/>
                <w:bCs/>
                <w:lang w:eastAsia="zh-CN"/>
              </w:rPr>
              <w:t>加油</w:t>
            </w:r>
            <w:r>
              <w:rPr>
                <w:rFonts w:hint="default"/>
                <w:b/>
                <w:bCs/>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rPr>
              <w:t>）油气回收系统流程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在油罐车给地下储罐卸油时，是在油罐车和地下储罐之间密闭状态下进行，液态油卸入地下储罐。储罐内液态空间不断增大，气相空间不断减小。罐车储罐内液态空间不断减小，气相空间不断增大。由于气液相空间的变化，原地下储罐内气态油蒸气进到罐车内部，油罐车给地下储罐卸油结束，由罐车装载着气态油蒸气驶离加油站运到有油气处理装置的单位进行油气回收处理，以达到环保和安全的目的回收系统。</w:t>
            </w:r>
          </w:p>
          <w:p>
            <w:pPr>
              <w:bidi w:val="0"/>
              <w:jc w:val="center"/>
              <w:rPr>
                <w:rFonts w:hint="default" w:ascii="Times New Roman" w:hAnsi="Times New Roman" w:eastAsia="宋体" w:cs="Times New Roman"/>
                <w:b/>
                <w:bCs/>
                <w:color w:val="000000"/>
                <w:kern w:val="0"/>
                <w:szCs w:val="24"/>
                <w:lang w:val="en-US" w:eastAsia="zh-CN" w:bidi="ar-SA"/>
              </w:rPr>
            </w:pPr>
            <w:r>
              <w:rPr>
                <w:rFonts w:hint="default"/>
                <w:b/>
                <w:bCs/>
                <w:lang w:val="en-US" w:eastAsia="zh-CN"/>
              </w:rPr>
              <w:drawing>
                <wp:anchor distT="0" distB="0" distL="114300" distR="114300" simplePos="0" relativeHeight="299945984" behindDoc="0" locked="0" layoutInCell="1" allowOverlap="1">
                  <wp:simplePos x="0" y="0"/>
                  <wp:positionH relativeFrom="column">
                    <wp:posOffset>327025</wp:posOffset>
                  </wp:positionH>
                  <wp:positionV relativeFrom="paragraph">
                    <wp:posOffset>82550</wp:posOffset>
                  </wp:positionV>
                  <wp:extent cx="4895850" cy="1895475"/>
                  <wp:effectExtent l="0" t="0" r="0" b="9525"/>
                  <wp:wrapTopAndBottom/>
                  <wp:docPr id="9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pic:cNvPicPr>
                            <a:picLocks noChangeAspect="1"/>
                          </pic:cNvPicPr>
                        </pic:nvPicPr>
                        <pic:blipFill>
                          <a:blip r:embed="rId17"/>
                          <a:srcRect l="4182" r="2364"/>
                          <a:stretch>
                            <a:fillRect/>
                          </a:stretch>
                        </pic:blipFill>
                        <pic:spPr>
                          <a:xfrm>
                            <a:off x="0" y="0"/>
                            <a:ext cx="4895850" cy="1895475"/>
                          </a:xfrm>
                          <a:prstGeom prst="rect">
                            <a:avLst/>
                          </a:prstGeom>
                          <a:noFill/>
                          <a:ln>
                            <a:noFill/>
                          </a:ln>
                        </pic:spPr>
                      </pic:pic>
                    </a:graphicData>
                  </a:graphic>
                </wp:anchor>
              </w:drawing>
            </w:r>
            <w:r>
              <w:rPr>
                <w:rFonts w:hint="eastAsia"/>
                <w:b/>
                <w:bCs/>
                <w:lang w:val="en-US" w:eastAsia="zh-CN"/>
              </w:rPr>
              <w:t>图5   一次油气回收系统基本原理图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②加油油气回收系统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加油机在给汽车油箱加注汽油的同时，采用带有油气回收的加油枪将汽车油箱内的气态油蒸汽和空气的混合气体按照1：1比例（即加注一升汽油，返回到储罐1 升的气体）或其他比例抽回到地下储罐的系统，以达到一定的安全环保目的。</w:t>
            </w:r>
          </w:p>
          <w:p>
            <w:pPr>
              <w:keepNext w:val="0"/>
              <w:keepLines w:val="0"/>
              <w:widowControl w:val="0"/>
              <w:suppressLineNumbers w:val="0"/>
              <w:autoSpaceDE w:val="0"/>
              <w:autoSpaceDN w:val="0"/>
              <w:adjustRightInd w:val="0"/>
              <w:spacing w:before="0" w:beforeAutospacing="0" w:after="0" w:afterAutospacing="0"/>
              <w:ind w:left="0" w:leftChars="0" w:right="0" w:firstLine="0" w:firstLineChars="0"/>
              <w:rPr>
                <w:rFonts w:hint="default" w:ascii="Times New Roman" w:hAnsi="Times New Roman" w:eastAsia="宋体" w:cs="Times New Roman"/>
                <w:b w:val="0"/>
                <w:bCs w:val="0"/>
                <w:color w:val="000000"/>
                <w:sz w:val="24"/>
                <w:szCs w:val="24"/>
                <w:lang w:val="en-US" w:eastAsia="zh-CN" w:bidi="ar-SA"/>
              </w:rPr>
            </w:pPr>
            <w:r>
              <w:rPr>
                <w:rFonts w:hint="default" w:ascii="Times New Roman" w:hAnsi="Times New Roman" w:eastAsia="宋体" w:cs="Times New Roman"/>
                <w:b w:val="0"/>
                <w:bCs w:val="0"/>
                <w:color w:val="000000"/>
                <w:sz w:val="24"/>
                <w:szCs w:val="20"/>
                <w:lang w:val="en-US" w:eastAsia="zh-CN" w:bidi="ar-SA"/>
              </w:rPr>
              <w:drawing>
                <wp:anchor distT="0" distB="0" distL="114300" distR="114300" simplePos="0" relativeHeight="299947008" behindDoc="0" locked="0" layoutInCell="1" allowOverlap="1">
                  <wp:simplePos x="0" y="0"/>
                  <wp:positionH relativeFrom="column">
                    <wp:posOffset>954405</wp:posOffset>
                  </wp:positionH>
                  <wp:positionV relativeFrom="paragraph">
                    <wp:posOffset>185420</wp:posOffset>
                  </wp:positionV>
                  <wp:extent cx="3510915" cy="1812290"/>
                  <wp:effectExtent l="0" t="0" r="13335" b="16510"/>
                  <wp:wrapTopAndBottom/>
                  <wp:docPr id="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8"/>
                          <pic:cNvPicPr>
                            <a:picLocks noChangeAspect="1"/>
                          </pic:cNvPicPr>
                        </pic:nvPicPr>
                        <pic:blipFill>
                          <a:blip r:embed="rId18"/>
                          <a:stretch>
                            <a:fillRect/>
                          </a:stretch>
                        </pic:blipFill>
                        <pic:spPr>
                          <a:xfrm>
                            <a:off x="0" y="0"/>
                            <a:ext cx="3510915" cy="1812290"/>
                          </a:xfrm>
                          <a:prstGeom prst="rect">
                            <a:avLst/>
                          </a:prstGeom>
                          <a:noFill/>
                          <a:ln>
                            <a:noFill/>
                          </a:ln>
                        </pic:spPr>
                      </pic:pic>
                    </a:graphicData>
                  </a:graphic>
                </wp:anchor>
              </w:drawing>
            </w:r>
          </w:p>
          <w:p>
            <w:pPr>
              <w:adjustRightInd w:val="0"/>
              <w:snapToGrid w:val="0"/>
              <w:spacing w:line="360" w:lineRule="auto"/>
              <w:ind w:firstLine="482" w:firstLineChars="200"/>
              <w:jc w:val="center"/>
              <w:rPr>
                <w:rFonts w:ascii="Times New Roman" w:hAnsi="宋体" w:eastAsia="宋体" w:cs="Times New Roman"/>
                <w:sz w:val="24"/>
                <w:szCs w:val="24"/>
              </w:rPr>
            </w:pPr>
            <w:r>
              <w:rPr>
                <w:rFonts w:hint="eastAsia" w:ascii="Times New Roman" w:hAnsi="Times New Roman" w:eastAsia="宋体" w:cs="Times New Roman"/>
                <w:b/>
                <w:bCs/>
                <w:color w:val="000000"/>
                <w:kern w:val="0"/>
                <w:sz w:val="24"/>
                <w:szCs w:val="24"/>
                <w:lang w:val="en-US" w:eastAsia="zh-CN" w:bidi="ar-SA"/>
              </w:rPr>
              <w:t>图</w:t>
            </w:r>
            <w:r>
              <w:rPr>
                <w:rFonts w:hint="eastAsia" w:cs="Times New Roman"/>
                <w:b/>
                <w:bCs/>
                <w:color w:val="000000"/>
                <w:kern w:val="0"/>
                <w:sz w:val="24"/>
                <w:szCs w:val="24"/>
                <w:lang w:val="en-US" w:eastAsia="zh-CN" w:bidi="ar-SA"/>
              </w:rPr>
              <w:t>6</w:t>
            </w:r>
            <w:r>
              <w:rPr>
                <w:rFonts w:hint="eastAsia" w:ascii="Times New Roman" w:hAnsi="Times New Roman" w:eastAsia="宋体" w:cs="Times New Roman"/>
                <w:b/>
                <w:bCs/>
                <w:color w:val="000000"/>
                <w:kern w:val="0"/>
                <w:sz w:val="24"/>
                <w:szCs w:val="24"/>
                <w:lang w:val="en-US" w:eastAsia="zh-CN" w:bidi="ar-SA"/>
              </w:rPr>
              <w:t xml:space="preserve">   二次油气回收系统基本原理图</w:t>
            </w:r>
          </w:p>
          <w:p>
            <w:pPr>
              <w:adjustRightInd w:val="0"/>
              <w:snapToGrid w:val="0"/>
              <w:spacing w:line="500" w:lineRule="exact"/>
              <w:ind w:firstLine="0" w:firstLineChars="0"/>
              <w:rPr>
                <w:rFonts w:ascii="Times New Roman" w:hAnsi="Times New Roman" w:eastAsia="宋体" w:cs="Times New Roman"/>
                <w:b/>
                <w:bCs/>
                <w:sz w:val="24"/>
                <w:szCs w:val="24"/>
              </w:rPr>
            </w:pP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、产污环节</w:t>
            </w:r>
            <w:r>
              <w:rPr>
                <w:rFonts w:ascii="Times New Roman" w:hAnsi="Times New Roman" w:eastAsia="宋体" w:cs="Times New Roman"/>
                <w:b/>
                <w:bCs/>
                <w:sz w:val="24"/>
                <w:szCs w:val="24"/>
              </w:rPr>
              <w:t>分析</w:t>
            </w:r>
          </w:p>
          <w:p>
            <w:pPr>
              <w:pStyle w:val="2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eastAsia="宋体"/>
                <w:lang w:val="en-US" w:eastAsia="zh-CN"/>
              </w:rPr>
            </w:pPr>
            <w:r>
              <w:rPr>
                <w:rFonts w:hint="eastAsia" w:ascii="Times New Roman" w:hAnsi="Times New Roman" w:cs="Times New Roman"/>
                <w:b/>
                <w:bCs/>
                <w:sz w:val="24"/>
                <w:szCs w:val="24"/>
                <w:lang w:val="en-US" w:eastAsia="zh-CN"/>
              </w:rPr>
              <w:t>2.1施工期产排污分析</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1、产污工序</w:t>
            </w:r>
          </w:p>
          <w:p>
            <w:pPr>
              <w:spacing w:line="360" w:lineRule="auto"/>
              <w:ind w:firstLine="480" w:firstLineChars="200"/>
              <w:rPr>
                <w:rFonts w:ascii="Times New Roman" w:hAnsi="Times New Roman"/>
                <w:sz w:val="24"/>
              </w:rPr>
            </w:pPr>
            <w:r>
              <w:rPr>
                <w:rFonts w:hint="eastAsia" w:ascii="Times New Roman" w:hAnsi="Times New Roman"/>
                <w:sz w:val="24"/>
              </w:rPr>
              <w:t>（1）废水：主要为施工废水、施工人员生活污水。</w:t>
            </w:r>
          </w:p>
          <w:p>
            <w:pPr>
              <w:spacing w:line="360" w:lineRule="auto"/>
              <w:ind w:firstLine="480" w:firstLineChars="200"/>
              <w:rPr>
                <w:rFonts w:ascii="Times New Roman" w:hAnsi="Times New Roman"/>
                <w:sz w:val="24"/>
              </w:rPr>
            </w:pPr>
            <w:r>
              <w:rPr>
                <w:rFonts w:hint="eastAsia" w:ascii="Times New Roman" w:hAnsi="Times New Roman"/>
                <w:sz w:val="24"/>
              </w:rPr>
              <w:t>（2）废气：主要为扬尘、施工机械及车辆产生的汽车尾气。</w:t>
            </w:r>
          </w:p>
          <w:p>
            <w:pPr>
              <w:spacing w:line="360" w:lineRule="auto"/>
              <w:ind w:firstLine="480" w:firstLineChars="200"/>
              <w:rPr>
                <w:rFonts w:ascii="Times New Roman" w:hAnsi="Times New Roman"/>
                <w:sz w:val="24"/>
              </w:rPr>
            </w:pPr>
            <w:r>
              <w:rPr>
                <w:rFonts w:hint="eastAsia" w:ascii="Times New Roman" w:hAnsi="Times New Roman"/>
                <w:sz w:val="24"/>
              </w:rPr>
              <w:t>（3）噪声：主要为施工作业噪声、施工车辆噪声。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rPr>
            </w:pPr>
            <w:r>
              <w:rPr>
                <w:rFonts w:hint="eastAsia" w:ascii="Times New Roman" w:hAnsi="Times New Roman"/>
                <w:sz w:val="24"/>
              </w:rPr>
              <w:t>（4）固体废物：主要为施工人员生活垃圾、废弃土石方、建筑垃圾。</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2、污染物产生情况分析</w:t>
            </w:r>
          </w:p>
          <w:p>
            <w:pPr>
              <w:pStyle w:val="6"/>
              <w:keepNext/>
              <w:keepLines/>
              <w:spacing w:line="360" w:lineRule="auto"/>
              <w:ind w:firstLine="482" w:firstLineChars="200"/>
              <w:outlineLvl w:val="3"/>
              <w:rPr>
                <w:rFonts w:hint="eastAsia" w:ascii="Times New Roman" w:hAnsi="Times New Roman"/>
                <w:b/>
                <w:sz w:val="24"/>
                <w:szCs w:val="24"/>
              </w:rPr>
            </w:pPr>
            <w:r>
              <w:rPr>
                <w:rFonts w:hint="eastAsia" w:ascii="Times New Roman" w:hAnsi="Times New Roman"/>
                <w:b/>
                <w:sz w:val="24"/>
                <w:szCs w:val="24"/>
              </w:rPr>
              <w:t>废水：</w:t>
            </w:r>
          </w:p>
          <w:p>
            <w:pPr>
              <w:pStyle w:val="41"/>
              <w:rPr>
                <w:rFonts w:ascii="Times New Roman" w:hAnsi="Times New Roman"/>
                <w:lang w:val="en-US"/>
              </w:rPr>
            </w:pPr>
            <w:r>
              <w:rPr>
                <w:rFonts w:hint="eastAsia" w:ascii="Times New Roman" w:hAnsi="Times New Roman"/>
                <w:lang w:val="en-US"/>
              </w:rPr>
              <w:t>施工期废水主要来源于施工人员生活污水、施工废水。</w:t>
            </w:r>
          </w:p>
          <w:p>
            <w:pPr>
              <w:pStyle w:val="41"/>
              <w:rPr>
                <w:rFonts w:ascii="Times New Roman" w:hAnsi="Times New Roman"/>
                <w:lang w:val="en-US"/>
              </w:rPr>
            </w:pPr>
            <w:r>
              <w:rPr>
                <w:rFonts w:hint="eastAsia" w:ascii="Times New Roman" w:hAnsi="Times New Roman"/>
                <w:lang w:val="en-US"/>
              </w:rPr>
              <w:t>（1）生活污水</w:t>
            </w:r>
          </w:p>
          <w:p>
            <w:pPr>
              <w:pStyle w:val="41"/>
              <w:rPr>
                <w:rFonts w:ascii="Times New Roman" w:hAnsi="Times New Roman"/>
                <w:lang w:val="en-US"/>
              </w:rPr>
            </w:pPr>
            <w:r>
              <w:rPr>
                <w:rFonts w:hint="eastAsia" w:ascii="Times New Roman" w:hAnsi="Times New Roman"/>
                <w:lang w:val="en-US"/>
              </w:rPr>
              <w:t>本项目施工人员从附近招聘，施工场地不设施工营地，施工期间生活废水为少量洗手废水。项目施工人员约</w:t>
            </w:r>
            <w:r>
              <w:rPr>
                <w:rFonts w:hint="eastAsia"/>
                <w:lang w:val="en-US" w:eastAsia="zh-CN"/>
              </w:rPr>
              <w:t>6</w:t>
            </w:r>
            <w:r>
              <w:rPr>
                <w:rFonts w:hint="eastAsia" w:ascii="Times New Roman" w:hAnsi="Times New Roman"/>
                <w:lang w:val="en-US"/>
              </w:rPr>
              <w:t>人，生活污水产生量为</w:t>
            </w:r>
            <w:r>
              <w:rPr>
                <w:rFonts w:hint="eastAsia"/>
                <w:lang w:val="en-US" w:eastAsia="zh-CN"/>
              </w:rPr>
              <w:t>4.8</w:t>
            </w:r>
            <w:r>
              <w:rPr>
                <w:rFonts w:hint="eastAsia" w:ascii="Times New Roman" w:hAnsi="Times New Roman"/>
                <w:lang w:val="en-US"/>
              </w:rPr>
              <w:t>m</w:t>
            </w:r>
            <w:r>
              <w:rPr>
                <w:rFonts w:hint="eastAsia" w:ascii="Times New Roman" w:hAnsi="Times New Roman"/>
                <w:vertAlign w:val="superscript"/>
                <w:lang w:val="en-US"/>
              </w:rPr>
              <w:t>3</w:t>
            </w:r>
            <w:r>
              <w:rPr>
                <w:rFonts w:hint="eastAsia" w:ascii="Times New Roman" w:hAnsi="Times New Roman"/>
                <w:lang w:val="en-US"/>
              </w:rPr>
              <w:t>，收集后用于施工场地洒水降尘。</w:t>
            </w:r>
          </w:p>
          <w:p>
            <w:pPr>
              <w:pStyle w:val="41"/>
              <w:rPr>
                <w:rFonts w:ascii="Times New Roman" w:hAnsi="Times New Roman"/>
                <w:lang w:val="en-US"/>
              </w:rPr>
            </w:pPr>
            <w:r>
              <w:rPr>
                <w:rFonts w:hint="eastAsia" w:ascii="Times New Roman" w:hAnsi="Times New Roman"/>
                <w:lang w:val="en-US"/>
              </w:rPr>
              <w:t>（2）施工废水</w:t>
            </w:r>
          </w:p>
          <w:p>
            <w:pPr>
              <w:pStyle w:val="41"/>
              <w:rPr>
                <w:rFonts w:ascii="Times New Roman" w:hAnsi="Times New Roman"/>
                <w:color w:val="0070C0"/>
                <w:lang w:val="en-US"/>
              </w:rPr>
            </w:pPr>
            <w:r>
              <w:rPr>
                <w:rFonts w:hint="eastAsia" w:ascii="Times New Roman" w:hAnsi="Times New Roman"/>
                <w:lang w:val="en-US"/>
              </w:rPr>
              <w:t>施工废水主要为乡道以及场地内地面硬化混凝土养护废水、机械设备冲洗废水、砂石冲洗废水等，主要污染因子为SS、石油类，浓度一般分别为300～2000 mg/L、15～30 mg/L。项目拟建临时排水沟、沉淀池，将施工场区废水收集沉淀处理后回用于车辆清洗或施工场地洒水降尘。</w:t>
            </w:r>
          </w:p>
          <w:p>
            <w:pPr>
              <w:pStyle w:val="6"/>
              <w:keepNext/>
              <w:keepLines/>
              <w:spacing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废气：</w:t>
            </w:r>
          </w:p>
          <w:p>
            <w:pPr>
              <w:spacing w:line="520" w:lineRule="exact"/>
              <w:ind w:firstLine="480" w:firstLineChars="200"/>
              <w:rPr>
                <w:rFonts w:ascii="Times New Roman" w:hAnsi="Times New Roman"/>
                <w:sz w:val="24"/>
              </w:rPr>
            </w:pPr>
            <w:r>
              <w:rPr>
                <w:rFonts w:ascii="Times New Roman" w:hAnsi="Times New Roman"/>
                <w:sz w:val="24"/>
              </w:rPr>
              <w:t>施工活动产生的大气污染物主要为施工扬尘。对整个施工期而言，施工扬尘主要集中在土建施工阶段，按起尘的原因可分为风力扬尘和动力扬尘，其中风力起尘主要是由于露天堆放的建筑材料及裸露的施工区表层浮土，由于天气干燥及大风产生风力扬尘。动力起尘主要是在建筑材料的装卸、转运过程中，由于外力而产生的尘粒再悬浮而造成，其中施工及装卸车辆造成的扬尘最为严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1</w:t>
            </w:r>
            <w:r>
              <w:rPr>
                <w:rFonts w:ascii="Times New Roman" w:hAnsi="Times New Roman"/>
                <w:sz w:val="24"/>
              </w:rPr>
              <w:t>）风力起尘</w:t>
            </w:r>
          </w:p>
          <w:p>
            <w:pPr>
              <w:spacing w:line="520" w:lineRule="exact"/>
              <w:ind w:firstLine="480" w:firstLineChars="200"/>
              <w:rPr>
                <w:rFonts w:ascii="Times New Roman" w:hAnsi="Times New Roman"/>
                <w:sz w:val="24"/>
              </w:rPr>
            </w:pPr>
            <w:r>
              <w:rPr>
                <w:rFonts w:ascii="Times New Roman" w:hAnsi="Times New Roman"/>
                <w:sz w:val="24"/>
              </w:rPr>
              <w:t>由于施工需要，一些建材需露天堆放，一些施工点表层土壤需人工开挖、堆放、在气候干燥又有风的情况下，会产生扬尘。这类扬尘的主要特点是与风速和尘粒含水率有关，据资料介绍，当灰尘含水率为0.5%时，其启动风速约为4.0m/s。因此，减少建材的露天堆放和保证一定的含水率是抑制这类扬尘的有效手段。</w:t>
            </w:r>
          </w:p>
          <w:p>
            <w:pPr>
              <w:spacing w:line="520" w:lineRule="exact"/>
              <w:ind w:firstLine="480" w:firstLineChars="200"/>
              <w:rPr>
                <w:rFonts w:ascii="Times New Roman" w:hAnsi="Times New Roman"/>
                <w:sz w:val="24"/>
              </w:rPr>
            </w:pPr>
            <w:r>
              <w:rPr>
                <w:rFonts w:ascii="Times New Roman" w:hAnsi="Times New Roman"/>
                <w:sz w:val="24"/>
              </w:rPr>
              <w:t>尘粒在空气中的传播扩散情况与风速等气象条件有关，也与尘粒本身的沉降速度有关。以沙土为例，其沉降速度随粒径的增大而迅速增大。当粒径为250微米时，沉降速度为1.005m/s，因此当尘粒大于250微米时，主要影响范围在扬尘点下方向近距离内，而真正对外环境产生影响的是一些微小尘粒。根据现场施工季节的气候情况不同，其影响范围和方向也有所不同，施工期间制定必要的防治措施，以减小施工扬尘对周围环境的影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2</w:t>
            </w:r>
            <w:r>
              <w:rPr>
                <w:rFonts w:ascii="Times New Roman" w:hAnsi="Times New Roman"/>
                <w:sz w:val="24"/>
              </w:rPr>
              <w:t>）动力起尘</w:t>
            </w:r>
          </w:p>
          <w:p>
            <w:pPr>
              <w:spacing w:line="520" w:lineRule="exact"/>
              <w:ind w:firstLine="480" w:firstLineChars="200"/>
              <w:rPr>
                <w:rFonts w:ascii="Times New Roman" w:hAnsi="Times New Roman"/>
                <w:sz w:val="24"/>
              </w:rPr>
            </w:pPr>
            <w:r>
              <w:rPr>
                <w:rFonts w:ascii="Times New Roman" w:hAnsi="Times New Roman"/>
                <w:sz w:val="24"/>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ind w:firstLine="480" w:firstLineChars="200"/>
              <w:jc w:val="center"/>
              <w:rPr>
                <w:rFonts w:hint="default" w:ascii="Times New Roman" w:hAnsi="Times New Roman" w:eastAsia="宋体"/>
                <w:sz w:val="24"/>
                <w:lang w:val="en-US" w:eastAsia="zh-CN"/>
              </w:rPr>
            </w:pPr>
            <w:r>
              <w:rPr>
                <w:rFonts w:hint="eastAsia"/>
                <w:position w:val="-24"/>
                <w:lang w:val="en-US" w:eastAsia="zh-CN"/>
              </w:rPr>
              <w:object>
                <v:shape id="_x0000_i1025" o:spt="75" type="#_x0000_t75" style="height:31pt;width:143pt;" o:ole="t" filled="f" o:preferrelative="t" stroked="f" coordsize="21600,21600">
                  <v:path/>
                  <v:fill on="f" focussize="0,0"/>
                  <v:stroke on="f"/>
                  <v:imagedata r:id="rId20" o:title=""/>
                  <o:lock v:ext="edit" aspectratio="t"/>
                  <w10:wrap type="none"/>
                  <w10:anchorlock/>
                </v:shape>
                <o:OLEObject Type="Embed" ProgID="Equation.KSEE3" ShapeID="_x0000_i1025" DrawAspect="Content" ObjectID="_1468075725" r:id="rId19">
                  <o:LockedField>false</o:LockedField>
                </o:OLEObject>
              </w:object>
            </w:r>
          </w:p>
          <w:p>
            <w:pPr>
              <w:spacing w:line="520" w:lineRule="exact"/>
              <w:ind w:firstLine="480" w:firstLineChars="200"/>
              <w:rPr>
                <w:rFonts w:ascii="Times New Roman" w:hAnsi="Times New Roman"/>
                <w:sz w:val="24"/>
              </w:rPr>
            </w:pPr>
            <w:r>
              <w:rPr>
                <w:rFonts w:ascii="Times New Roman" w:hAnsi="Times New Roman"/>
                <w:sz w:val="24"/>
              </w:rPr>
              <w:t>式中：Q——汽车行驶的扬尘，kg/km·辆；</w:t>
            </w:r>
          </w:p>
          <w:p>
            <w:pPr>
              <w:spacing w:line="520" w:lineRule="exact"/>
              <w:ind w:firstLine="480" w:firstLineChars="200"/>
              <w:rPr>
                <w:rFonts w:ascii="Times New Roman" w:hAnsi="Times New Roman"/>
                <w:sz w:val="24"/>
              </w:rPr>
            </w:pPr>
            <w:r>
              <w:rPr>
                <w:rFonts w:ascii="Times New Roman" w:hAnsi="Times New Roman"/>
                <w:sz w:val="24"/>
              </w:rPr>
              <w:t xml:space="preserve">      V——汽车速度，km/h；</w:t>
            </w:r>
          </w:p>
          <w:p>
            <w:pPr>
              <w:spacing w:line="520" w:lineRule="exact"/>
              <w:ind w:firstLine="480" w:firstLineChars="200"/>
              <w:rPr>
                <w:rFonts w:ascii="Times New Roman" w:hAnsi="Times New Roman"/>
                <w:sz w:val="24"/>
              </w:rPr>
            </w:pPr>
            <w:r>
              <w:rPr>
                <w:rFonts w:ascii="Times New Roman" w:hAnsi="Times New Roman"/>
                <w:sz w:val="24"/>
              </w:rPr>
              <w:t xml:space="preserve">      W——汽车载重量，t；</w:t>
            </w:r>
          </w:p>
          <w:p>
            <w:pPr>
              <w:spacing w:line="520" w:lineRule="exact"/>
              <w:ind w:firstLine="480" w:firstLineChars="200"/>
              <w:rPr>
                <w:rFonts w:ascii="Times New Roman" w:hAnsi="Times New Roman"/>
                <w:sz w:val="24"/>
              </w:rPr>
            </w:pPr>
            <w:r>
              <w:rPr>
                <w:rFonts w:ascii="Times New Roman" w:hAnsi="Times New Roman"/>
                <w:sz w:val="24"/>
              </w:rPr>
              <w:t xml:space="preserve">      P——道路表面粉尘量，kg/m</w:t>
            </w:r>
            <w:r>
              <w:rPr>
                <w:rFonts w:ascii="Times New Roman" w:hAnsi="Times New Roman"/>
                <w:sz w:val="24"/>
                <w:vertAlign w:val="superscript"/>
              </w:rPr>
              <w:t>2</w:t>
            </w:r>
            <w:r>
              <w:rPr>
                <w:rFonts w:ascii="Times New Roman" w:hAnsi="Times New Roman"/>
                <w:sz w:val="24"/>
              </w:rPr>
              <w:t>。</w:t>
            </w:r>
          </w:p>
          <w:p>
            <w:pPr>
              <w:spacing w:line="520" w:lineRule="exact"/>
              <w:ind w:firstLine="480" w:firstLineChars="200"/>
              <w:rPr>
                <w:rFonts w:ascii="Times New Roman" w:hAnsi="Times New Roman"/>
                <w:sz w:val="24"/>
              </w:rPr>
            </w:pPr>
            <w:r>
              <w:rPr>
                <w:rFonts w:ascii="Times New Roman" w:hAnsi="Times New Roman"/>
                <w:sz w:val="24"/>
              </w:rPr>
              <w:t>依据本项目工程规模及进度，施工期车辆行驶状况为：平均每日进出工地次数为20次/日，施工期（</w:t>
            </w:r>
            <w:r>
              <w:rPr>
                <w:rFonts w:hint="eastAsia" w:ascii="Times New Roman" w:hAnsi="Times New Roman"/>
                <w:sz w:val="24"/>
                <w:lang w:val="en-US" w:eastAsia="zh-CN"/>
              </w:rPr>
              <w:t>1</w:t>
            </w:r>
            <w:r>
              <w:rPr>
                <w:rFonts w:hint="eastAsia" w:ascii="Times New Roman" w:hAnsi="Times New Roman"/>
                <w:sz w:val="24"/>
              </w:rPr>
              <w:t>个月</w:t>
            </w:r>
            <w:r>
              <w:rPr>
                <w:rFonts w:ascii="Times New Roman" w:hAnsi="Times New Roman"/>
                <w:sz w:val="24"/>
              </w:rPr>
              <w:t>）共计</w:t>
            </w:r>
            <w:r>
              <w:rPr>
                <w:rFonts w:hint="eastAsia" w:ascii="Times New Roman" w:hAnsi="Times New Roman"/>
                <w:sz w:val="24"/>
                <w:lang w:val="en-US" w:eastAsia="zh-CN"/>
              </w:rPr>
              <w:t>6</w:t>
            </w:r>
            <w:r>
              <w:rPr>
                <w:rFonts w:ascii="Times New Roman" w:hAnsi="Times New Roman"/>
                <w:sz w:val="24"/>
              </w:rPr>
              <w:t>00趟次；每趟行驶里程按0.8km计，共行驶</w:t>
            </w:r>
            <w:r>
              <w:rPr>
                <w:rFonts w:hint="eastAsia" w:ascii="Times New Roman" w:hAnsi="Times New Roman"/>
                <w:sz w:val="24"/>
                <w:lang w:val="en-US" w:eastAsia="zh-CN"/>
              </w:rPr>
              <w:t>480</w:t>
            </w:r>
            <w:r>
              <w:rPr>
                <w:rFonts w:ascii="Times New Roman" w:hAnsi="Times New Roman"/>
                <w:sz w:val="24"/>
              </w:rPr>
              <w:t>km；平均车速按15km/h计，汽车平均载重量按5t计；道路表面粉尘量按0.3kg/m</w:t>
            </w:r>
            <w:r>
              <w:rPr>
                <w:rFonts w:ascii="Times New Roman" w:hAnsi="Times New Roman"/>
                <w:sz w:val="24"/>
                <w:vertAlign w:val="superscript"/>
              </w:rPr>
              <w:t>2</w:t>
            </w:r>
            <w:r>
              <w:rPr>
                <w:rFonts w:ascii="Times New Roman" w:hAnsi="Times New Roman"/>
                <w:sz w:val="24"/>
              </w:rPr>
              <w:t>计，则整个施工期汽车道路运输扬尘产生量为</w:t>
            </w:r>
            <w:r>
              <w:rPr>
                <w:rFonts w:hint="eastAsia" w:ascii="Times New Roman" w:hAnsi="Times New Roman"/>
                <w:sz w:val="24"/>
              </w:rPr>
              <w:t>0.</w:t>
            </w:r>
            <w:r>
              <w:rPr>
                <w:rFonts w:hint="eastAsia" w:ascii="Times New Roman" w:hAnsi="Times New Roman"/>
                <w:sz w:val="24"/>
                <w:lang w:val="en-US" w:eastAsia="zh-CN"/>
              </w:rPr>
              <w:t>1</w:t>
            </w:r>
            <w:r>
              <w:rPr>
                <w:rFonts w:ascii="Times New Roman" w:hAnsi="Times New Roman"/>
                <w:sz w:val="24"/>
              </w:rPr>
              <w:t>t。根据经验常数，通常运输车辆扬尘量约占扬尘总量的60%，故在整个施工期，包括刮风等所有扬尘因素在内产生的总扬尘量约为</w:t>
            </w:r>
            <w:r>
              <w:rPr>
                <w:rFonts w:hint="eastAsia" w:ascii="Times New Roman" w:hAnsi="Times New Roman"/>
                <w:sz w:val="24"/>
              </w:rPr>
              <w:t>0.</w:t>
            </w:r>
            <w:r>
              <w:rPr>
                <w:rFonts w:hint="eastAsia" w:ascii="Times New Roman" w:hAnsi="Times New Roman"/>
                <w:sz w:val="24"/>
                <w:lang w:val="en-US" w:eastAsia="zh-CN"/>
              </w:rPr>
              <w:t>17</w:t>
            </w:r>
            <w:r>
              <w:rPr>
                <w:rFonts w:ascii="Times New Roman" w:hAnsi="Times New Roman"/>
                <w:sz w:val="24"/>
              </w:rPr>
              <w:t>t。通常扬尘集中发生在施工期土地平整和地基开挖的早期阶段，其PM</w:t>
            </w:r>
            <w:r>
              <w:rPr>
                <w:rFonts w:ascii="Times New Roman" w:hAnsi="Times New Roman"/>
                <w:sz w:val="24"/>
                <w:vertAlign w:val="subscript"/>
              </w:rPr>
              <w:t>10</w:t>
            </w:r>
            <w:r>
              <w:rPr>
                <w:rFonts w:ascii="Times New Roman" w:hAnsi="Times New Roman"/>
                <w:sz w:val="24"/>
              </w:rPr>
              <w:t>排放浓度相对较高，需要采取措施进行防治，以减少对周围环境造成影响。</w:t>
            </w:r>
          </w:p>
          <w:p>
            <w:pPr>
              <w:pStyle w:val="6"/>
              <w:keepNext/>
              <w:keepLines/>
              <w:spacing w:line="360" w:lineRule="auto"/>
              <w:outlineLvl w:val="3"/>
              <w:rPr>
                <w:rFonts w:ascii="Times New Roman" w:hAnsi="Times New Roman"/>
                <w:b/>
                <w:sz w:val="24"/>
                <w:szCs w:val="24"/>
              </w:rPr>
            </w:pPr>
            <w:r>
              <w:rPr>
                <w:rFonts w:hint="eastAsia" w:ascii="Times New Roman" w:hAnsi="Times New Roman"/>
                <w:b/>
                <w:sz w:val="24"/>
                <w:szCs w:val="24"/>
              </w:rPr>
              <w:t>噪声：</w:t>
            </w:r>
          </w:p>
          <w:p>
            <w:pPr>
              <w:spacing w:line="360" w:lineRule="auto"/>
              <w:ind w:firstLine="480" w:firstLineChars="200"/>
              <w:rPr>
                <w:rFonts w:ascii="Times New Roman" w:hAnsi="Times New Roman"/>
                <w:sz w:val="24"/>
              </w:rPr>
            </w:pPr>
            <w:r>
              <w:rPr>
                <w:rFonts w:hint="eastAsia" w:ascii="Times New Roman" w:hAnsi="Times New Roman"/>
                <w:sz w:val="24"/>
              </w:rPr>
              <w:t>施工噪声主要来自挖掘机、装载机、电锯、运输车辆等机械设备噪声，噪声具有阶段性、临时性和不固定性。根据相关资料，项目施工阶段的主要噪声源及其声级见表</w:t>
            </w:r>
            <w:r>
              <w:rPr>
                <w:rFonts w:hint="eastAsia"/>
                <w:sz w:val="24"/>
                <w:lang w:val="en-US" w:eastAsia="zh-CN"/>
              </w:rPr>
              <w:t>21</w:t>
            </w:r>
            <w:r>
              <w:rPr>
                <w:rFonts w:hint="eastAsia" w:ascii="Times New Roman" w:hAnsi="Times New Roman"/>
                <w:sz w:val="24"/>
              </w:rPr>
              <w:t>。</w:t>
            </w:r>
          </w:p>
          <w:p>
            <w:pPr>
              <w:bidi w:val="0"/>
              <w:jc w:val="center"/>
              <w:rPr>
                <w:rFonts w:ascii="Times New Roman" w:hAnsi="Times New Roman"/>
                <w:b/>
              </w:rPr>
            </w:pPr>
            <w:bookmarkStart w:id="16" w:name="_Ref431367011"/>
            <w:r>
              <w:rPr>
                <w:rFonts w:hint="eastAsia"/>
                <w:b/>
                <w:bCs/>
              </w:rPr>
              <w:t>表</w:t>
            </w:r>
            <w:bookmarkEnd w:id="16"/>
            <w:r>
              <w:rPr>
                <w:rFonts w:hint="eastAsia"/>
                <w:b/>
                <w:bCs/>
                <w:lang w:val="en-US" w:eastAsia="zh-CN"/>
              </w:rPr>
              <w:t>21</w:t>
            </w:r>
            <w:r>
              <w:rPr>
                <w:rFonts w:hint="eastAsia"/>
                <w:b/>
                <w:bCs/>
              </w:rPr>
              <w:t xml:space="preserve"> </w:t>
            </w:r>
            <w:r>
              <w:rPr>
                <w:rFonts w:hint="eastAsia"/>
                <w:b/>
                <w:bCs/>
                <w:lang w:val="en-US" w:eastAsia="zh-CN"/>
              </w:rPr>
              <w:t xml:space="preserve">  </w:t>
            </w:r>
            <w:r>
              <w:rPr>
                <w:rFonts w:hint="eastAsia"/>
                <w:b/>
                <w:bCs/>
              </w:rPr>
              <w:t xml:space="preserve"> 施工期各施工阶段噪声源</w:t>
            </w:r>
          </w:p>
          <w:tbl>
            <w:tblPr>
              <w:tblStyle w:val="22"/>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53"/>
              <w:gridCol w:w="1668"/>
              <w:gridCol w:w="1777"/>
              <w:gridCol w:w="37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16" w:hRule="atLeast"/>
                <w:tblHeader/>
                <w:jc w:val="center"/>
              </w:trPr>
              <w:tc>
                <w:tcPr>
                  <w:tcW w:w="637" w:type="pct"/>
                  <w:noWrap w:val="0"/>
                  <w:vAlign w:val="center"/>
                </w:tcPr>
                <w:p>
                  <w:pPr>
                    <w:pStyle w:val="11"/>
                    <w:bidi w:val="0"/>
                    <w:jc w:val="center"/>
                  </w:pPr>
                  <w:r>
                    <w:t>序号</w:t>
                  </w:r>
                </w:p>
              </w:tc>
              <w:tc>
                <w:tcPr>
                  <w:tcW w:w="1009" w:type="pct"/>
                  <w:noWrap w:val="0"/>
                  <w:vAlign w:val="center"/>
                </w:tcPr>
                <w:p>
                  <w:pPr>
                    <w:pStyle w:val="11"/>
                    <w:bidi w:val="0"/>
                    <w:jc w:val="center"/>
                  </w:pPr>
                  <w:r>
                    <w:t>施工阶段</w:t>
                  </w:r>
                </w:p>
              </w:tc>
              <w:tc>
                <w:tcPr>
                  <w:tcW w:w="1075" w:type="pct"/>
                  <w:noWrap w:val="0"/>
                  <w:vAlign w:val="center"/>
                </w:tcPr>
                <w:p>
                  <w:pPr>
                    <w:pStyle w:val="11"/>
                    <w:bidi w:val="0"/>
                    <w:jc w:val="center"/>
                  </w:pPr>
                  <w:r>
                    <w:t>设备</w:t>
                  </w:r>
                </w:p>
              </w:tc>
              <w:tc>
                <w:tcPr>
                  <w:tcW w:w="2277" w:type="pct"/>
                  <w:noWrap w:val="0"/>
                  <w:vAlign w:val="center"/>
                </w:tcPr>
                <w:p>
                  <w:pPr>
                    <w:pStyle w:val="11"/>
                    <w:bidi w:val="0"/>
                    <w:jc w:val="center"/>
                  </w:pPr>
                  <w:r>
                    <w:t>单机最大噪声值dB（A）（距声</w:t>
                  </w:r>
                  <w:r>
                    <w:rPr>
                      <w:rFonts w:hint="eastAsia"/>
                    </w:rPr>
                    <w:t>源</w:t>
                  </w:r>
                  <w:r>
                    <w:t>5</w:t>
                  </w:r>
                  <w:r>
                    <w:rPr>
                      <w:rFonts w:hint="eastAsia"/>
                    </w:rPr>
                    <w:t xml:space="preserve"> </w:t>
                  </w:r>
                  <w:r>
                    <w:t>m处）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rPr>
                      <w:rFonts w:hint="eastAsia"/>
                    </w:rPr>
                    <w:t>1</w:t>
                  </w:r>
                </w:p>
              </w:tc>
              <w:tc>
                <w:tcPr>
                  <w:tcW w:w="1009" w:type="pct"/>
                  <w:noWrap w:val="0"/>
                  <w:vAlign w:val="center"/>
                </w:tcPr>
                <w:p>
                  <w:pPr>
                    <w:pStyle w:val="11"/>
                    <w:bidi w:val="0"/>
                    <w:jc w:val="center"/>
                  </w:pPr>
                  <w:r>
                    <w:rPr>
                      <w:rFonts w:hint="eastAsia"/>
                    </w:rPr>
                    <w:t>土方</w:t>
                  </w:r>
                </w:p>
              </w:tc>
              <w:tc>
                <w:tcPr>
                  <w:tcW w:w="1075" w:type="pct"/>
                  <w:noWrap w:val="0"/>
                  <w:vAlign w:val="center"/>
                </w:tcPr>
                <w:p>
                  <w:pPr>
                    <w:pStyle w:val="11"/>
                    <w:bidi w:val="0"/>
                    <w:jc w:val="center"/>
                  </w:pPr>
                  <w:r>
                    <w:t>挖掘机</w:t>
                  </w:r>
                </w:p>
              </w:tc>
              <w:tc>
                <w:tcPr>
                  <w:tcW w:w="2277" w:type="pct"/>
                  <w:noWrap w:val="0"/>
                  <w:vAlign w:val="center"/>
                </w:tcPr>
                <w:p>
                  <w:pPr>
                    <w:pStyle w:val="11"/>
                    <w:bidi w:val="0"/>
                    <w:jc w:val="center"/>
                  </w:pPr>
                  <w:r>
                    <w:t>84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2</w:t>
                  </w:r>
                </w:p>
              </w:tc>
              <w:tc>
                <w:tcPr>
                  <w:tcW w:w="1009" w:type="pct"/>
                  <w:noWrap w:val="0"/>
                  <w:vAlign w:val="center"/>
                </w:tcPr>
                <w:p>
                  <w:pPr>
                    <w:pStyle w:val="11"/>
                    <w:bidi w:val="0"/>
                    <w:jc w:val="center"/>
                  </w:pPr>
                  <w:r>
                    <w:t>土方</w:t>
                  </w:r>
                </w:p>
              </w:tc>
              <w:tc>
                <w:tcPr>
                  <w:tcW w:w="1075" w:type="pct"/>
                  <w:noWrap w:val="0"/>
                  <w:vAlign w:val="center"/>
                </w:tcPr>
                <w:p>
                  <w:pPr>
                    <w:pStyle w:val="11"/>
                    <w:bidi w:val="0"/>
                    <w:jc w:val="center"/>
                  </w:pPr>
                  <w:r>
                    <w:t>载重车</w:t>
                  </w:r>
                </w:p>
              </w:tc>
              <w:tc>
                <w:tcPr>
                  <w:tcW w:w="2277" w:type="pct"/>
                  <w:noWrap w:val="0"/>
                  <w:vAlign w:val="center"/>
                </w:tcPr>
                <w:p>
                  <w:pPr>
                    <w:pStyle w:val="11"/>
                    <w:bidi w:val="0"/>
                    <w:jc w:val="center"/>
                  </w:pPr>
                  <w:r>
                    <w:t>8</w:t>
                  </w:r>
                  <w:r>
                    <w:rPr>
                      <w:rFonts w:hint="eastAsia"/>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3</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振捣机</w:t>
                  </w:r>
                </w:p>
              </w:tc>
              <w:tc>
                <w:tcPr>
                  <w:tcW w:w="2277" w:type="pct"/>
                  <w:noWrap w:val="0"/>
                  <w:vAlign w:val="center"/>
                </w:tcPr>
                <w:p>
                  <w:pPr>
                    <w:pStyle w:val="11"/>
                    <w:bidi w:val="0"/>
                    <w:jc w:val="center"/>
                  </w:pPr>
                  <w: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4</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装载机</w:t>
                  </w:r>
                </w:p>
              </w:tc>
              <w:tc>
                <w:tcPr>
                  <w:tcW w:w="2277" w:type="pct"/>
                  <w:noWrap w:val="0"/>
                  <w:vAlign w:val="center"/>
                </w:tcPr>
                <w:p>
                  <w:pPr>
                    <w:pStyle w:val="11"/>
                    <w:bidi w:val="0"/>
                    <w:jc w:val="center"/>
                  </w:pPr>
                  <w:r>
                    <w:rPr>
                      <w:rFonts w:hint="eastAsia"/>
                    </w:rPr>
                    <w:t>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5</w:t>
                  </w:r>
                </w:p>
              </w:tc>
              <w:tc>
                <w:tcPr>
                  <w:tcW w:w="1009" w:type="pct"/>
                  <w:noWrap w:val="0"/>
                  <w:vAlign w:val="center"/>
                </w:tcPr>
                <w:p>
                  <w:pPr>
                    <w:pStyle w:val="11"/>
                    <w:bidi w:val="0"/>
                    <w:jc w:val="center"/>
                  </w:pPr>
                  <w:r>
                    <w:t>结构</w:t>
                  </w:r>
                </w:p>
              </w:tc>
              <w:tc>
                <w:tcPr>
                  <w:tcW w:w="1075" w:type="pct"/>
                  <w:noWrap w:val="0"/>
                  <w:vAlign w:val="center"/>
                </w:tcPr>
                <w:p>
                  <w:pPr>
                    <w:pStyle w:val="11"/>
                    <w:bidi w:val="0"/>
                    <w:jc w:val="center"/>
                  </w:pPr>
                  <w:r>
                    <w:t>电焊机</w:t>
                  </w:r>
                </w:p>
              </w:tc>
              <w:tc>
                <w:tcPr>
                  <w:tcW w:w="2277" w:type="pct"/>
                  <w:noWrap w:val="0"/>
                  <w:vAlign w:val="center"/>
                </w:tcPr>
                <w:p>
                  <w:pPr>
                    <w:pStyle w:val="11"/>
                    <w:bidi w:val="0"/>
                    <w:jc w:val="center"/>
                  </w:pPr>
                  <w:r>
                    <w:t>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1"/>
                    <w:bidi w:val="0"/>
                    <w:jc w:val="center"/>
                  </w:pPr>
                  <w:r>
                    <w:t>6</w:t>
                  </w:r>
                </w:p>
              </w:tc>
              <w:tc>
                <w:tcPr>
                  <w:tcW w:w="1009" w:type="pct"/>
                  <w:noWrap w:val="0"/>
                  <w:vAlign w:val="center"/>
                </w:tcPr>
                <w:p>
                  <w:pPr>
                    <w:pStyle w:val="11"/>
                    <w:bidi w:val="0"/>
                    <w:jc w:val="center"/>
                  </w:pPr>
                  <w:r>
                    <w:t>装修</w:t>
                  </w:r>
                </w:p>
              </w:tc>
              <w:tc>
                <w:tcPr>
                  <w:tcW w:w="1075" w:type="pct"/>
                  <w:noWrap w:val="0"/>
                  <w:vAlign w:val="center"/>
                </w:tcPr>
                <w:p>
                  <w:pPr>
                    <w:pStyle w:val="11"/>
                    <w:bidi w:val="0"/>
                    <w:jc w:val="center"/>
                  </w:pPr>
                  <w:r>
                    <w:t>电锯</w:t>
                  </w:r>
                </w:p>
              </w:tc>
              <w:tc>
                <w:tcPr>
                  <w:tcW w:w="2277" w:type="pct"/>
                  <w:noWrap w:val="0"/>
                  <w:vAlign w:val="center"/>
                </w:tcPr>
                <w:p>
                  <w:pPr>
                    <w:pStyle w:val="11"/>
                    <w:bidi w:val="0"/>
                    <w:jc w:val="center"/>
                  </w:pPr>
                  <w:r>
                    <w:t>90</w:t>
                  </w:r>
                </w:p>
              </w:tc>
            </w:tr>
          </w:tbl>
          <w:p>
            <w:pPr>
              <w:pStyle w:val="6"/>
              <w:keepNext/>
              <w:keepLines/>
              <w:spacing w:before="156" w:beforeLines="50"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固体废物：</w:t>
            </w:r>
          </w:p>
          <w:p>
            <w:pPr>
              <w:spacing w:line="360" w:lineRule="auto"/>
              <w:ind w:firstLine="480" w:firstLineChars="200"/>
              <w:rPr>
                <w:rFonts w:ascii="Times New Roman" w:hAnsi="Times New Roman"/>
                <w:sz w:val="24"/>
              </w:rPr>
            </w:pPr>
            <w:r>
              <w:rPr>
                <w:rFonts w:ascii="Times New Roman" w:hAnsi="Times New Roman"/>
                <w:sz w:val="24"/>
              </w:rPr>
              <w:t>本项目施工</w:t>
            </w:r>
            <w:r>
              <w:rPr>
                <w:rFonts w:hint="eastAsia" w:ascii="Times New Roman" w:hAnsi="Times New Roman"/>
                <w:sz w:val="24"/>
              </w:rPr>
              <w:t>过程产生</w:t>
            </w:r>
            <w:r>
              <w:rPr>
                <w:rFonts w:ascii="Times New Roman" w:hAnsi="Times New Roman"/>
                <w:sz w:val="24"/>
              </w:rPr>
              <w:t>的固体废物主要为废弃土石方、建筑垃圾</w:t>
            </w:r>
            <w:r>
              <w:rPr>
                <w:rFonts w:hint="eastAsia" w:ascii="Times New Roman" w:hAnsi="Times New Roman"/>
                <w:sz w:val="24"/>
              </w:rPr>
              <w:t>以及施工人员的生活垃圾</w:t>
            </w:r>
            <w:r>
              <w:rPr>
                <w:rFonts w:ascii="Times New Roman" w:hAnsi="Times New Roman"/>
                <w:sz w:val="24"/>
              </w:rPr>
              <w:t>。</w:t>
            </w:r>
          </w:p>
          <w:p>
            <w:pPr>
              <w:spacing w:line="360" w:lineRule="auto"/>
              <w:ind w:firstLine="480" w:firstLineChars="200"/>
              <w:rPr>
                <w:rFonts w:ascii="Times New Roman" w:hAnsi="Times New Roman"/>
                <w:sz w:val="24"/>
              </w:rPr>
            </w:pPr>
            <w:r>
              <w:rPr>
                <w:rFonts w:hint="eastAsia" w:ascii="Times New Roman" w:hAnsi="Times New Roman"/>
                <w:sz w:val="24"/>
              </w:rPr>
              <w:t>（1）土石方</w:t>
            </w:r>
          </w:p>
          <w:p>
            <w:pPr>
              <w:spacing w:line="360" w:lineRule="auto"/>
              <w:ind w:firstLine="480" w:firstLineChars="200"/>
              <w:rPr>
                <w:rFonts w:ascii="Times New Roman" w:hAnsi="Times New Roman"/>
                <w:sz w:val="24"/>
              </w:rPr>
            </w:pPr>
            <w:r>
              <w:rPr>
                <w:rFonts w:hint="eastAsia" w:ascii="Times New Roman" w:hAnsi="Times New Roman"/>
                <w:sz w:val="24"/>
              </w:rPr>
              <w:t>根据现场调查，项目拟建地用地性质原为加油站，项目后续施工能够实现挖填平衡，项目无废弃土石方产生。</w:t>
            </w:r>
          </w:p>
          <w:p>
            <w:pPr>
              <w:spacing w:line="360" w:lineRule="auto"/>
              <w:ind w:firstLine="480" w:firstLineChars="200"/>
              <w:rPr>
                <w:rFonts w:ascii="Times New Roman" w:hAnsi="Times New Roman"/>
                <w:sz w:val="24"/>
              </w:rPr>
            </w:pPr>
            <w:r>
              <w:rPr>
                <w:rFonts w:hint="eastAsia" w:ascii="Times New Roman" w:hAnsi="Times New Roman"/>
                <w:sz w:val="24"/>
              </w:rPr>
              <w:t>（2）建筑垃圾</w:t>
            </w:r>
          </w:p>
          <w:p>
            <w:pPr>
              <w:spacing w:line="360" w:lineRule="auto"/>
              <w:ind w:firstLine="480" w:firstLineChars="200"/>
              <w:rPr>
                <w:rFonts w:hint="eastAsia" w:ascii="Times New Roman" w:hAnsi="Times New Roman" w:eastAsia="宋体"/>
                <w:color w:val="0070C0"/>
                <w:sz w:val="24"/>
                <w:lang w:eastAsia="zh-CN"/>
              </w:rPr>
            </w:pPr>
            <w:r>
              <w:rPr>
                <w:rFonts w:hint="eastAsia" w:ascii="Times New Roman" w:hAnsi="Times New Roman"/>
                <w:sz w:val="24"/>
              </w:rPr>
              <w:t>本项目加油棚为钢架结构棚，</w:t>
            </w:r>
            <w:r>
              <w:rPr>
                <w:rFonts w:hint="eastAsia" w:ascii="Times New Roman" w:hAnsi="Times New Roman"/>
                <w:sz w:val="24"/>
                <w:lang w:eastAsia="zh-CN"/>
              </w:rPr>
              <w:t>站房依托原有，建筑垃圾较少。</w:t>
            </w:r>
          </w:p>
          <w:p>
            <w:pPr>
              <w:spacing w:line="360" w:lineRule="auto"/>
              <w:ind w:firstLine="480" w:firstLineChars="200"/>
              <w:rPr>
                <w:rFonts w:ascii="Times New Roman" w:hAnsi="Times New Roman"/>
                <w:sz w:val="24"/>
              </w:rPr>
            </w:pPr>
            <w:r>
              <w:rPr>
                <w:rFonts w:hint="eastAsia" w:ascii="Times New Roman" w:hAnsi="Times New Roman"/>
                <w:sz w:val="24"/>
              </w:rPr>
              <w:t>（3）生活垃圾</w:t>
            </w:r>
          </w:p>
          <w:p>
            <w:pPr>
              <w:pStyle w:val="2"/>
              <w:rPr>
                <w:rFonts w:hint="default"/>
                <w:lang w:val="en-US" w:eastAsia="zh-CN"/>
              </w:rPr>
            </w:pPr>
            <w:r>
              <w:rPr>
                <w:rFonts w:hint="eastAsia" w:ascii="Times New Roman" w:hAnsi="Times New Roman"/>
                <w:sz w:val="24"/>
              </w:rPr>
              <w:t>本项目施工期不设食堂，通过外购盒饭的方式提供中餐，不提供早晚餐及住宿。项目施工人员约有</w:t>
            </w:r>
            <w:r>
              <w:rPr>
                <w:rFonts w:hint="eastAsia"/>
                <w:sz w:val="24"/>
                <w:lang w:val="en-US" w:eastAsia="zh-CN"/>
              </w:rPr>
              <w:t>6</w:t>
            </w:r>
            <w:r>
              <w:rPr>
                <w:rFonts w:hint="eastAsia" w:ascii="Times New Roman" w:hAnsi="Times New Roman"/>
                <w:sz w:val="24"/>
              </w:rPr>
              <w:t>人，生活垃圾产生量约为0.2kg/（人•天），产生垃圾量为</w:t>
            </w:r>
            <w:r>
              <w:rPr>
                <w:rFonts w:hint="eastAsia"/>
                <w:sz w:val="24"/>
                <w:lang w:val="en-US" w:eastAsia="zh-CN"/>
              </w:rPr>
              <w:t>0.12</w:t>
            </w:r>
            <w:r>
              <w:rPr>
                <w:rFonts w:hint="eastAsia" w:ascii="Times New Roman" w:hAnsi="Times New Roman"/>
                <w:sz w:val="24"/>
              </w:rPr>
              <w:t>kg/d。</w:t>
            </w:r>
          </w:p>
          <w:p>
            <w:pPr>
              <w:adjustRightInd w:val="0"/>
              <w:snapToGrid w:val="0"/>
              <w:spacing w:line="500" w:lineRule="exact"/>
              <w:ind w:firstLine="0" w:firstLineChars="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2.2 运营期</w:t>
            </w:r>
            <w:r>
              <w:rPr>
                <w:rFonts w:ascii="Times New Roman" w:hAnsi="Times New Roman" w:eastAsia="宋体" w:cs="Times New Roman"/>
                <w:b/>
                <w:bCs/>
                <w:sz w:val="24"/>
                <w:szCs w:val="24"/>
              </w:rPr>
              <w:t>产污环节分析</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 w:val="0"/>
                <w:bCs/>
                <w:snapToGrid w:val="0"/>
                <w:color w:val="000000"/>
                <w:kern w:val="0"/>
                <w:szCs w:val="32"/>
                <w:u w:val="none"/>
              </w:rPr>
            </w:pPr>
            <w:r>
              <w:rPr>
                <w:rFonts w:hint="eastAsia" w:ascii="Times New Roman" w:hAnsi="Times New Roman" w:eastAsia="宋体" w:cs="Times New Roman"/>
                <w:b w:val="0"/>
                <w:bCs/>
                <w:snapToGrid w:val="0"/>
                <w:color w:val="000000"/>
                <w:kern w:val="0"/>
                <w:szCs w:val="32"/>
                <w:u w:val="none"/>
              </w:rPr>
              <w:t>（</w:t>
            </w:r>
            <w:r>
              <w:rPr>
                <w:rFonts w:hint="default" w:ascii="Times New Roman" w:hAnsi="Times New Roman" w:eastAsia="宋体" w:cs="Times New Roman"/>
                <w:b w:val="0"/>
                <w:bCs/>
                <w:snapToGrid w:val="0"/>
                <w:color w:val="000000"/>
                <w:kern w:val="0"/>
                <w:szCs w:val="32"/>
                <w:u w:val="none"/>
              </w:rPr>
              <w:t>1</w:t>
            </w:r>
            <w:r>
              <w:rPr>
                <w:rFonts w:hint="eastAsia" w:ascii="Times New Roman" w:hAnsi="Times New Roman" w:eastAsia="宋体" w:cs="Times New Roman"/>
                <w:b w:val="0"/>
                <w:bCs/>
                <w:snapToGrid w:val="0"/>
                <w:color w:val="000000"/>
                <w:kern w:val="0"/>
                <w:szCs w:val="32"/>
                <w:u w:val="none"/>
              </w:rPr>
              <w:t>）废气</w:t>
            </w:r>
          </w:p>
          <w:p>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eastAsia="zh-CN"/>
              </w:rPr>
            </w:pPr>
            <w:r>
              <w:rPr>
                <w:rFonts w:hint="eastAsia" w:ascii="Times New Roman" w:hAnsi="Times New Roman" w:eastAsia="宋体" w:cs="Times New Roman"/>
                <w:b w:val="0"/>
                <w:bCs/>
                <w:snapToGrid w:val="0"/>
                <w:color w:val="000000"/>
                <w:kern w:val="0"/>
                <w:szCs w:val="32"/>
                <w:u w:val="none"/>
              </w:rPr>
              <w:t>本项目废气主要</w:t>
            </w:r>
            <w:r>
              <w:rPr>
                <w:rFonts w:hint="eastAsia" w:ascii="Times New Roman" w:hAnsi="Times New Roman" w:eastAsia="宋体" w:cs="Times New Roman"/>
                <w:b w:val="0"/>
                <w:bCs/>
                <w:snapToGrid w:val="0"/>
                <w:color w:val="000000"/>
                <w:kern w:val="0"/>
                <w:szCs w:val="32"/>
                <w:u w:val="none"/>
                <w:lang w:eastAsia="zh-CN"/>
              </w:rPr>
              <w:t>为加油站运营过程中，油品的储存及罐车卸油、机动车加油过程将导致有一定量的油气外逸，主要成分为烃类气体；项目建成后汽车驶入加油站会有部分汽车尾气产生，以及食堂油烟废气，其排放对周围大气环境产生的影响。</w:t>
            </w:r>
          </w:p>
          <w:p>
            <w:pPr>
              <w:keepNext w:val="0"/>
              <w:keepLines w:val="0"/>
              <w:numPr>
                <w:ilvl w:val="0"/>
                <w:numId w:val="2"/>
              </w:numPr>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大小呼吸油气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储油罐在静置时，由于环境温度的变化和罐内压力的变化，使得罐内逸出的烃类气体通过灌顶的呼吸阀排入大气，这种现象称为储油罐大小呼吸。</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呼吸是指油罐进发油时的呼吸。油罐进油时，由于油面逐渐升高，气体空间逐渐减小，罐内压力增大，当压力超过呼吸阀控制压力时，一定浓度的油蒸气开始从呼吸阀呼出，造成油品的蒸发损失。储油罐向外发油时，由于油面不断降低，气体空间逐渐减小，罐内压力减小，当压力小于呼吸阀控制真空度时，储油罐开始吸入新鲜空气，由于油面上方油气没有达到饱和，促使油品蒸发加速，使其重新达到饱和，罐内压力再次上升，造成部分油蒸气从呼吸阀呼出。</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小呼吸损失是指油罐在没有收发油作业的情况下，随着外界气温、压力在一天内的升降周期变化，罐内气体空间温度、油品蒸发速度、油气浓度和蒸汽压力也随之变化。这种排出油蒸汽和吸入空气的过程所造成的油气损失。</w:t>
            </w:r>
          </w:p>
          <w:p>
            <w:pPr>
              <w:keepNext w:val="0"/>
              <w:keepLines w:val="0"/>
              <w:numPr>
                <w:ilvl w:val="0"/>
                <w:numId w:val="2"/>
              </w:numPr>
              <w:suppressLineNumbers w:val="0"/>
              <w:adjustRightInd w:val="0"/>
              <w:spacing w:before="0" w:beforeAutospacing="0" w:after="0" w:afterAutospacing="0" w:line="360" w:lineRule="auto"/>
              <w:ind w:left="0" w:leftChars="0" w:right="0" w:firstLine="480" w:firstLineChars="200"/>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汽车加油作业损失油气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加油作业损失主要指为车辆加油时，油品进入汽车油箱，油箱内的烃类气体被油品置换排入大气。</w:t>
            </w:r>
            <w:r>
              <w:rPr>
                <w:rFonts w:hint="eastAsia" w:ascii="Times New Roman" w:hAnsi="Times New Roman" w:eastAsia="宋体" w:cs="Times New Roman"/>
                <w:b w:val="0"/>
                <w:bCs/>
                <w:snapToGrid w:val="0"/>
                <w:color w:val="000000" w:themeColor="text1"/>
                <w:kern w:val="0"/>
                <w:szCs w:val="32"/>
                <w:highlight w:val="none"/>
                <w:u w:val="none"/>
                <w:lang w:eastAsia="zh-CN"/>
                <w14:textFill>
                  <w14:solidFill>
                    <w14:schemeClr w14:val="tx1"/>
                  </w14:solidFill>
                </w14:textFill>
              </w:rPr>
              <w:t>《中国加油站</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VOC排放污染现状及控制》，未安装油气回收装置的汽油加油机、柴油加油机在进行加油时，VOC（本项目中VOC主要为非甲烷总烃）排放因子分别为2.49kg/t、</w:t>
            </w:r>
            <w:r>
              <w:rPr>
                <w:rFonts w:hint="eastAsia" w:cs="Times New Roman"/>
                <w:b w:val="0"/>
                <w:bCs/>
                <w:snapToGrid w:val="0"/>
                <w:color w:val="000000" w:themeColor="text1"/>
                <w:kern w:val="0"/>
                <w:szCs w:val="32"/>
                <w:highlight w:val="none"/>
                <w:u w:val="none"/>
                <w:lang w:val="en-US" w:eastAsia="zh-CN"/>
                <w14:textFill>
                  <w14:solidFill>
                    <w14:schemeClr w14:val="tx1"/>
                  </w14:solidFill>
                </w14:textFill>
              </w:rPr>
              <w:t>0.192</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kg/t</w:t>
            </w:r>
            <w:r>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t>。</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auto"/>
                <w:kern w:val="0"/>
                <w:szCs w:val="32"/>
                <w:highlight w:val="none"/>
                <w:u w:val="none"/>
                <w:lang w:val="en-US" w:eastAsia="zh-CN"/>
              </w:rPr>
            </w:pPr>
            <w:r>
              <w:rPr>
                <w:rFonts w:hint="eastAsia" w:ascii="Times New Roman" w:hAnsi="Times New Roman" w:eastAsia="宋体" w:cs="Times New Roman"/>
                <w:b w:val="0"/>
                <w:bCs/>
                <w:snapToGrid w:val="0"/>
                <w:color w:val="auto"/>
                <w:kern w:val="0"/>
                <w:szCs w:val="32"/>
                <w:highlight w:val="none"/>
                <w:u w:val="none"/>
                <w:lang w:val="en-US" w:eastAsia="zh-CN"/>
              </w:rPr>
              <w:t>油气回收系统针对汽油油气回收，其作用是将加油站在卸油、储油和加油过程中产生的油气，通过密闭收集、储存和送入油罐汽车的罐内，运送到储油库集中回收。本项目加油站采用地埋式储油罐，卸油方式为密闭卸油，密闭性较好。为减少加油站卸油、储油过程造成的非甲烷总烃无组织排放，项目采取以密闭收集为基础的油气回收系统，</w:t>
            </w:r>
            <w:r>
              <w:rPr>
                <w:rFonts w:hint="eastAsia" w:ascii="Times New Roman" w:hAnsi="Times New Roman" w:eastAsia="宋体" w:cs="Times New Roman"/>
                <w:b w:val="0"/>
                <w:bCs/>
                <w:snapToGrid w:val="0"/>
                <w:color w:val="auto"/>
                <w:kern w:val="0"/>
                <w:szCs w:val="32"/>
                <w:highlight w:val="none"/>
                <w:u w:val="none"/>
                <w:lang w:val="zh-CN" w:eastAsia="zh-CN"/>
              </w:rPr>
              <w:t>本站设卸油油气回收、分散式加油油气回收系统。柴油系统预留加油、卸油油气回收管线；</w:t>
            </w:r>
            <w:r>
              <w:rPr>
                <w:rFonts w:hint="eastAsia" w:ascii="Times New Roman" w:hAnsi="Times New Roman" w:eastAsia="宋体" w:cs="Times New Roman"/>
                <w:b w:val="0"/>
                <w:bCs/>
                <w:snapToGrid w:val="0"/>
                <w:color w:val="auto"/>
                <w:kern w:val="0"/>
                <w:szCs w:val="32"/>
                <w:highlight w:val="none"/>
                <w:u w:val="none"/>
                <w:lang w:val="en-US" w:eastAsia="zh-CN"/>
              </w:rPr>
              <w:t>卸油油气回收系统(一次油气回收)、加油油气回收系统(二次油气回收)。</w:t>
            </w:r>
          </w:p>
          <w:p>
            <w:pPr>
              <w:keepNext w:val="0"/>
              <w:keepLines w:val="0"/>
              <w:widowControl w:val="0"/>
              <w:numPr>
                <w:ilvl w:val="0"/>
                <w:numId w:val="2"/>
              </w:numPr>
              <w:suppressLineNumbers w:val="0"/>
              <w:autoSpaceDE w:val="0"/>
              <w:autoSpaceDN w:val="0"/>
              <w:adjustRightInd w:val="0"/>
              <w:spacing w:before="0" w:beforeAutospacing="0" w:after="0" w:afterAutospacing="0"/>
              <w:ind w:left="0" w:leftChars="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汽车尾气</w:t>
            </w:r>
          </w:p>
          <w:p>
            <w:pPr>
              <w:keepNext w:val="0"/>
              <w:keepLines w:val="0"/>
              <w:suppressLineNumbers w:val="0"/>
              <w:adjustRightInd w:val="0"/>
              <w:spacing w:before="0" w:beforeAutospacing="0" w:after="0" w:afterAutospacing="0" w:line="520" w:lineRule="exact"/>
              <w:ind w:left="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汽车在建设项目区域内行驶将会有少量的HC、CO、NOx产生，对周围大气环境将产生一定量的影响。</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auto"/>
                <w:kern w:val="0"/>
                <w:szCs w:val="32"/>
              </w:rPr>
            </w:pPr>
            <w:r>
              <w:rPr>
                <w:rFonts w:hint="eastAsia" w:ascii="Times New Roman" w:hAnsi="Times New Roman" w:eastAsia="宋体" w:cs="Times New Roman"/>
                <w:bCs/>
                <w:snapToGrid w:val="0"/>
                <w:color w:val="auto"/>
                <w:kern w:val="0"/>
                <w:szCs w:val="32"/>
              </w:rPr>
              <w:t>（</w:t>
            </w:r>
            <w:r>
              <w:rPr>
                <w:rFonts w:hint="default" w:ascii="Times New Roman" w:hAnsi="Times New Roman" w:eastAsia="宋体" w:cs="Times New Roman"/>
                <w:bCs/>
                <w:snapToGrid w:val="0"/>
                <w:color w:val="auto"/>
                <w:kern w:val="0"/>
                <w:szCs w:val="32"/>
              </w:rPr>
              <w:t>2</w:t>
            </w:r>
            <w:r>
              <w:rPr>
                <w:rFonts w:hint="eastAsia" w:ascii="Times New Roman" w:hAnsi="Times New Roman" w:eastAsia="宋体" w:cs="Times New Roman"/>
                <w:bCs/>
                <w:snapToGrid w:val="0"/>
                <w:color w:val="auto"/>
                <w:kern w:val="0"/>
                <w:szCs w:val="32"/>
              </w:rPr>
              <w:t>）废水</w:t>
            </w:r>
          </w:p>
          <w:p>
            <w:pPr>
              <w:bidi w:val="0"/>
              <w:rPr>
                <w:rFonts w:hint="default"/>
              </w:rPr>
            </w:pPr>
            <w:r>
              <w:rPr>
                <w:rFonts w:hint="eastAsia" w:ascii="Times New Roman" w:hAnsi="Times New Roman" w:eastAsia="宋体" w:cs="Times New Roman"/>
                <w:bCs/>
                <w:color w:val="auto"/>
                <w:szCs w:val="21"/>
                <w:lang w:eastAsia="zh-CN"/>
              </w:rPr>
              <w:t>本项目</w:t>
            </w:r>
            <w:r>
              <w:rPr>
                <w:rFonts w:hint="eastAsia" w:ascii="Times New Roman" w:hAnsi="Times New Roman" w:eastAsia="宋体" w:cs="Times New Roman"/>
                <w:bCs/>
                <w:color w:val="auto"/>
                <w:szCs w:val="21"/>
              </w:rPr>
              <w:t>产生废水主要为站区内职工</w:t>
            </w:r>
            <w:r>
              <w:rPr>
                <w:rFonts w:hint="eastAsia" w:ascii="Times New Roman" w:hAnsi="Times New Roman" w:eastAsia="宋体" w:cs="Times New Roman"/>
                <w:bCs/>
                <w:color w:val="auto"/>
                <w:szCs w:val="21"/>
                <w:lang w:eastAsia="zh-CN"/>
              </w:rPr>
              <w:t>、</w:t>
            </w:r>
            <w:r>
              <w:rPr>
                <w:rFonts w:hint="eastAsia" w:ascii="Times New Roman" w:hAnsi="Times New Roman" w:eastAsia="宋体" w:cs="Times New Roman"/>
                <w:color w:val="auto"/>
                <w:szCs w:val="21"/>
              </w:rPr>
              <w:t>本项目劳动定员</w:t>
            </w:r>
            <w:r>
              <w:rPr>
                <w:rFonts w:hint="eastAsia" w:cs="Times New Roman"/>
                <w:color w:val="auto"/>
                <w:szCs w:val="21"/>
                <w:lang w:val="en-US" w:eastAsia="zh-CN"/>
              </w:rPr>
              <w:t>6</w:t>
            </w:r>
            <w:r>
              <w:rPr>
                <w:rFonts w:hint="eastAsia" w:ascii="Times New Roman" w:hAnsi="Times New Roman" w:eastAsia="宋体" w:cs="Times New Roman"/>
                <w:color w:val="auto"/>
                <w:szCs w:val="21"/>
              </w:rPr>
              <w:t>人，年有效工作时间为</w:t>
            </w:r>
            <w:r>
              <w:rPr>
                <w:rFonts w:hint="default"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65</w:t>
            </w:r>
            <w:r>
              <w:rPr>
                <w:rFonts w:hint="eastAsia" w:ascii="Times New Roman" w:hAnsi="Times New Roman" w:eastAsia="宋体" w:cs="Times New Roman"/>
                <w:color w:val="auto"/>
                <w:szCs w:val="21"/>
              </w:rPr>
              <w:t>天</w:t>
            </w:r>
            <w:r>
              <w:rPr>
                <w:rFonts w:hint="eastAsia"/>
              </w:rPr>
              <w:t>。</w:t>
            </w:r>
            <w:r>
              <w:rPr>
                <w:rFonts w:hint="eastAsia"/>
                <w:lang w:eastAsia="zh-CN"/>
              </w:rPr>
              <w:t>职工生活用水量按</w:t>
            </w:r>
            <w:r>
              <w:rPr>
                <w:rFonts w:hint="eastAsia"/>
                <w:lang w:val="en-US" w:eastAsia="zh-CN"/>
              </w:rPr>
              <w:t>40L/（人·d）计，每天接待客人100名，按5L/（人·d）计,</w:t>
            </w:r>
            <w:r>
              <w:rPr>
                <w:rFonts w:hint="eastAsia"/>
              </w:rPr>
              <w:t>项目生活用水及产污情况如下：</w:t>
            </w:r>
          </w:p>
          <w:p>
            <w:pPr>
              <w:bidi w:val="0"/>
              <w:jc w:val="center"/>
              <w:rPr>
                <w:rFonts w:hint="default" w:ascii="Times New Roman" w:hAnsi="Times New Roman" w:eastAsia="宋体" w:cs="Times New Roman"/>
                <w:color w:val="auto"/>
                <w:szCs w:val="21"/>
              </w:rPr>
            </w:pPr>
            <w:r>
              <w:rPr>
                <w:rFonts w:hint="eastAsia"/>
                <w:b/>
                <w:bCs/>
              </w:rPr>
              <w:t>表</w:t>
            </w:r>
            <w:r>
              <w:rPr>
                <w:rFonts w:hint="eastAsia"/>
                <w:b/>
                <w:bCs/>
                <w:lang w:val="en-US" w:eastAsia="zh-CN"/>
              </w:rPr>
              <w:t>22</w:t>
            </w:r>
            <w:r>
              <w:rPr>
                <w:rFonts w:hint="default"/>
                <w:b/>
                <w:bCs/>
              </w:rPr>
              <w:t xml:space="preserve"> </w:t>
            </w:r>
            <w:r>
              <w:rPr>
                <w:rFonts w:hint="eastAsia"/>
                <w:b/>
                <w:bCs/>
              </w:rPr>
              <w:t xml:space="preserve">             项目生活用水及产污情况一览表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338"/>
              <w:gridCol w:w="1082"/>
              <w:gridCol w:w="1437"/>
              <w:gridCol w:w="1002"/>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用水单元</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用水指标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lang w:eastAsia="zh-CN"/>
                    </w:rPr>
                    <w:t>）</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系数</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生活用水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客人用水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100</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0.5</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80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4"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6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74</w:t>
                  </w:r>
                </w:p>
              </w:tc>
              <w:tc>
                <w:tcPr>
                  <w:tcW w:w="606"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59</w:t>
                  </w:r>
                </w:p>
              </w:tc>
            </w:tr>
          </w:tbl>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rPr>
            </w:pPr>
            <w:r>
              <w:rPr>
                <w:rFonts w:hint="default" w:ascii="Times New Roman" w:hAnsi="Times New Roman" w:eastAsia="宋体" w:cs="Times New Roman"/>
                <w:b w:val="0"/>
                <w:bCs/>
                <w:snapToGrid w:val="0"/>
                <w:color w:val="auto"/>
                <w:kern w:val="0"/>
                <w:szCs w:val="32"/>
                <w:u w:val="none"/>
              </w:rPr>
              <w:t>则项目</w:t>
            </w:r>
            <w:r>
              <w:rPr>
                <w:rFonts w:hint="default" w:ascii="Times New Roman" w:hAnsi="Times New Roman" w:eastAsia="宋体" w:cs="Times New Roman"/>
                <w:b w:val="0"/>
                <w:bCs/>
                <w:snapToGrid w:val="0"/>
                <w:color w:val="auto"/>
                <w:kern w:val="0"/>
                <w:szCs w:val="32"/>
                <w:u w:val="none"/>
                <w:lang w:eastAsia="zh-CN"/>
              </w:rPr>
              <w:t>员工生活</w:t>
            </w:r>
            <w:r>
              <w:rPr>
                <w:rFonts w:hint="default" w:ascii="Times New Roman" w:hAnsi="Times New Roman" w:eastAsia="宋体" w:cs="Times New Roman"/>
                <w:b w:val="0"/>
                <w:bCs/>
                <w:snapToGrid w:val="0"/>
                <w:color w:val="auto"/>
                <w:kern w:val="0"/>
                <w:szCs w:val="32"/>
                <w:u w:val="none"/>
              </w:rPr>
              <w:t>用水量为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default" w:ascii="Times New Roman" w:hAnsi="Times New Roman" w:cs="Times New Roman"/>
                <w:b w:val="0"/>
                <w:bCs/>
                <w:snapToGrid w:val="0"/>
                <w:color w:val="auto"/>
                <w:kern w:val="0"/>
                <w:szCs w:val="32"/>
                <w:u w:val="none"/>
                <w:lang w:val="en-US" w:eastAsia="zh-CN"/>
              </w:rPr>
              <w:t>0.</w:t>
            </w:r>
            <w:r>
              <w:rPr>
                <w:rFonts w:hint="eastAsia" w:cs="Times New Roman"/>
                <w:b w:val="0"/>
                <w:bCs/>
                <w:snapToGrid w:val="0"/>
                <w:color w:val="auto"/>
                <w:kern w:val="0"/>
                <w:szCs w:val="32"/>
                <w:u w:val="none"/>
                <w:lang w:val="en-US" w:eastAsia="zh-CN"/>
              </w:rPr>
              <w:t>19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69.3</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项目生活用水总量为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w:t>
            </w:r>
            <w:r>
              <w:rPr>
                <w:rFonts w:hint="eastAsia" w:cs="Times New Roman"/>
                <w:b w:val="0"/>
                <w:bCs/>
                <w:snapToGrid w:val="0"/>
                <w:color w:val="auto"/>
                <w:kern w:val="0"/>
                <w:szCs w:val="32"/>
                <w:highlight w:val="none"/>
                <w:u w:val="none"/>
                <w:lang w:eastAsia="zh-CN"/>
              </w:rPr>
              <w:t>客人生活用水量为</w:t>
            </w:r>
            <w:r>
              <w:rPr>
                <w:rFonts w:hint="eastAsia" w:cs="Times New Roman"/>
                <w:b w:val="0"/>
                <w:bCs/>
                <w:snapToGrid w:val="0"/>
                <w:color w:val="auto"/>
                <w:kern w:val="0"/>
                <w:szCs w:val="32"/>
                <w:u w:val="none"/>
                <w:lang w:val="en-US" w:eastAsia="zh-CN"/>
              </w:rPr>
              <w:t>0.5</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182.5</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eastAsia" w:cs="Times New Roman"/>
                <w:b w:val="0"/>
                <w:bCs/>
                <w:snapToGrid w:val="0"/>
                <w:color w:val="auto"/>
                <w:kern w:val="0"/>
                <w:szCs w:val="32"/>
                <w:u w:val="none"/>
                <w:lang w:val="en-US" w:eastAsia="zh-CN"/>
              </w:rPr>
              <w:t>0.59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216.08</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kern w:val="0"/>
                <w:szCs w:val="32"/>
              </w:rPr>
            </w:pPr>
            <w:r>
              <w:rPr>
                <w:rFonts w:hint="eastAsia" w:ascii="Times New Roman" w:hAnsi="Times New Roman" w:eastAsia="宋体" w:cs="Times New Roman"/>
                <w:bCs/>
                <w:snapToGrid w:val="0"/>
                <w:color w:val="000000"/>
                <w:kern w:val="0"/>
                <w:szCs w:val="32"/>
              </w:rPr>
              <w:t>（</w:t>
            </w:r>
            <w:r>
              <w:rPr>
                <w:rFonts w:hint="default" w:ascii="Times New Roman" w:hAnsi="Times New Roman" w:eastAsia="宋体" w:cs="Times New Roman"/>
                <w:bCs/>
                <w:snapToGrid w:val="0"/>
                <w:color w:val="000000"/>
                <w:kern w:val="0"/>
                <w:szCs w:val="32"/>
              </w:rPr>
              <w:t>3</w:t>
            </w:r>
            <w:r>
              <w:rPr>
                <w:rFonts w:hint="eastAsia" w:ascii="Times New Roman" w:hAnsi="Times New Roman" w:eastAsia="宋体" w:cs="Times New Roman"/>
                <w:bCs/>
                <w:snapToGrid w:val="0"/>
                <w:color w:val="000000"/>
                <w:kern w:val="0"/>
                <w:szCs w:val="32"/>
              </w:rPr>
              <w:t>）噪声</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ascii="Times New Roman" w:hAnsi="Times New Roman" w:eastAsia="宋体" w:cs="Times New Roman"/>
                <w:color w:val="000000"/>
                <w:szCs w:val="20"/>
              </w:rPr>
            </w:pPr>
            <w:r>
              <w:rPr>
                <w:rFonts w:hint="eastAsia" w:ascii="Times New Roman" w:hAnsi="Times New Roman" w:eastAsia="宋体" w:cs="Times New Roman"/>
                <w:bCs/>
                <w:snapToGrid w:val="0"/>
                <w:color w:val="000000"/>
                <w:kern w:val="0"/>
                <w:szCs w:val="32"/>
              </w:rPr>
              <w:t>本项目噪声污染源主要为站区内加油机运行噪声以及车辆进出加油站行驶噪声。加油机</w:t>
            </w:r>
            <w:r>
              <w:rPr>
                <w:rFonts w:hint="eastAsia" w:ascii="Times New Roman" w:hAnsi="Times New Roman" w:eastAsia="宋体" w:cs="Times New Roman"/>
                <w:color w:val="000000"/>
                <w:szCs w:val="20"/>
              </w:rPr>
              <w:t>噪声值约为</w:t>
            </w:r>
            <w:r>
              <w:rPr>
                <w:rFonts w:hint="default" w:ascii="Times New Roman" w:hAnsi="Times New Roman" w:eastAsia="宋体" w:cs="Times New Roman"/>
                <w:color w:val="000000"/>
                <w:szCs w:val="20"/>
              </w:rPr>
              <w:t>60dB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），来往车辆行驶噪声源强约为</w:t>
            </w:r>
            <w:r>
              <w:rPr>
                <w:rFonts w:hint="default" w:ascii="Times New Roman" w:hAnsi="Times New Roman" w:eastAsia="宋体" w:cs="Times New Roman"/>
                <w:color w:val="000000"/>
                <w:szCs w:val="20"/>
              </w:rPr>
              <w:t>67dB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w:t>
            </w:r>
          </w:p>
          <w:p>
            <w:pPr>
              <w:bidi w:val="0"/>
              <w:rPr>
                <w:rFonts w:hint="default"/>
              </w:rPr>
            </w:pPr>
            <w:r>
              <w:rPr>
                <w:rFonts w:hint="eastAsia"/>
              </w:rPr>
              <w:t>（</w:t>
            </w:r>
            <w:r>
              <w:rPr>
                <w:rFonts w:hint="default"/>
              </w:rPr>
              <w:t>4</w:t>
            </w:r>
            <w:r>
              <w:rPr>
                <w:rFonts w:hint="eastAsia"/>
              </w:rPr>
              <w:t>）固体废物</w:t>
            </w:r>
          </w:p>
          <w:p>
            <w:pPr>
              <w:bidi w:val="0"/>
              <w:rPr>
                <w:rFonts w:ascii="Times New Roman" w:hAnsi="Times New Roman" w:eastAsia="宋体" w:cs="Times New Roman"/>
                <w:b/>
                <w:szCs w:val="21"/>
              </w:rPr>
            </w:pPr>
            <w:r>
              <w:rPr>
                <w:rFonts w:hint="eastAsia"/>
              </w:rPr>
              <w:t>本项目产生的固体废物主要为站区内职工、顾客产生的生活垃圾</w:t>
            </w:r>
            <w:r>
              <w:rPr>
                <w:rFonts w:hint="eastAsia"/>
                <w:lang w:eastAsia="zh-CN"/>
              </w:rPr>
              <w:t>、油</w:t>
            </w:r>
            <w:r>
              <w:rPr>
                <w:rFonts w:hint="eastAsia"/>
              </w:rPr>
              <w:t>以及油罐定期清理油泥。项目区内设垃圾收集桶，生活垃圾收集后由当地环卫工人清运至生活垃圾填埋场处理。</w:t>
            </w:r>
            <w:r>
              <w:rPr>
                <w:rFonts w:hint="eastAsia"/>
                <w:lang w:eastAsia="zh-CN"/>
              </w:rPr>
              <w:t>清罐污泥</w:t>
            </w:r>
            <w:r>
              <w:rPr>
                <w:rFonts w:hint="eastAsia"/>
              </w:rPr>
              <w:t>由具有专业清罐资质的油罐清洗单位进行清罐作业并做专业处理，即产即运，不在项目区内暂存。委托给具有相关资质的承包方处理。</w:t>
            </w:r>
          </w:p>
        </w:tc>
      </w:tr>
    </w:tbl>
    <w:p>
      <w:pPr>
        <w:spacing w:line="240" w:lineRule="auto"/>
        <w:ind w:firstLine="0" w:firstLineChars="0"/>
        <w:rPr>
          <w:rFonts w:ascii="Times New Roman" w:hAnsi="Times New Roman" w:eastAsia="宋体" w:cs="Times New Roman"/>
          <w:sz w:val="28"/>
          <w:szCs w:val="30"/>
        </w:rPr>
      </w:pP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项目主要污染物产生及预计排放情况</w:t>
      </w:r>
    </w:p>
    <w:tbl>
      <w:tblPr>
        <w:tblStyle w:val="22"/>
        <w:tblW w:w="8428" w:type="dxa"/>
        <w:jc w:val="center"/>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75"/>
        <w:gridCol w:w="1892"/>
        <w:gridCol w:w="1092"/>
        <w:gridCol w:w="2268"/>
        <w:gridCol w:w="2201"/>
      </w:tblGrid>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975" w:type="dxa"/>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bookmarkStart w:id="17" w:name="_Toc168387862"/>
            <w:bookmarkStart w:id="18" w:name="_Toc256177434"/>
            <w:bookmarkStart w:id="19" w:name="_Toc257241229"/>
            <w:r>
              <w:rPr>
                <w:rFonts w:hint="eastAsia" w:cs="Times New Roman"/>
                <w:b/>
                <w:bCs/>
                <w:sz w:val="21"/>
                <w:szCs w:val="21"/>
                <w:lang w:val="en-US" w:eastAsia="zh-CN"/>
              </w:rPr>
              <w:t xml:space="preserve">   </w:t>
            </w:r>
            <w:r>
              <w:rPr>
                <w:rFonts w:ascii="Times New Roman" w:hAnsi="Times New Roman" w:eastAsia="宋体" w:cs="Times New Roman"/>
                <w:b/>
                <w:bCs/>
                <w:sz w:val="21"/>
                <w:szCs w:val="21"/>
              </w:rPr>
              <w:t>内容</w:t>
            </w:r>
          </w:p>
          <w:p>
            <w:pPr>
              <w:adjustRightInd w:val="0"/>
              <w:snapToGrid w:val="0"/>
              <w:spacing w:line="240" w:lineRule="auto"/>
              <w:ind w:firstLine="0" w:firstLineChars="0"/>
              <w:jc w:val="both"/>
              <w:rPr>
                <w:rFonts w:ascii="Times New Roman" w:hAnsi="Times New Roman" w:eastAsia="宋体" w:cs="Times New Roman"/>
                <w:sz w:val="21"/>
                <w:szCs w:val="21"/>
              </w:rPr>
            </w:pPr>
            <w:r>
              <w:rPr>
                <w:rFonts w:ascii="Times New Roman" w:hAnsi="Times New Roman" w:eastAsia="宋体" w:cs="Times New Roman"/>
                <w:b/>
                <w:bCs/>
                <w:sz w:val="21"/>
                <w:szCs w:val="21"/>
              </w:rPr>
              <w:t>类型</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排放源</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污染物</w:t>
            </w:r>
          </w:p>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名称</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产生浓度及产生量</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排放浓度及排放量</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both"/>
              <w:rPr>
                <w:rFonts w:ascii="Times New Roman" w:hAnsi="Times New Roman" w:eastAsia="宋体" w:cs="Times New Roman"/>
                <w:b/>
                <w:sz w:val="21"/>
                <w:szCs w:val="21"/>
              </w:rPr>
            </w:pPr>
            <w:r>
              <w:rPr>
                <w:rFonts w:hint="eastAsia" w:ascii="Times New Roman" w:hAnsi="Times New Roman" w:eastAsia="宋体" w:cs="Times New Roman"/>
                <w:b/>
                <w:sz w:val="21"/>
                <w:szCs w:val="21"/>
              </w:rPr>
              <w:t>大气</w:t>
            </w:r>
            <w:r>
              <w:rPr>
                <w:rFonts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ascii="Times New Roman" w:hAnsi="Times New Roman" w:eastAsia="宋体" w:cs="Times New Roman"/>
                <w:b/>
                <w:sz w:val="21"/>
                <w:szCs w:val="21"/>
              </w:rPr>
              <w:t>染物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加油站</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非甲烷总烃</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r>
              <w:rPr>
                <w:rFonts w:hint="eastAsia" w:cs="Times New Roman"/>
                <w:color w:val="auto"/>
                <w:sz w:val="21"/>
                <w:szCs w:val="21"/>
                <w:lang w:val="en-US" w:eastAsia="zh-CN"/>
              </w:rPr>
              <w:t>785</w:t>
            </w:r>
            <w:r>
              <w:rPr>
                <w:rFonts w:ascii="Times New Roman" w:hAnsi="Times New Roman" w:eastAsia="宋体" w:cs="Times New Roman"/>
                <w:color w:val="auto"/>
                <w:sz w:val="21"/>
                <w:szCs w:val="21"/>
              </w:rPr>
              <w:t>t/a</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水</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染</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
                <w:sz w:val="21"/>
                <w:szCs w:val="21"/>
              </w:rPr>
              <w:t>物</w:t>
            </w:r>
          </w:p>
        </w:tc>
        <w:tc>
          <w:tcPr>
            <w:tcW w:w="1892" w:type="dxa"/>
            <w:vMerge w:val="restart"/>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生活污水</w:t>
            </w:r>
            <w:r>
              <w:rPr>
                <w:rFonts w:hint="eastAsia" w:ascii="Times New Roman" w:hAnsi="Times New Roman" w:eastAsia="宋体" w:cs="Times New Roman"/>
                <w:spacing w:val="-12"/>
                <w:sz w:val="21"/>
                <w:szCs w:val="21"/>
              </w:rPr>
              <w:t>（</w:t>
            </w:r>
            <w:r>
              <w:rPr>
                <w:rFonts w:hint="eastAsia" w:ascii="Times New Roman" w:hAnsi="Times New Roman" w:eastAsia="仿宋_GB2312" w:cs="Times New Roman"/>
                <w:kern w:val="0"/>
                <w:sz w:val="21"/>
                <w:szCs w:val="21"/>
              </w:rPr>
              <w:t>1</w:t>
            </w:r>
            <w:r>
              <w:rPr>
                <w:rFonts w:hint="eastAsia" w:ascii="Times New Roman" w:hAnsi="Times New Roman" w:eastAsia="仿宋_GB2312" w:cs="Times New Roman"/>
                <w:kern w:val="0"/>
                <w:sz w:val="21"/>
                <w:szCs w:val="21"/>
                <w:lang w:val="en-US" w:eastAsia="zh-CN"/>
              </w:rPr>
              <w:t>92.72</w:t>
            </w: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/a</w:t>
            </w:r>
            <w:r>
              <w:rPr>
                <w:rFonts w:hint="eastAsia" w:ascii="Times New Roman" w:hAnsi="Times New Roman" w:eastAsia="宋体" w:cs="Times New Roman"/>
                <w:sz w:val="21"/>
                <w:szCs w:val="21"/>
              </w:rPr>
              <w:t>）</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COD</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350mg/L、0.0</w:t>
            </w:r>
            <w:r>
              <w:rPr>
                <w:rFonts w:hint="eastAsia" w:ascii="Times New Roman" w:hAnsi="Times New Roman" w:eastAsia="宋体" w:cs="Times New Roman"/>
                <w:sz w:val="21"/>
                <w:szCs w:val="21"/>
                <w:lang w:val="en-US" w:eastAsia="zh-CN"/>
              </w:rPr>
              <w:t>67</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250mg/L、</w:t>
            </w:r>
            <w:r>
              <w:rPr>
                <w:rFonts w:hint="eastAsia" w:cs="Times New Roman"/>
                <w:sz w:val="21"/>
                <w:szCs w:val="21"/>
                <w:lang w:eastAsia="zh-CN"/>
              </w:rPr>
              <w:t>0.192</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30mg/L、0.00</w:t>
            </w:r>
            <w:r>
              <w:rPr>
                <w:rFonts w:hint="eastAsia" w:ascii="Times New Roman" w:hAnsi="Times New Roman" w:eastAsia="宋体" w:cs="Times New Roman"/>
                <w:sz w:val="21"/>
                <w:szCs w:val="21"/>
              </w:rPr>
              <w:t>5</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固</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体</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废</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
                <w:sz w:val="21"/>
                <w:szCs w:val="21"/>
              </w:rPr>
              <w:t>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职工</w:t>
            </w:r>
            <w:r>
              <w:rPr>
                <w:rFonts w:hint="eastAsia" w:ascii="Times New Roman" w:hAnsi="Times New Roman" w:eastAsia="宋体" w:cs="Times New Roman"/>
                <w:sz w:val="21"/>
                <w:szCs w:val="21"/>
              </w:rPr>
              <w:t>办公及</w:t>
            </w:r>
            <w:r>
              <w:rPr>
                <w:rFonts w:ascii="Times New Roman" w:hAnsi="Times New Roman" w:eastAsia="宋体" w:cs="Times New Roman"/>
                <w:sz w:val="21"/>
                <w:szCs w:val="21"/>
              </w:rPr>
              <w:t>客户</w:t>
            </w:r>
            <w:r>
              <w:rPr>
                <w:rFonts w:hint="eastAsia" w:ascii="Times New Roman" w:hAnsi="Times New Roman" w:eastAsia="宋体" w:cs="Times New Roman"/>
                <w:sz w:val="21"/>
                <w:szCs w:val="21"/>
              </w:rPr>
              <w:t>生活</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生活垃圾</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38</w:t>
            </w: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975"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yellow"/>
              </w:rPr>
            </w:pPr>
            <w:r>
              <w:rPr>
                <w:rFonts w:hint="eastAsia" w:ascii="Times New Roman" w:hAnsi="Times New Roman" w:eastAsia="宋体" w:cs="Times New Roman"/>
                <w:sz w:val="21"/>
                <w:szCs w:val="21"/>
              </w:rPr>
              <w:t>油罐</w:t>
            </w:r>
            <w:r>
              <w:rPr>
                <w:rFonts w:ascii="Times New Roman" w:hAnsi="Times New Roman" w:eastAsia="宋体" w:cs="Times New Roman"/>
                <w:sz w:val="21"/>
                <w:szCs w:val="21"/>
              </w:rPr>
              <w:t>清洗</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red"/>
              </w:rPr>
            </w:pPr>
            <w:r>
              <w:rPr>
                <w:rFonts w:hint="eastAsia" w:ascii="Times New Roman" w:hAnsi="Times New Roman" w:eastAsia="宋体" w:cs="Times New Roman"/>
                <w:sz w:val="21"/>
                <w:szCs w:val="21"/>
              </w:rPr>
              <w:t>油渣</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220</w:t>
            </w:r>
            <w:r>
              <w:rPr>
                <w:rFonts w:ascii="Times New Roman" w:hAnsi="Times New Roman" w:eastAsia="宋体" w:cs="Times New Roman"/>
                <w:color w:val="auto"/>
                <w:sz w:val="21"/>
                <w:szCs w:val="21"/>
              </w:rPr>
              <w:t>kg/5</w:t>
            </w:r>
            <w:r>
              <w:rPr>
                <w:rFonts w:hint="eastAsia" w:ascii="Times New Roman" w:hAnsi="Times New Roman" w:eastAsia="宋体" w:cs="Times New Roman"/>
                <w:color w:val="auto"/>
                <w:sz w:val="21"/>
                <w:szCs w:val="21"/>
              </w:rPr>
              <w:t>年</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pacing w:val="-6"/>
                <w:sz w:val="21"/>
                <w:szCs w:val="21"/>
              </w:rPr>
              <w:t>交由有资质的单位定期处理</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b/>
                <w:sz w:val="21"/>
                <w:szCs w:val="21"/>
              </w:rPr>
              <w:t>噪声</w:t>
            </w:r>
          </w:p>
        </w:tc>
        <w:tc>
          <w:tcPr>
            <w:tcW w:w="7453" w:type="dxa"/>
            <w:gridSpan w:val="4"/>
            <w:vAlign w:val="center"/>
          </w:tcPr>
          <w:p>
            <w:pPr>
              <w:adjustRightInd w:val="0"/>
              <w:snapToGrid w:val="0"/>
              <w:spacing w:line="360" w:lineRule="auto"/>
              <w:ind w:firstLine="420" w:firstLineChars="200"/>
              <w:rPr>
                <w:rFonts w:ascii="Times New Roman" w:hAnsi="Times New Roman" w:eastAsia="宋体" w:cs="Times New Roman"/>
                <w:sz w:val="21"/>
                <w:szCs w:val="21"/>
                <w:highlight w:val="cyan"/>
              </w:rPr>
            </w:pPr>
            <w:r>
              <w:rPr>
                <w:rFonts w:ascii="Times New Roman" w:hAnsi="Times New Roman" w:eastAsia="宋体" w:cs="Times New Roman"/>
                <w:sz w:val="21"/>
                <w:szCs w:val="21"/>
              </w:rPr>
              <w:t>项目噪声源主要为</w:t>
            </w:r>
            <w:r>
              <w:rPr>
                <w:rFonts w:hint="eastAsia" w:ascii="Times New Roman" w:hAnsi="Times New Roman" w:eastAsia="宋体" w:cs="Times New Roman"/>
                <w:sz w:val="21"/>
                <w:szCs w:val="21"/>
              </w:rPr>
              <w:t>加油机等设备运行时产生的噪声和车辆来往产生的噪声</w:t>
            </w:r>
            <w:r>
              <w:rPr>
                <w:rFonts w:ascii="Times New Roman" w:hAnsi="Times New Roman" w:eastAsia="宋体" w:cs="Times New Roman"/>
                <w:sz w:val="21"/>
                <w:szCs w:val="21"/>
              </w:rPr>
              <w:t>。设备噪声声压等级约为65dB（A），经</w:t>
            </w:r>
            <w:r>
              <w:rPr>
                <w:rFonts w:hint="eastAsia" w:ascii="Times New Roman" w:hAnsi="Times New Roman" w:eastAsia="宋体" w:cs="Times New Roman"/>
                <w:sz w:val="21"/>
                <w:szCs w:val="21"/>
              </w:rPr>
              <w:t>距离衰减后</w:t>
            </w:r>
            <w:r>
              <w:rPr>
                <w:rFonts w:ascii="Times New Roman" w:hAnsi="Times New Roman" w:eastAsia="宋体" w:cs="Times New Roman"/>
                <w:sz w:val="21"/>
                <w:szCs w:val="21"/>
              </w:rPr>
              <w:t>，车辆噪声通过加强管理，</w:t>
            </w:r>
            <w:r>
              <w:rPr>
                <w:rFonts w:hint="eastAsia" w:ascii="Times New Roman" w:hAnsi="Times New Roman" w:eastAsia="宋体" w:cs="Times New Roman"/>
                <w:sz w:val="21"/>
                <w:szCs w:val="21"/>
              </w:rPr>
              <w:t>可</w:t>
            </w:r>
            <w:r>
              <w:rPr>
                <w:rFonts w:ascii="Times New Roman" w:hAnsi="Times New Roman" w:eastAsia="宋体" w:cs="Times New Roman"/>
                <w:sz w:val="21"/>
                <w:szCs w:val="21"/>
              </w:rPr>
              <w:t>满足《工业企业厂界环境噪声排放标准》（GB12348-</w:t>
            </w:r>
            <w:r>
              <w:rPr>
                <w:rFonts w:ascii="Times New Roman" w:hAnsi="Times New Roman" w:eastAsia="宋体" w:cs="Times New Roman"/>
                <w:color w:val="000000" w:themeColor="text1"/>
                <w:sz w:val="21"/>
                <w:szCs w:val="21"/>
                <w14:textFill>
                  <w14:solidFill>
                    <w14:schemeClr w14:val="tx1"/>
                  </w14:solidFill>
                </w14:textFill>
              </w:rPr>
              <w:t>2008）2类</w:t>
            </w:r>
            <w:r>
              <w:rPr>
                <w:rFonts w:hint="eastAsia" w:ascii="Times New Roman" w:hAnsi="Times New Roman" w:eastAsia="宋体" w:cs="Times New Roman"/>
                <w:color w:val="000000" w:themeColor="text1"/>
                <w:sz w:val="21"/>
                <w:szCs w:val="21"/>
                <w:lang w:eastAsia="zh-CN"/>
                <w14:textFill>
                  <w14:solidFill>
                    <w14:schemeClr w14:val="tx1"/>
                  </w14:solidFill>
                </w14:textFill>
              </w:rPr>
              <w:t>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4类标准</w:t>
            </w:r>
            <w:r>
              <w:rPr>
                <w:rFonts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sz w:val="21"/>
                <w:szCs w:val="21"/>
              </w:rPr>
              <w:t>因此本项目在生产过程中产生的噪声对周围声环境影响较小</w:t>
            </w:r>
            <w:r>
              <w:rPr>
                <w:rFonts w:hint="eastAsia" w:ascii="Times New Roman" w:hAnsi="Times New Roman" w:eastAsia="宋体" w:cs="Times New Roman"/>
                <w:sz w:val="21"/>
                <w:szCs w:val="21"/>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其他</w:t>
            </w:r>
          </w:p>
        </w:tc>
        <w:tc>
          <w:tcPr>
            <w:tcW w:w="7453" w:type="dxa"/>
            <w:gridSpan w:val="4"/>
            <w:vAlign w:val="center"/>
          </w:tcPr>
          <w:p>
            <w:pPr>
              <w:adjustRightInd w:val="0"/>
              <w:snapToGrid w:val="0"/>
              <w:spacing w:line="360" w:lineRule="auto"/>
              <w:ind w:firstLine="420" w:firstLineChars="200"/>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环境风险：本项目为</w:t>
            </w:r>
            <w:r>
              <w:rPr>
                <w:rFonts w:hint="eastAsia" w:cs="Times New Roman"/>
                <w:sz w:val="21"/>
                <w:szCs w:val="21"/>
                <w:lang w:eastAsia="zh-CN"/>
              </w:rPr>
              <w:t>一级加油站</w:t>
            </w:r>
            <w:r>
              <w:rPr>
                <w:rFonts w:hint="eastAsia" w:ascii="Times New Roman" w:hAnsi="Times New Roman" w:eastAsia="宋体" w:cs="Times New Roman"/>
                <w:sz w:val="21"/>
                <w:szCs w:val="21"/>
              </w:rPr>
              <w:t>，油品属易燃易爆物品，存在一定的火灾、爆炸等风险</w:t>
            </w:r>
            <w:r>
              <w:rPr>
                <w:rFonts w:hint="eastAsia" w:ascii="Times New Roman" w:hAnsi="Times New Roman" w:eastAsia="宋体" w:cs="Times New Roman"/>
                <w:sz w:val="21"/>
                <w:szCs w:val="21"/>
                <w:lang w:eastAsia="zh-CN"/>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2" w:hRule="atLeast"/>
          <w:jc w:val="center"/>
        </w:trPr>
        <w:tc>
          <w:tcPr>
            <w:tcW w:w="8428" w:type="dxa"/>
            <w:gridSpan w:val="5"/>
            <w:vAlign w:val="center"/>
          </w:tcPr>
          <w:p>
            <w:pPr>
              <w:adjustRightInd w:val="0"/>
              <w:snapToGrid w:val="0"/>
              <w:spacing w:line="240" w:lineRule="auto"/>
              <w:ind w:firstLine="0" w:firstLineChars="0"/>
              <w:rPr>
                <w:rFonts w:ascii="Times New Roman" w:hAnsi="Times New Roman" w:eastAsia="宋体" w:cs="Times New Roman"/>
                <w:b/>
                <w:sz w:val="21"/>
                <w:szCs w:val="21"/>
              </w:rPr>
            </w:pPr>
            <w:r>
              <w:rPr>
                <w:rFonts w:ascii="Times New Roman" w:hAnsi="Times New Roman" w:eastAsia="宋体" w:cs="Times New Roman"/>
                <w:b/>
                <w:sz w:val="21"/>
                <w:szCs w:val="21"/>
              </w:rPr>
              <w:t>主要生态影响：</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项目用地范围受人为活动影响较大，项目建设对区域生态环境影响主要为：</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1、建设项目在施工阶段，由于对地基的开挖和填埋，造成局部土层疏松、裸露、若在雨季会引发轻微水土流失。</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2、施工期建筑材料运输及堆置，会暂时性侵占工地周围的空地，对景观造成影响。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eastAsia" w:ascii="宋体" w:hAnsi="宋体" w:eastAsia="宋体" w:cs="宋体"/>
                <w:color w:val="000000"/>
                <w:spacing w:val="0"/>
                <w:w w:val="100"/>
                <w:position w:val="0"/>
                <w:sz w:val="24"/>
                <w:szCs w:val="24"/>
                <w:lang w:val="zh-CN" w:eastAsia="zh-CN" w:bidi="zh-CN"/>
              </w:rPr>
            </w:pPr>
            <w:r>
              <w:rPr>
                <w:rFonts w:hint="eastAsia" w:ascii="宋体" w:hAnsi="宋体" w:eastAsia="宋体" w:cs="宋体"/>
                <w:color w:val="000000"/>
                <w:spacing w:val="0"/>
                <w:w w:val="100"/>
                <w:position w:val="0"/>
                <w:sz w:val="24"/>
                <w:szCs w:val="24"/>
                <w:lang w:val="zh-CN" w:eastAsia="zh-CN" w:bidi="zh-CN"/>
              </w:rPr>
              <w:t>3、项目建成后，人工绿化带的建设，对周围生态体系会有一定的改变。</w:t>
            </w: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pStyle w:val="31"/>
              <w:rPr>
                <w:rFonts w:hint="eastAsia" w:ascii="宋体" w:hAnsi="宋体" w:eastAsia="宋体" w:cs="宋体"/>
                <w:color w:val="000000"/>
                <w:spacing w:val="0"/>
                <w:w w:val="100"/>
                <w:position w:val="0"/>
                <w:sz w:val="24"/>
                <w:szCs w:val="24"/>
                <w:lang w:val="zh-CN" w:eastAsia="zh-CN" w:bidi="zh-CN"/>
              </w:rPr>
            </w:pPr>
          </w:p>
          <w:p>
            <w:pPr>
              <w:adjustRightInd w:val="0"/>
              <w:snapToGrid w:val="0"/>
              <w:spacing w:line="240" w:lineRule="auto"/>
              <w:ind w:firstLine="0" w:firstLineChars="0"/>
              <w:rPr>
                <w:rFonts w:ascii="Times New Roman" w:hAnsi="Times New Roman" w:eastAsia="宋体" w:cs="Times New Roman"/>
                <w:sz w:val="21"/>
                <w:szCs w:val="21"/>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环境影响分析</w:t>
      </w:r>
      <w:bookmarkEnd w:id="17"/>
      <w:bookmarkEnd w:id="18"/>
      <w:bookmarkEnd w:id="19"/>
    </w:p>
    <w:tbl>
      <w:tblPr>
        <w:tblStyle w:val="22"/>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436" w:type="dxa"/>
          </w:tcPr>
          <w:p>
            <w:pPr>
              <w:widowControl/>
              <w:adjustRightInd w:val="0"/>
              <w:snapToGrid w:val="0"/>
              <w:spacing w:line="360" w:lineRule="auto"/>
              <w:ind w:firstLine="0" w:firstLineChars="0"/>
            </w:pPr>
            <w:bookmarkStart w:id="20" w:name="_Toc220262280"/>
            <w:bookmarkStart w:id="21" w:name="_Toc247526152"/>
            <w:bookmarkStart w:id="22" w:name="_Toc321930702"/>
            <w:bookmarkStart w:id="23" w:name="_Toc273215021"/>
            <w:r>
              <w:rPr>
                <w:rFonts w:hint="eastAsia"/>
                <w:b/>
                <w:bCs/>
              </w:rPr>
              <w:t>1、</w:t>
            </w:r>
            <w:bookmarkEnd w:id="20"/>
            <w:bookmarkEnd w:id="21"/>
            <w:bookmarkEnd w:id="22"/>
            <w:bookmarkEnd w:id="23"/>
            <w:r>
              <w:rPr>
                <w:rFonts w:hint="eastAsia"/>
                <w:b/>
                <w:bCs/>
              </w:rPr>
              <w:t>施工期环境影响分析</w:t>
            </w:r>
          </w:p>
          <w:p>
            <w:pPr>
              <w:widowControl/>
              <w:adjustRightInd w:val="0"/>
              <w:snapToGrid w:val="0"/>
              <w:spacing w:line="360" w:lineRule="auto"/>
              <w:ind w:firstLine="480" w:firstLineChars="200"/>
            </w:pPr>
            <w:r>
              <w:t>本项目为在原有场地改建，无需新增用地。目前，施工期的主要污染因素有施工作业废水、施工扬尘、施工机械噪声、施工固废等。</w:t>
            </w:r>
          </w:p>
          <w:p>
            <w:pPr>
              <w:widowControl w:val="0"/>
              <w:numPr>
                <w:ilvl w:val="1"/>
                <w:numId w:val="3"/>
              </w:numPr>
              <w:spacing w:line="360" w:lineRule="auto"/>
              <w:ind w:left="420" w:hanging="420" w:firstLineChars="0"/>
              <w:jc w:val="both"/>
              <w:rPr>
                <w:lang w:val="en-US" w:eastAsia="zh-CN"/>
              </w:rPr>
            </w:pPr>
            <w:r>
              <w:rPr>
                <w:rFonts w:hint="eastAsia"/>
                <w:lang w:val="en-US" w:eastAsia="zh-CN"/>
              </w:rPr>
              <w:t>大气环境影响</w:t>
            </w:r>
          </w:p>
          <w:p>
            <w:pPr>
              <w:widowControl w:val="0"/>
              <w:spacing w:line="360" w:lineRule="auto"/>
              <w:ind w:left="420" w:firstLine="0" w:firstLineChars="0"/>
              <w:jc w:val="both"/>
              <w:rPr>
                <w:lang w:val="en-US" w:eastAsia="zh-CN"/>
              </w:rPr>
            </w:pPr>
            <w:r>
              <w:rPr>
                <w:lang w:val="en-US" w:eastAsia="zh-CN"/>
              </w:rPr>
              <w:t>本项目在施工期间大气污染源为施工扬尘和</w:t>
            </w:r>
            <w:r>
              <w:rPr>
                <w:rFonts w:hint="eastAsia"/>
                <w:lang w:val="en-US" w:eastAsia="zh-CN"/>
              </w:rPr>
              <w:t>施工机械、运输车辆</w:t>
            </w:r>
            <w:r>
              <w:rPr>
                <w:lang w:val="en-US" w:eastAsia="zh-CN"/>
              </w:rPr>
              <w:t>尾气</w:t>
            </w:r>
            <w:r>
              <w:rPr>
                <w:rFonts w:hint="eastAsia"/>
                <w:lang w:val="en-US" w:eastAsia="zh-CN"/>
              </w:rPr>
              <w:t>。</w:t>
            </w:r>
          </w:p>
          <w:p>
            <w:pPr>
              <w:adjustRightInd w:val="0"/>
              <w:spacing w:line="360" w:lineRule="auto"/>
              <w:ind w:firstLine="480" w:firstLineChars="200"/>
            </w:pPr>
            <w:r>
              <w:rPr>
                <w:rFonts w:hint="eastAsia"/>
              </w:rPr>
              <w:t>（1）</w:t>
            </w:r>
            <w:r>
              <w:t>施工扬尘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施工扬尘主要产生于土地平整、建材运输、原料堆放装卸等过程。</w:t>
            </w:r>
            <w:r>
              <w:rPr>
                <w:rFonts w:hint="eastAsia"/>
              </w:rPr>
              <w:t>由于</w:t>
            </w:r>
            <w:r>
              <w:t>本项目工程量较小，物料堆放量</w:t>
            </w:r>
            <w:r>
              <w:rPr>
                <w:rFonts w:hint="eastAsia"/>
              </w:rPr>
              <w:t>及</w:t>
            </w:r>
            <w:r>
              <w:t>运输量不大，</w:t>
            </w:r>
            <w:r>
              <w:rPr>
                <w:rFonts w:hint="eastAsia"/>
              </w:rPr>
              <w:t>为</w:t>
            </w:r>
            <w:r>
              <w:t>保护项目周边</w:t>
            </w:r>
            <w:r>
              <w:rPr>
                <w:rFonts w:hint="eastAsia"/>
              </w:rPr>
              <w:t>的</w:t>
            </w:r>
            <w:r>
              <w:t>大气环境质量，进一步改善环境空气质量，加强</w:t>
            </w:r>
            <w:r>
              <w:rPr>
                <w:rFonts w:hint="eastAsia"/>
              </w:rPr>
              <w:t>施工扬尘</w:t>
            </w:r>
            <w:r>
              <w:t>污染控制，评价建议建设单位在施工期间采取以下措施防尘：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a、围挡的设置。施工期间，建筑施工工地设置2.5m以上围挡；围挡下方设置不低于20厘米高的防溢座以防止粉尘流失；任意两块围挡以及围挡与防溢座的拼接处都不能有大于0.5cm的缝隙，围挡不得有明显破损的漏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b、裸露地(含土方)覆盖。每一块独立裸露地面80%以上的面积都应采取覆盖措施；覆盖措施的完好率必须在90%以上。覆盖措施包括：钢板、防尘网（布）、绿化、化学抑尘剂，或达到同等效率的覆盖措施。项目主要覆盖措施为防尘网（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c、易扬尘物料覆盖。所有砂石、灰土、灰浆等易扬尘物料都必须以不透水的隔尘布完全覆盖或放置在顶部和四周均有遮蔽的范围内；防尘布或遮蔽装置的完好率必须大于95%；小批量且在8h之内投入使用的物料除外</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d、持续洒水降尘措施。施工现场定期喷洒，保证地面湿润，不起尘。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e、运输车辆冲洗装置。运输车辆驶出工地前，应对车轮、车身、车槽帮等部位进行清理或清洗以保证车辆清洁上路；洗车喷嘴静水压不低于0.5Mpa；洗车污水经处理后重复使用，回用率不得低于90%，回用水水质良好，悬浮物浓度不应大于150mg/L；施工场所车辆入口和出口30m以内部分的路面上不应有明显的泥印，以及砂石、灰土等易扬尘物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f</w:t>
            </w:r>
            <w:r>
              <w:rPr>
                <w:rFonts w:hint="eastAsia"/>
              </w:rPr>
              <w:t>、道路</w:t>
            </w:r>
            <w:r>
              <w:t>硬化与管理。</w:t>
            </w:r>
            <w:r>
              <w:rPr>
                <w:rFonts w:hint="eastAsia"/>
              </w:rPr>
              <w:t>施工场所内80%以上面积的车行道路必须硬化。任何时候车行道路上都不能有明显的尘土。道路清扫时都必须采取洒水措施。</w:t>
            </w:r>
          </w:p>
          <w:p>
            <w:pPr>
              <w:bidi w:val="0"/>
              <w:rPr>
                <w:lang w:val="en-US"/>
              </w:rPr>
            </w:pPr>
            <w:r>
              <w:rPr>
                <w:rFonts w:hint="eastAsia"/>
                <w:lang w:val="en-US"/>
              </w:rPr>
              <w:t>为降低扬尘对周围环境产生的危害，保护项目区及周边大气环境，建设单位施工场地开工前必须做到</w:t>
            </w:r>
            <w:r>
              <w:rPr>
                <w:lang w:val="en-US"/>
              </w:rPr>
              <w:t>“</w:t>
            </w:r>
            <w:r>
              <w:rPr>
                <w:rFonts w:hint="eastAsia"/>
                <w:lang w:val="en-US"/>
              </w:rPr>
              <w:t>六个到位</w:t>
            </w:r>
            <w:r>
              <w:rPr>
                <w:lang w:val="en-US"/>
              </w:rPr>
              <w:t>”</w:t>
            </w:r>
            <w:r>
              <w:rPr>
                <w:rFonts w:hint="eastAsia"/>
                <w:lang w:val="en-US"/>
              </w:rPr>
              <w:t>，即：审批到位、报备到位、治理方案到位、配套措施到位、监控到位、人员到位（施工单位管理人员、责任部门监管人员）；施工过程中必须做到</w:t>
            </w:r>
            <w:r>
              <w:rPr>
                <w:lang w:val="en-US"/>
              </w:rPr>
              <w:t>6</w:t>
            </w:r>
            <w:r>
              <w:rPr>
                <w:rFonts w:hint="eastAsia"/>
                <w:lang w:val="en-US"/>
              </w:rPr>
              <w:t>个</w:t>
            </w:r>
            <w:r>
              <w:rPr>
                <w:lang w:val="en-US"/>
              </w:rPr>
              <w:t>100%</w:t>
            </w:r>
            <w:r>
              <w:rPr>
                <w:rFonts w:hint="eastAsia"/>
                <w:lang w:val="en-US"/>
              </w:rPr>
              <w:t>，即：</w:t>
            </w:r>
            <w:r>
              <w:rPr>
                <w:lang w:val="en-US"/>
              </w:rPr>
              <w:t xml:space="preserve"> a</w:t>
            </w:r>
            <w:r>
              <w:rPr>
                <w:rFonts w:hint="eastAsia"/>
                <w:lang w:val="en-US"/>
              </w:rPr>
              <w:t>、工地周边</w:t>
            </w:r>
            <w:r>
              <w:rPr>
                <w:lang w:val="en-US"/>
              </w:rPr>
              <w:t>100%</w:t>
            </w:r>
            <w:r>
              <w:rPr>
                <w:rFonts w:hint="eastAsia"/>
                <w:lang w:val="en-US"/>
              </w:rPr>
              <w:t>围挡：设置</w:t>
            </w:r>
            <w:r>
              <w:rPr>
                <w:lang w:val="en-US"/>
              </w:rPr>
              <w:t>2m</w:t>
            </w:r>
            <w:r>
              <w:rPr>
                <w:rFonts w:hint="eastAsia"/>
                <w:lang w:val="en-US"/>
              </w:rPr>
              <w:t>以上的围墙，严禁围墙</w:t>
            </w:r>
            <w:r>
              <w:rPr>
                <w:lang w:val="en-US"/>
              </w:rPr>
              <w:t xml:space="preserve"> (</w:t>
            </w:r>
            <w:r>
              <w:rPr>
                <w:rFonts w:hint="eastAsia"/>
                <w:lang w:val="en-US"/>
              </w:rPr>
              <w:t>挡</w:t>
            </w:r>
            <w:r>
              <w:rPr>
                <w:lang w:val="en-US"/>
              </w:rPr>
              <w:t>)</w:t>
            </w:r>
            <w:r>
              <w:rPr>
                <w:rFonts w:hint="eastAsia"/>
                <w:lang w:val="en-US"/>
              </w:rPr>
              <w:t>不严或敞开式施工；施工现场围墙</w:t>
            </w:r>
            <w:r>
              <w:rPr>
                <w:lang w:val="en-US"/>
              </w:rPr>
              <w:t xml:space="preserve"> (</w:t>
            </w:r>
            <w:r>
              <w:rPr>
                <w:rFonts w:hint="eastAsia"/>
                <w:lang w:val="en-US"/>
              </w:rPr>
              <w:t>挡</w:t>
            </w:r>
            <w:r>
              <w:rPr>
                <w:lang w:val="en-US"/>
              </w:rPr>
              <w:t>)</w:t>
            </w:r>
            <w:r>
              <w:rPr>
                <w:rFonts w:hint="eastAsia"/>
                <w:lang w:val="en-US"/>
              </w:rPr>
              <w:t>、场区起尘部位和道路两侧应设置自动喷淋装置。</w:t>
            </w:r>
            <w:r>
              <w:rPr>
                <w:lang w:val="en-US"/>
              </w:rPr>
              <w:t xml:space="preserve"> b</w:t>
            </w:r>
            <w:r>
              <w:rPr>
                <w:rFonts w:hint="eastAsia"/>
                <w:lang w:val="en-US"/>
              </w:rPr>
              <w:t>、物料堆放</w:t>
            </w:r>
            <w:r>
              <w:rPr>
                <w:lang w:val="en-US"/>
              </w:rPr>
              <w:t>100%</w:t>
            </w:r>
            <w:r>
              <w:rPr>
                <w:rFonts w:hint="eastAsia"/>
                <w:lang w:val="en-US"/>
              </w:rPr>
              <w:t>覆盖：采用防尘网</w:t>
            </w:r>
            <w:r>
              <w:rPr>
                <w:lang w:val="en-US"/>
              </w:rPr>
              <w:t>100%</w:t>
            </w:r>
            <w:r>
              <w:rPr>
                <w:rFonts w:hint="eastAsia"/>
                <w:lang w:val="en-US"/>
              </w:rPr>
              <w:t>覆盖，并定期洒水保持湿润。</w:t>
            </w:r>
            <w:r>
              <w:rPr>
                <w:lang w:val="en-US"/>
              </w:rPr>
              <w:t xml:space="preserve"> c</w:t>
            </w:r>
            <w:r>
              <w:rPr>
                <w:rFonts w:hint="eastAsia"/>
                <w:lang w:val="en-US"/>
              </w:rPr>
              <w:t>、施工现场道路</w:t>
            </w:r>
            <w:r>
              <w:rPr>
                <w:lang w:val="en-US"/>
              </w:rPr>
              <w:t>100%</w:t>
            </w:r>
            <w:r>
              <w:rPr>
                <w:rFonts w:hint="eastAsia"/>
                <w:lang w:val="en-US"/>
              </w:rPr>
              <w:t>硬化：施工现场出入口及场内主要道路必须硬化</w:t>
            </w:r>
            <w:r>
              <w:rPr>
                <w:lang w:val="en-US"/>
              </w:rPr>
              <w:t>,</w:t>
            </w:r>
            <w:r>
              <w:rPr>
                <w:rFonts w:hint="eastAsia"/>
                <w:lang w:val="en-US"/>
              </w:rPr>
              <w:t>其余裸露地面必须绿化或固化、覆盖。</w:t>
            </w:r>
            <w:r>
              <w:rPr>
                <w:lang w:val="en-US"/>
              </w:rPr>
              <w:t xml:space="preserve"> d</w:t>
            </w:r>
            <w:r>
              <w:rPr>
                <w:rFonts w:hint="eastAsia"/>
                <w:lang w:val="en-US"/>
              </w:rPr>
              <w:t>、出入车辆</w:t>
            </w:r>
            <w:r>
              <w:rPr>
                <w:lang w:val="en-US"/>
              </w:rPr>
              <w:t>100%</w:t>
            </w:r>
            <w:r>
              <w:rPr>
                <w:rFonts w:hint="eastAsia"/>
                <w:lang w:val="en-US"/>
              </w:rPr>
              <w:t>冲洗：工地出入口设置施工车辆洗车平台，对驶离工地车辆采取清洗轮胎及车身除尘措施，不得带泥上路，并要求收集和处理好洗车、施工以及降水过程中产生的废水和泥浆。</w:t>
            </w:r>
            <w:r>
              <w:rPr>
                <w:lang w:val="en-US"/>
              </w:rPr>
              <w:t xml:space="preserve"> e</w:t>
            </w:r>
            <w:r>
              <w:rPr>
                <w:rFonts w:hint="eastAsia"/>
                <w:lang w:val="en-US"/>
              </w:rPr>
              <w:t>、拆迁工地</w:t>
            </w:r>
            <w:r>
              <w:rPr>
                <w:lang w:val="en-US"/>
              </w:rPr>
              <w:t>100%</w:t>
            </w:r>
            <w:r>
              <w:rPr>
                <w:rFonts w:hint="eastAsia"/>
                <w:lang w:val="en-US"/>
              </w:rPr>
              <w:t>湿法作业：拆除作业时，应提前</w:t>
            </w:r>
            <w:r>
              <w:rPr>
                <w:lang w:val="en-US"/>
              </w:rPr>
              <w:t>72h</w:t>
            </w:r>
            <w:r>
              <w:rPr>
                <w:rFonts w:hint="eastAsia"/>
                <w:lang w:val="en-US"/>
              </w:rPr>
              <w:t>不间断持续加压洒水，对建筑物进行湿化处理；需机械、爆破作业的拆除工程，应采取同步持续高压喷淋或洒水降尘措施。</w:t>
            </w:r>
            <w:r>
              <w:rPr>
                <w:lang w:val="en-US"/>
              </w:rPr>
              <w:t xml:space="preserve"> f</w:t>
            </w:r>
            <w:r>
              <w:rPr>
                <w:rFonts w:hint="eastAsia"/>
                <w:lang w:val="en-US"/>
              </w:rPr>
              <w:t>、渣土车辆</w:t>
            </w:r>
            <w:r>
              <w:rPr>
                <w:lang w:val="en-US"/>
              </w:rPr>
              <w:t>100%</w:t>
            </w:r>
            <w:r>
              <w:rPr>
                <w:rFonts w:hint="eastAsia"/>
                <w:lang w:val="en-US"/>
              </w:rPr>
              <w:t>密闭运输：采取密闭运输，车身应保持整洁，防止建筑材料、垃圾和工程渣土飞扬、洒落、流溢，严禁抛扔或随意倾倒，对不符合要求的运输车辆和驾驶人员，严禁进场进行装运作业。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采取以上</w:t>
            </w:r>
            <w:r>
              <w:t>控制措施</w:t>
            </w:r>
            <w:r>
              <w:rPr>
                <w:rFonts w:hint="eastAsia"/>
              </w:rPr>
              <w:t>后，</w:t>
            </w:r>
            <w:r>
              <w:t>本项目施工期扬尘能得到有效控制，对周围</w:t>
            </w:r>
            <w:r>
              <w:rPr>
                <w:rFonts w:hint="eastAsia"/>
              </w:rPr>
              <w:t>敏感点</w:t>
            </w:r>
            <w:r>
              <w:t>影响较小</w:t>
            </w:r>
            <w:r>
              <w:rPr>
                <w:rFonts w:hint="eastAsia"/>
              </w:rPr>
              <w:t>。</w:t>
            </w:r>
          </w:p>
          <w:p>
            <w:pPr>
              <w:adjustRightInd w:val="0"/>
              <w:spacing w:line="360" w:lineRule="auto"/>
              <w:ind w:firstLine="480" w:firstLineChars="200"/>
            </w:pPr>
            <w:r>
              <w:t>（2）</w:t>
            </w:r>
            <w:r>
              <w:rPr>
                <w:rFonts w:hint="eastAsia"/>
              </w:rPr>
              <w:t>施工机械、运输车辆</w:t>
            </w:r>
            <w:r>
              <w:t>尾气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施工期间燃油机械一般采用柴油作为动力。燃柴油的大型施工运输车辆如自卸车、载重汽车等尾气排放量及污染物含量均较燃汽油车辆高，作业时会产生一些废气，其主要污染物为NOX、CO和THC。施工机械燃料以轻质柴油为主，燃油机械在使用轻质柴油时，燃烧废气中NOX、CO和THC排放量较少，由于本项目</w:t>
            </w:r>
            <w:r>
              <w:t>施工场地较小</w:t>
            </w:r>
            <w:r>
              <w:rPr>
                <w:rFonts w:hint="eastAsia"/>
              </w:rPr>
              <w:t>、施工周期短，施工期间施工机械布设较分散，产生的污染物经自然扩散浓度很小，对周围大气环境影响较小。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为了进一步改善环境空气质量，有效控制施工机械、车辆尾气污染，评价建议运输车辆禁止超载，不得使用劣质燃料；同时建议缩短车辆怠速、减速和加速的时间，增加正常运行时间，以减少NOx及CO等机动车尾气的排放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评价认为，经采取相应大气污染防治措施后，可以将施工期大气环境影响降到较小程度，并且施工期的环境影响是暂时的，随着施工期的结束，该影响随之消失，不会对大气环境造成长远影响。</w:t>
            </w:r>
          </w:p>
          <w:p>
            <w:pPr>
              <w:adjustRightInd w:val="0"/>
              <w:spacing w:line="360" w:lineRule="auto"/>
              <w:ind w:firstLine="0" w:firstLineChars="0"/>
            </w:pPr>
            <w:r>
              <w:rPr>
                <w:rFonts w:hint="eastAsia"/>
                <w:b/>
                <w:bCs/>
              </w:rPr>
              <w:t>1.2 水环境影响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本项目施工期废水主要</w:t>
            </w:r>
            <w:r>
              <w:rPr>
                <w:rFonts w:hint="eastAsia"/>
              </w:rPr>
              <w:t>包括施工废水和</w:t>
            </w:r>
            <w:bookmarkStart w:id="24" w:name="OLE_LINK1"/>
            <w:r>
              <w:rPr>
                <w:rFonts w:hint="eastAsia"/>
              </w:rPr>
              <w:t>施工人员生活污水</w:t>
            </w:r>
            <w:bookmarkEnd w:id="24"/>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施工废水污染源主要为机械设备运转的冷却水</w:t>
            </w:r>
            <w:r>
              <w:rPr>
                <w:rFonts w:hint="eastAsia"/>
              </w:rPr>
              <w:t>、</w:t>
            </w:r>
            <w:r>
              <w:t>洗涤水</w:t>
            </w:r>
            <w:r>
              <w:rPr>
                <w:rFonts w:hint="eastAsia"/>
              </w:rPr>
              <w:t>和</w:t>
            </w:r>
            <w:r>
              <w:t>车辆冲洗等废水。</w:t>
            </w:r>
            <w:r>
              <w:rPr>
                <w:rFonts w:hint="eastAsia"/>
              </w:rPr>
              <w:t>类比调查，施工机械及运输车辆冲洗水用量为</w:t>
            </w:r>
            <w:r>
              <w:t>1m</w:t>
            </w:r>
            <w:r>
              <w:rPr>
                <w:vertAlign w:val="superscript"/>
              </w:rPr>
              <w:t>3</w:t>
            </w:r>
            <w:r>
              <w:t>/d</w:t>
            </w:r>
            <w:r>
              <w:rPr>
                <w:rFonts w:hint="eastAsia"/>
              </w:rPr>
              <w:t>，施工期</w:t>
            </w:r>
            <w:r>
              <w:t>1</w:t>
            </w:r>
            <w:r>
              <w:rPr>
                <w:rFonts w:hint="eastAsia"/>
              </w:rPr>
              <w:t>个月，则施工期产生施工废水</w:t>
            </w:r>
            <w:r>
              <w:t>30m</w:t>
            </w:r>
            <w:r>
              <w:rPr>
                <w:vertAlign w:val="superscript"/>
              </w:rPr>
              <w:t>3</w:t>
            </w:r>
            <w:r>
              <w:rPr>
                <w:rFonts w:hint="eastAsia"/>
              </w:rPr>
              <w:t>。</w:t>
            </w:r>
            <w:r>
              <w:t>该废水悬浮物浓度较大，</w:t>
            </w:r>
            <w:r>
              <w:rPr>
                <w:rFonts w:hint="eastAsia"/>
              </w:rPr>
              <w:t>SS的浓度约</w:t>
            </w:r>
            <w:r>
              <w:t>为500~1</w:t>
            </w:r>
            <w:r>
              <w:rPr>
                <w:rFonts w:hint="eastAsia"/>
              </w:rPr>
              <w:t>5</w:t>
            </w:r>
            <w:r>
              <w:t>00mg/L</w:t>
            </w:r>
            <w:r>
              <w:rPr>
                <w:rFonts w:hint="eastAsia"/>
              </w:rPr>
              <w:t>，</w:t>
            </w:r>
            <w:r>
              <w:t>但不含其它可溶性的有害物质</w:t>
            </w:r>
            <w:r>
              <w:rPr>
                <w:rFonts w:hint="eastAsia"/>
              </w:rPr>
              <w:t>。评价建议施工废水</w:t>
            </w:r>
            <w:r>
              <w:t>采用</w:t>
            </w:r>
            <w:r>
              <w:rPr>
                <w:rFonts w:hint="eastAsia"/>
              </w:rPr>
              <w:t>临时</w:t>
            </w:r>
            <w:r>
              <w:t>沉淀池</w:t>
            </w:r>
            <w:r>
              <w:rPr>
                <w:rFonts w:hint="eastAsia"/>
              </w:rPr>
              <w:t>（池容</w:t>
            </w:r>
            <w:r>
              <w:t>2m</w:t>
            </w:r>
            <w:r>
              <w:rPr>
                <w:vertAlign w:val="superscript"/>
              </w:rPr>
              <w:t>3</w:t>
            </w:r>
            <w:r>
              <w:rPr>
                <w:rFonts w:hint="eastAsia"/>
              </w:rPr>
              <w:t>）</w:t>
            </w:r>
            <w:r>
              <w:t>沉淀后</w:t>
            </w:r>
            <w:r>
              <w:rPr>
                <w:rFonts w:hint="eastAsia"/>
              </w:rPr>
              <w:t>循环利用或</w:t>
            </w:r>
            <w:r>
              <w:t>用于施工场地和道路洒</w:t>
            </w:r>
            <w:r>
              <w:rPr>
                <w:rFonts w:hint="eastAsia"/>
              </w:rPr>
              <w:t>水</w:t>
            </w:r>
            <w:r>
              <w:t>抑尘，</w:t>
            </w:r>
            <w:r>
              <w:rPr>
                <w:rFonts w:hint="eastAsia"/>
              </w:rPr>
              <w:t>施工废水</w:t>
            </w:r>
            <w:r>
              <w:t>不外排</w:t>
            </w:r>
            <w:r>
              <w:rPr>
                <w:rFonts w:hint="eastAsia"/>
              </w:rPr>
              <w:t>，施工结束后临时沉淀池拆除。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本项目施工人员均为附近村民，不在工地住宿，</w:t>
            </w:r>
            <w:r>
              <w:t>施工高峰期间人员约</w:t>
            </w:r>
            <w:r>
              <w:rPr>
                <w:rFonts w:hint="eastAsia"/>
                <w:lang w:eastAsia="zh-CN"/>
              </w:rPr>
              <w:t>6人</w:t>
            </w:r>
            <w:r>
              <w:rPr>
                <w:rFonts w:hint="eastAsia"/>
              </w:rPr>
              <w:t>，施工人员生活用水按</w:t>
            </w:r>
            <w:r>
              <w:t>20</w:t>
            </w:r>
            <w:r>
              <w:rPr>
                <w:rFonts w:hint="eastAsia"/>
              </w:rPr>
              <w:t>L/人</w:t>
            </w:r>
            <w:r>
              <w:t>·d</w:t>
            </w:r>
            <w:r>
              <w:rPr>
                <w:rFonts w:hint="eastAsia"/>
              </w:rPr>
              <w:t>计，则施工期生活用水量为</w:t>
            </w:r>
            <w:r>
              <w:t>0.2m</w:t>
            </w:r>
            <w:r>
              <w:rPr>
                <w:vertAlign w:val="superscript"/>
              </w:rPr>
              <w:t>3</w:t>
            </w:r>
            <w:r>
              <w:t>/d</w:t>
            </w:r>
            <w:r>
              <w:rPr>
                <w:rFonts w:hint="eastAsia"/>
              </w:rPr>
              <w:t>，</w:t>
            </w:r>
            <w:r>
              <w:t>根据《给排水设计手册》，生活废水产生量按日用水量的80%计，</w:t>
            </w:r>
            <w:r>
              <w:rPr>
                <w:rFonts w:hint="eastAsia"/>
              </w:rPr>
              <w:t>则每天产生的生活污水量为</w:t>
            </w:r>
            <w:r>
              <w:t>0.16m3/d</w:t>
            </w:r>
            <w:r>
              <w:rPr>
                <w:rFonts w:hint="eastAsia"/>
              </w:rPr>
              <w:t>，施工期间施工人员产生生活污水</w:t>
            </w:r>
            <w:r>
              <w:t>4.8m</w:t>
            </w:r>
            <w:r>
              <w:rPr>
                <w:vertAlign w:val="superscript"/>
              </w:rPr>
              <w:t>3</w:t>
            </w:r>
            <w:r>
              <w:rPr>
                <w:rFonts w:hint="eastAsia"/>
              </w:rPr>
              <w:t>，</w:t>
            </w:r>
            <w:r>
              <w:t>这部分污水经收集后，可直接用于场地洒水、降尘，不外排。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采取上述措施后，项目</w:t>
            </w:r>
            <w:r>
              <w:t>施工期</w:t>
            </w:r>
            <w:r>
              <w:rPr>
                <w:rFonts w:hint="eastAsia"/>
              </w:rPr>
              <w:t>产生的废水不外排</w:t>
            </w:r>
            <w:r>
              <w:t>，</w:t>
            </w:r>
            <w:r>
              <w:rPr>
                <w:rFonts w:hint="eastAsia"/>
              </w:rPr>
              <w:t>对附近地表水</w:t>
            </w:r>
            <w:r>
              <w:t>影响较小。</w:t>
            </w:r>
          </w:p>
          <w:p>
            <w:pPr>
              <w:adjustRightInd w:val="0"/>
              <w:spacing w:line="360" w:lineRule="auto"/>
              <w:ind w:firstLine="0" w:firstLineChars="0"/>
            </w:pPr>
            <w:r>
              <w:rPr>
                <w:rFonts w:hint="eastAsia"/>
                <w:b/>
                <w:bCs/>
              </w:rPr>
              <w:t>1.3 声环境影响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本项目施工期主要噪声源为挖掘机、推土机、装载车、平地机等施工机具的运转及运输车辆都将产生噪声，设备噪声值一般为85~100dB（A）左右。施工期高噪声设备持续时间较短，施工期的噪声对周围环境的影响只是暂时的，会随施工期的结束而结束。为确保施工场界噪声满足《建筑施工场界环境噪声排放标准》（GB12523-2011）标准要求评价建议在施工期采取以下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①</w:t>
            </w:r>
            <w:r>
              <w:t>合理布置施工现场，应尽量避免在施工现场的同一地点安排大量的高噪声设备，将有固定工作地点的施工机械尽量设置在距</w:t>
            </w:r>
            <w:r>
              <w:rPr>
                <w:rFonts w:hint="eastAsia"/>
              </w:rPr>
              <w:t>东侧民房</w:t>
            </w:r>
            <w:r>
              <w:t>较远的位置。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②</w:t>
            </w:r>
            <w:r>
              <w:t>降低设备声级，采用较先进、噪声较低的施工设备；固定机械设备与挖土、运土设备如挖土机、推土机等，可通过排气管加装消音器和隔离发动机振动部件的方法降低噪声；对动力机械设备定期进行维修和养护，避免因松动部件振动或消声器损坏而加大设备工作时的声级；废弃不用的设备应立即关闭，运输车辆进入现场应减速，并较少鸣笛。</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③</w:t>
            </w:r>
            <w:r>
              <w:t>对于位置相对固定的机械设备，能设在隔声棚内操作的尽量进入隔声棚，隔声棚的高度应超过设备1.5m以上，顶部采用双层石棉瓦加盖；对不能入棚的机械设备，可适当建立单面声屏障，声屏障可采用砖石料、混凝土、木材、金属、轻型多孔吸声复合材料建造，当采用木材和多口吸声材料时，应作防火、防腐处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④</w:t>
            </w:r>
            <w:r>
              <w:t>减少人为噪声，模板、支架拆卸过程中应遵守作业规定，减少碰撞噪音；尽量减少用哨子、喇叭等指挥作业，减少人为噪声。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t>采取以上措施后，在施工期的机械噪声经过距离衰减后，项目场地边界可以达到《建筑施工场界环境噪声排放标准》（GB12523-2011）标准要求，对周围环境影响</w:t>
            </w:r>
            <w:r>
              <w:rPr>
                <w:rFonts w:hint="eastAsia"/>
              </w:rPr>
              <w:t>很小</w:t>
            </w:r>
            <w:r>
              <w:t>。</w:t>
            </w:r>
          </w:p>
          <w:p>
            <w:pPr>
              <w:adjustRightInd w:val="0"/>
              <w:spacing w:line="360" w:lineRule="auto"/>
              <w:ind w:firstLine="0" w:firstLineChars="0"/>
            </w:pPr>
            <w:r>
              <w:rPr>
                <w:rFonts w:hint="eastAsia"/>
                <w:b/>
                <w:bCs/>
              </w:rPr>
              <w:t>1.4 固体废物影响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施工期固废主要来自施工人员产生的生活垃圾和施工所产生的建筑垃圾。施工人员所产生的生活垃圾量以施工期1个月，施工人数</w:t>
            </w:r>
            <w:r>
              <w:rPr>
                <w:rFonts w:hint="eastAsia"/>
                <w:lang w:eastAsia="zh-CN"/>
              </w:rPr>
              <w:t>6人</w:t>
            </w:r>
            <w:r>
              <w:t>，排放系数取0.3kg/（p·d）计，则生活垃圾产生量约为3kg/d，施工期间生活垃圾总产生量为0.09t。生活垃圾要集中定点收集，由环卫部门定期清运处理，以减少对环境的影响。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本项目建设过程中产生的建筑垃圾主要为建筑耗材垃圾，包括金属构件</w:t>
            </w:r>
            <w:r>
              <w:rPr>
                <w:rFonts w:hint="eastAsia"/>
              </w:rPr>
              <w:t>、</w:t>
            </w:r>
            <w:r>
              <w:t>碎砖块、水泥块、废木料、废土方等，按每平方米建筑面积产生建筑垃圾0.05t计，则本项目将产生建筑垃圾约</w:t>
            </w:r>
            <w:r>
              <w:rPr>
                <w:rFonts w:hint="eastAsia"/>
              </w:rPr>
              <w:t>20.85</w:t>
            </w:r>
            <w:r>
              <w:t>t，评价建议尽量</w:t>
            </w:r>
            <w:r>
              <w:rPr>
                <w:rFonts w:hint="eastAsia"/>
              </w:rPr>
              <w:t>分类</w:t>
            </w:r>
            <w:r>
              <w:t>回收有用材料，金属构件收集后外售，不能利用的部分需办理建筑垃圾清运许可证并严格按照相关部门的规定执行。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通过执行</w:t>
            </w:r>
            <w:r>
              <w:t>评价建议，本项目施工期固体废物均能合理有效处置，对周围环境</w:t>
            </w:r>
            <w:r>
              <w:rPr>
                <w:rFonts w:hint="eastAsia"/>
              </w:rPr>
              <w:t>影响较小</w:t>
            </w:r>
            <w:r>
              <w:t>。</w:t>
            </w:r>
          </w:p>
          <w:p>
            <w:pPr>
              <w:adjustRightInd w:val="0"/>
              <w:snapToGrid w:val="0"/>
              <w:spacing w:line="360" w:lineRule="auto"/>
              <w:ind w:firstLine="0" w:firstLineChars="0"/>
              <w:rPr>
                <w:b/>
                <w:bCs/>
              </w:rPr>
            </w:pPr>
            <w:r>
              <w:rPr>
                <w:rFonts w:hint="eastAsia"/>
                <w:b/>
                <w:bCs/>
              </w:rPr>
              <w:t>2、</w:t>
            </w:r>
            <w:r>
              <w:rPr>
                <w:b/>
                <w:bCs/>
              </w:rPr>
              <w:t>营运期环境影响分析</w:t>
            </w:r>
          </w:p>
          <w:p>
            <w:pPr>
              <w:adjustRightInd w:val="0"/>
              <w:snapToGrid w:val="0"/>
              <w:spacing w:line="360" w:lineRule="auto"/>
              <w:ind w:firstLine="0" w:firstLineChars="0"/>
              <w:textAlignment w:val="baseline"/>
            </w:pPr>
            <w:r>
              <w:rPr>
                <w:b/>
                <w:bCs/>
              </w:rPr>
              <w:t>2.1</w:t>
            </w:r>
            <w:r>
              <w:rPr>
                <w:rFonts w:hint="eastAsia"/>
                <w:b/>
                <w:bCs/>
              </w:rPr>
              <w:t>、</w:t>
            </w:r>
            <w:r>
              <w:rPr>
                <w:b/>
                <w:bCs/>
              </w:rPr>
              <w:t>环境空气</w:t>
            </w:r>
            <w:r>
              <w:rPr>
                <w:rFonts w:hint="eastAsia"/>
                <w:b/>
                <w:bCs/>
              </w:rPr>
              <w:t>影响</w:t>
            </w:r>
            <w:r>
              <w:rPr>
                <w:b/>
                <w:bCs/>
              </w:rPr>
              <w:t>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本项目储油罐灌注、油罐车装卸、加油作业等过程造成燃料油以气态形式逸出进入大气环境，以非甲烷总烃计。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本项目汽油的无组织排放主要分为储油罐呼吸损耗、卸油损失、加油作业损失、作业跑、冒、滴、漏损失三个部分。根据《河南省 2017 年挥发性有机物专项治理工作方案》和《关于全省开展工业企业挥发性有机物专项治理工作中排放建议值的通知》（豫环攻坚办[2017]162 号）的要求，本项目对汽油安装卸油、加油二级油气回收系统对油气进行控制，对卸油和加油过程中的油气回收率可达 95%以上</w:t>
            </w:r>
            <w:r>
              <w:rPr>
                <w:rFonts w:hint="eastAsia"/>
              </w:rPr>
              <w:t>。</w:t>
            </w:r>
          </w:p>
          <w:p>
            <w:pPr>
              <w:adjustRightInd w:val="0"/>
              <w:snapToGrid w:val="0"/>
              <w:spacing w:line="360" w:lineRule="auto"/>
              <w:ind w:firstLine="480" w:firstLineChars="200"/>
            </w:pPr>
            <w:r>
              <w:rPr>
                <w:rFonts w:hint="eastAsia"/>
              </w:rPr>
              <w:t>（1）卸油、储油、加油等过程中油品挥发产生的非甲烷总烃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本项目在卸油、储油、加油作业等过程会产生一定的油气排放，主要大气污染物为非甲烷总烃（C2~C8 可挥发碳氢化和物）。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①卸油损失：本项目采用自流密闭卸油方式卸油。油料因位差自流进入埋地油罐内，罐内油气便因正压排出油罐进入油槽车内。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根据《散装液态石油产品损耗标准》，卸油过程中汽油、柴油会分别产生0.23 %、0.05 %的油气，按照年销售汽油100吨、柴油10</w:t>
            </w:r>
            <w:r>
              <w:t>0</w:t>
            </w:r>
            <w:r>
              <w:rPr>
                <w:rFonts w:hint="eastAsia"/>
              </w:rPr>
              <w:t>吨计算，得出项目汽油油气排放量为</w:t>
            </w:r>
            <w:r>
              <w:t>0.</w:t>
            </w:r>
            <w:r>
              <w:rPr>
                <w:rFonts w:hint="eastAsia"/>
              </w:rPr>
              <w:t>23t/a，柴油油气排放量为</w:t>
            </w:r>
            <w:r>
              <w:t>0.</w:t>
            </w:r>
            <w:r>
              <w:rPr>
                <w:rFonts w:hint="eastAsia"/>
              </w:rPr>
              <w:t>05t/a。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②储油损失：储油过程油气排放包括地下油罐“小呼吸”、卸油多余油气及加油多余油气。根据《散装液态石油产品损耗标准》，储油过程会产生0.01 %的油气排放，按照年销售汽油100吨、柴油10</w:t>
            </w:r>
            <w:r>
              <w:t>0</w:t>
            </w:r>
            <w:r>
              <w:rPr>
                <w:rFonts w:hint="eastAsia"/>
              </w:rPr>
              <w:t>吨计算，得出项目储存过程中汽油油气排放量为</w:t>
            </w:r>
            <w:r>
              <w:t>0.0</w:t>
            </w:r>
            <w:r>
              <w:rPr>
                <w:rFonts w:hint="eastAsia"/>
              </w:rPr>
              <w:t>1t/a，柴油油气排放量为</w:t>
            </w:r>
            <w:r>
              <w:t>0.0</w:t>
            </w:r>
            <w:r>
              <w:rPr>
                <w:rFonts w:hint="eastAsia"/>
              </w:rPr>
              <w:t>1t/a。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③加油损失：汽车加油过程中因加油箱都是敞开式，加油流速较快，油气排放量较大。据《散装液态石油产品损耗标准》，加油过程中汽油、柴油会产生 0.29%、0.08%的油气排放，按照年销售汽油10</w:t>
            </w:r>
            <w:r>
              <w:t>0</w:t>
            </w:r>
            <w:r>
              <w:rPr>
                <w:rFonts w:hint="eastAsia"/>
              </w:rPr>
              <w:t>吨、柴油10</w:t>
            </w:r>
            <w:r>
              <w:t>0</w:t>
            </w:r>
            <w:r>
              <w:rPr>
                <w:rFonts w:hint="eastAsia"/>
              </w:rPr>
              <w:t>吨计算，得出项目汽油油气排放量为</w:t>
            </w:r>
            <w:r>
              <w:t>0.</w:t>
            </w:r>
            <w:r>
              <w:rPr>
                <w:rFonts w:hint="eastAsia"/>
              </w:rPr>
              <w:t>29t/a，柴油油气排放量为</w:t>
            </w:r>
            <w:r>
              <w:t>0.</w:t>
            </w:r>
            <w:r>
              <w:rPr>
                <w:rFonts w:hint="eastAsia"/>
              </w:rPr>
              <w:t>08t/a。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评价</w:t>
            </w:r>
            <w:r>
              <w:t>要求</w:t>
            </w:r>
            <w:r>
              <w:rPr>
                <w:rFonts w:hint="eastAsia"/>
              </w:rPr>
              <w:t>本项目油</w:t>
            </w:r>
            <w:r>
              <w:t>罐</w:t>
            </w:r>
            <w:r>
              <w:rPr>
                <w:rFonts w:hint="eastAsia"/>
                <w:lang w:eastAsia="zh-CN"/>
              </w:rPr>
              <w:t>设置一套</w:t>
            </w:r>
            <w:r>
              <w:rPr>
                <w:rFonts w:hint="eastAsia"/>
              </w:rPr>
              <w:t>一次油气</w:t>
            </w:r>
            <w:r>
              <w:t>回收系统、加油</w:t>
            </w:r>
            <w:r>
              <w:rPr>
                <w:rFonts w:hint="eastAsia"/>
              </w:rPr>
              <w:t>枪</w:t>
            </w:r>
            <w:r>
              <w:rPr>
                <w:rFonts w:hint="eastAsia"/>
                <w:lang w:eastAsia="zh-CN"/>
              </w:rPr>
              <w:t>设置一套</w:t>
            </w:r>
            <w:r>
              <w:t>二次</w:t>
            </w:r>
            <w:r>
              <w:rPr>
                <w:rFonts w:hint="eastAsia"/>
              </w:rPr>
              <w:t>油气回收系统进行油气回收。油气回收系统一般分为两阶段的油气回收；第一阶段是油罐车卸油时采用密封式卸油，油罐车卸下一定数量的油品，就需吸入大致相等的气体补气，而加油站内的埋地油罐也因注入油品而向外排出相当数量的油气，此油气经过导管重新输回到油罐车内，完成油气循环的卸油工作。回收到油罐车内的油气，可由油罐车带回油库后，再经冷凝、吸附或燃烧等方式处理。第二阶段是汽车加油时，利用油枪上的特殊装置，将原本会有汽车油箱溢散于空气中的油气，经加油枪、抽气马达、回收入油罐内，并在储油罐的出气口安装阻火通气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该套油气回收效率可达到95%以上，经油气回收系统回收后，剩余的油气直接无组织排放。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项目在卸油、储油、加油作业等过程产生的非甲烷总烃排放汇总情况见表</w:t>
            </w:r>
            <w:r>
              <w:rPr>
                <w:rFonts w:hint="eastAsia"/>
                <w:lang w:val="en-US" w:eastAsia="zh-CN"/>
              </w:rPr>
              <w:t>23</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b/>
                <w:bCs/>
                <w:lang w:val="en-US" w:eastAsia="zh-CN"/>
              </w:rPr>
              <w:t>表23     项目非甲烷总烃排放情况 单位：t/a</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2"/>
              <w:gridCol w:w="1696"/>
              <w:gridCol w:w="1964"/>
              <w:gridCol w:w="1517"/>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8"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项目</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排放系数</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非甲烷总烃</w:t>
                  </w:r>
                  <w:r>
                    <w:rPr>
                      <w:rFonts w:hint="eastAsia"/>
                      <w:lang w:val="en-US" w:eastAsia="zh-CN"/>
                    </w:rPr>
                    <w:t>产生量</w:t>
                  </w:r>
                  <w:r>
                    <w:rPr>
                      <w:rFonts w:hint="default"/>
                      <w:lang w:val="en-US" w:eastAsia="zh-CN"/>
                    </w:rPr>
                    <w:t>（</w:t>
                  </w:r>
                  <w:r>
                    <w:rPr>
                      <w:rFonts w:hint="eastAsia"/>
                      <w:lang w:val="en-US" w:eastAsia="zh-CN"/>
                    </w:rPr>
                    <w:t>t</w:t>
                  </w:r>
                  <w:r>
                    <w:rPr>
                      <w:rFonts w:hint="default"/>
                      <w:lang w:val="en-US" w:eastAsia="zh-CN"/>
                    </w:rPr>
                    <w:t>/a）</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油气回收装置回收率</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排放量（</w:t>
                  </w:r>
                  <w:r>
                    <w:rPr>
                      <w:rFonts w:hint="eastAsia"/>
                      <w:lang w:val="en-US" w:eastAsia="zh-CN"/>
                    </w:rPr>
                    <w:t>t</w:t>
                  </w:r>
                  <w:r>
                    <w:rPr>
                      <w:rFonts w:hint="defaul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卸油工序损失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2.3kg/t汽油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4.25</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0.027kg/t柴油</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储油工序损失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0.16kg/t汽油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柴油忽略不计</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eastAsia"/>
                      <w:lang w:val="en-US" w:eastAsia="zh-CN"/>
                    </w:rPr>
                  </w:pPr>
                  <w:r>
                    <w:rPr>
                      <w:rFonts w:hint="eastAsia"/>
                      <w:lang w:val="en-US" w:eastAsia="zh-CN"/>
                    </w:rPr>
                    <w:t>加油工序损失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2.49kg/t汽油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4.60</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0.192kg/t柴油</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98"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eastAsia"/>
                      <w:lang w:eastAsia="zh-CN"/>
                    </w:rPr>
                  </w:pPr>
                  <w:r>
                    <w:rPr>
                      <w:rFonts w:hint="eastAsia"/>
                      <w:lang w:eastAsia="zh-CN"/>
                    </w:rPr>
                    <w:t>合计</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9.159</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0.758</w:t>
                  </w:r>
                </w:p>
              </w:tc>
            </w:tr>
          </w:tbl>
          <w:p>
            <w:pPr>
              <w:keepNext w:val="0"/>
              <w:keepLines w:val="0"/>
              <w:suppressLineNumbers w:val="0"/>
              <w:adjustRightInd w:val="0"/>
              <w:spacing w:before="0" w:beforeAutospacing="0" w:after="0" w:afterAutospacing="0" w:line="360" w:lineRule="auto"/>
              <w:ind w:left="0" w:right="0" w:firstLine="480" w:firstLineChars="200"/>
              <w:rPr>
                <w:rFonts w:hint="eastAsia"/>
                <w:lang w:val="en-US" w:eastAsia="zh-CN"/>
              </w:rPr>
            </w:pPr>
            <w:r>
              <w:rPr>
                <w:rFonts w:hint="eastAsia"/>
                <w:lang w:val="en-US" w:eastAsia="zh-CN"/>
              </w:rPr>
              <w:t>由上表可知，该项目建成后，由于采用了油气回收装置，排入大气的挥发烃类有机污染物比采取措施前减少了91.7%，排入大气的挥发烃类有机污染物合计为0.758t/a，占成品油总销量的0.035%，年损失量不大。</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rPr>
            </w:pPr>
            <w:r>
              <w:rPr>
                <w:rFonts w:hint="eastAsia"/>
              </w:rPr>
              <w:t>建设单位根据加油站加油量选用</w:t>
            </w:r>
            <w:r>
              <w:rPr>
                <w:rFonts w:hint="eastAsia"/>
                <w:lang w:eastAsia="zh-CN"/>
              </w:rPr>
              <w:t>一套一次</w:t>
            </w:r>
            <w:r>
              <w:rPr>
                <w:rFonts w:hint="eastAsia"/>
              </w:rPr>
              <w:t>油气</w:t>
            </w:r>
            <w:r>
              <w:rPr>
                <w:rFonts w:hint="eastAsia"/>
                <w:lang w:eastAsia="zh-CN"/>
              </w:rPr>
              <w:t>回收装置，</w:t>
            </w:r>
            <w:r>
              <w:rPr>
                <w:rFonts w:hint="eastAsia"/>
                <w:lang w:val="en-US" w:eastAsia="zh-CN"/>
              </w:rPr>
              <w:t>8套二次油气回收装置</w:t>
            </w:r>
            <w:r>
              <w:rPr>
                <w:rFonts w:hint="eastAsia"/>
              </w:rPr>
              <w:t>设备</w:t>
            </w:r>
            <w:r>
              <w:rPr>
                <w:rFonts w:hint="eastAsia"/>
                <w:lang w:val="en-US" w:eastAsia="zh-CN"/>
              </w:rPr>
              <w:t>，</w:t>
            </w:r>
            <w:r>
              <w:rPr>
                <w:rFonts w:hint="eastAsia"/>
              </w:rPr>
              <w:t>根据同类装置检测数据，油气排放浓度小于《加油站大气污染物排放标准》（</w:t>
            </w:r>
            <w:r>
              <w:rPr>
                <w:rFonts w:hint="default"/>
              </w:rPr>
              <w:t>GB20952-2007</w:t>
            </w:r>
            <w:r>
              <w:rPr>
                <w:rFonts w:hint="eastAsia"/>
              </w:rPr>
              <w:t>）中标准限值要求：</w:t>
            </w:r>
            <w:r>
              <w:rPr>
                <w:rFonts w:hint="default"/>
              </w:rPr>
              <w:t>25g/</w:t>
            </w:r>
            <w:r>
              <w:rPr>
                <w:rFonts w:hint="eastAsia"/>
                <w:lang w:eastAsia="zh-CN"/>
              </w:rPr>
              <w:t>m³</w:t>
            </w:r>
            <w:r>
              <w:rPr>
                <w:rFonts w:hint="eastAsia"/>
              </w:rPr>
              <w:t>。要求建设单位按照该标准要求，每年至少检测</w:t>
            </w:r>
            <w:r>
              <w:rPr>
                <w:rFonts w:hint="default"/>
              </w:rPr>
              <w:t>1</w:t>
            </w:r>
            <w:r>
              <w:rPr>
                <w:rFonts w:hint="eastAsia"/>
              </w:rPr>
              <w:t>次呼吸阀排放浓度、油气回收系统的气液比、油气回收管线液阻以及容器、设备、回收系统气密性，保证非甲烷总烃气体达标排放，并确保加油油气回收系统的气液比均应在大于等于</w:t>
            </w:r>
            <w:r>
              <w:rPr>
                <w:rFonts w:hint="default"/>
              </w:rPr>
              <w:t>1.0</w:t>
            </w:r>
            <w:r>
              <w:rPr>
                <w:rFonts w:hint="eastAsia"/>
              </w:rPr>
              <w:t>和小于等于</w:t>
            </w:r>
            <w:r>
              <w:rPr>
                <w:rFonts w:hint="default"/>
              </w:rPr>
              <w:t>1.2</w:t>
            </w:r>
            <w:r>
              <w:rPr>
                <w:rFonts w:hint="eastAsia"/>
              </w:rPr>
              <w:t>范围内，液阻小于标准中表</w:t>
            </w:r>
            <w:r>
              <w:rPr>
                <w:rFonts w:hint="default"/>
              </w:rPr>
              <w:t>1</w:t>
            </w:r>
            <w:r>
              <w:rPr>
                <w:rFonts w:hint="eastAsia"/>
              </w:rPr>
              <w:t>规定的最大压力限值，气密性监测值应大于标准中表</w:t>
            </w:r>
            <w:r>
              <w:rPr>
                <w:rFonts w:hint="default"/>
              </w:rPr>
              <w:t>2</w:t>
            </w:r>
            <w:r>
              <w:rPr>
                <w:rFonts w:hint="eastAsia"/>
              </w:rPr>
              <w:t>规定的最小剩余压力限值。</w:t>
            </w:r>
          </w:p>
          <w:p>
            <w:pPr>
              <w:adjustRightInd w:val="0"/>
              <w:snapToGrid w:val="0"/>
              <w:spacing w:line="500" w:lineRule="exact"/>
              <w:ind w:firstLine="480" w:firstLineChars="200"/>
            </w:pPr>
            <w:r>
              <w:rPr>
                <w:rFonts w:hint="eastAsia"/>
                <w:lang w:val="en-US" w:eastAsia="zh-CN"/>
              </w:rPr>
              <w:t>为了进一步减小加油站油气损失，本加油站采用地埋式工艺安放储罐，保持了油罐的恒温，有效减少了烃类气体的排放；对油罐设置呼吸阀挡板，采用自封式加油枪及密闭卸油等方式，一定程度上减少了油气的排放。因此，项目散失非甲烷总烃对周围大气环境的影响程度很小。</w:t>
            </w:r>
          </w:p>
          <w:p>
            <w:pPr>
              <w:adjustRightInd w:val="0"/>
              <w:snapToGrid w:val="0"/>
              <w:spacing w:line="500" w:lineRule="exact"/>
              <w:ind w:firstLine="480" w:firstLineChars="200"/>
            </w:pPr>
            <w:r>
              <w:rPr>
                <w:rFonts w:hint="eastAsia"/>
              </w:rPr>
              <w:t>（</w:t>
            </w:r>
            <w:r>
              <w:t>2</w:t>
            </w:r>
            <w:r>
              <w:rPr>
                <w:rFonts w:hint="eastAsia"/>
              </w:rPr>
              <w:t>）无组织排放厂界浓度预测</w:t>
            </w:r>
          </w:p>
          <w:p>
            <w:pPr>
              <w:adjustRightInd w:val="0"/>
              <w:snapToGrid w:val="0"/>
              <w:spacing w:line="500" w:lineRule="exact"/>
              <w:ind w:firstLine="480" w:firstLineChars="200"/>
              <w:rPr>
                <w:rFonts w:hint="eastAsia"/>
              </w:rPr>
            </w:pPr>
            <w:r>
              <w:rPr>
                <w:rFonts w:hint="eastAsia"/>
              </w:rPr>
              <w:t>采用《环境影响评价技术导则—大气环境》（</w:t>
            </w:r>
            <w:r>
              <w:rPr>
                <w:rFonts w:hint="default"/>
              </w:rPr>
              <w:t>HJ2.2-2018</w:t>
            </w:r>
            <w:r>
              <w:rPr>
                <w:rFonts w:hint="eastAsia"/>
              </w:rPr>
              <w:t>）推荐的估算模型</w:t>
            </w:r>
            <w:r>
              <w:rPr>
                <w:rFonts w:hint="default"/>
              </w:rPr>
              <w:t>AERSCREEN</w:t>
            </w:r>
            <w:r>
              <w:rPr>
                <w:rFonts w:hint="eastAsia"/>
              </w:rPr>
              <w:t>对本项目进行估算，估算参数见下表。</w:t>
            </w:r>
          </w:p>
          <w:p>
            <w:pPr>
              <w:bidi w:val="0"/>
              <w:jc w:val="center"/>
              <w:rPr>
                <w:rFonts w:hint="default"/>
                <w:lang w:val="en-US" w:eastAsia="zh-CN"/>
              </w:rPr>
            </w:pPr>
            <w:r>
              <w:rPr>
                <w:rFonts w:hint="eastAsia"/>
                <w:b/>
                <w:bCs/>
                <w:lang w:val="en-US" w:eastAsia="zh-CN"/>
              </w:rPr>
              <w:t xml:space="preserve">表24     </w:t>
            </w:r>
            <w:r>
              <w:rPr>
                <w:rFonts w:hint="default"/>
                <w:b/>
                <w:bCs/>
                <w:lang w:val="en-US" w:eastAsia="zh-CN"/>
              </w:rPr>
              <w:t xml:space="preserve"> </w:t>
            </w:r>
            <w:r>
              <w:rPr>
                <w:rFonts w:hint="eastAsia"/>
                <w:b/>
                <w:bCs/>
                <w:lang w:val="en-US" w:eastAsia="zh-CN"/>
              </w:rPr>
              <w:t>北加油站矩形面源参数表</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98"/>
              <w:gridCol w:w="864"/>
              <w:gridCol w:w="1024"/>
              <w:gridCol w:w="1283"/>
              <w:gridCol w:w="1154"/>
              <w:gridCol w:w="768"/>
              <w:gridCol w:w="2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名称</w:t>
                  </w:r>
                </w:p>
              </w:tc>
              <w:tc>
                <w:tcPr>
                  <w:tcW w:w="86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w:t>
                  </w:r>
                </w:p>
                <w:p>
                  <w:pPr>
                    <w:widowControl w:val="0"/>
                    <w:spacing w:line="240" w:lineRule="auto"/>
                    <w:ind w:firstLine="0" w:firstLineChars="0"/>
                    <w:jc w:val="center"/>
                    <w:rPr>
                      <w:sz w:val="21"/>
                      <w:szCs w:val="21"/>
                      <w:lang w:val="en-US" w:eastAsia="zh-CN"/>
                    </w:rPr>
                  </w:pPr>
                  <w:r>
                    <w:rPr>
                      <w:rFonts w:hint="eastAsia"/>
                      <w:sz w:val="21"/>
                      <w:szCs w:val="21"/>
                      <w:lang w:val="en-US" w:eastAsia="zh-CN"/>
                    </w:rPr>
                    <w:t>长度</w:t>
                  </w:r>
                  <w:r>
                    <w:rPr>
                      <w:sz w:val="21"/>
                      <w:szCs w:val="21"/>
                      <w:lang w:val="en-US" w:eastAsia="zh-CN"/>
                    </w:rPr>
                    <w:t>/m</w:t>
                  </w:r>
                </w:p>
              </w:tc>
              <w:tc>
                <w:tcPr>
                  <w:tcW w:w="102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w:t>
                  </w:r>
                </w:p>
                <w:p>
                  <w:pPr>
                    <w:widowControl w:val="0"/>
                    <w:spacing w:line="240" w:lineRule="auto"/>
                    <w:ind w:firstLine="0" w:firstLineChars="0"/>
                    <w:jc w:val="center"/>
                    <w:rPr>
                      <w:sz w:val="21"/>
                      <w:szCs w:val="21"/>
                      <w:lang w:val="en-US" w:eastAsia="zh-CN"/>
                    </w:rPr>
                  </w:pPr>
                  <w:r>
                    <w:rPr>
                      <w:rFonts w:hint="eastAsia"/>
                      <w:sz w:val="21"/>
                      <w:szCs w:val="21"/>
                      <w:lang w:val="en-US" w:eastAsia="zh-CN"/>
                    </w:rPr>
                    <w:t>宽度</w:t>
                  </w:r>
                  <w:r>
                    <w:rPr>
                      <w:sz w:val="21"/>
                      <w:szCs w:val="21"/>
                      <w:lang w:val="en-US" w:eastAsia="zh-CN"/>
                    </w:rPr>
                    <w:t>/m</w:t>
                  </w:r>
                </w:p>
              </w:tc>
              <w:tc>
                <w:tcPr>
                  <w:tcW w:w="1283"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面源有效</w:t>
                  </w:r>
                </w:p>
                <w:p>
                  <w:pPr>
                    <w:widowControl w:val="0"/>
                    <w:spacing w:line="240" w:lineRule="auto"/>
                    <w:ind w:firstLine="0" w:firstLineChars="0"/>
                    <w:jc w:val="center"/>
                    <w:rPr>
                      <w:sz w:val="21"/>
                      <w:szCs w:val="21"/>
                      <w:lang w:val="en-US" w:eastAsia="zh-CN"/>
                    </w:rPr>
                  </w:pPr>
                  <w:r>
                    <w:rPr>
                      <w:rFonts w:hint="eastAsia"/>
                      <w:sz w:val="21"/>
                      <w:szCs w:val="21"/>
                      <w:lang w:val="en-US" w:eastAsia="zh-CN"/>
                    </w:rPr>
                    <w:t>排放高度</w:t>
                  </w:r>
                  <w:r>
                    <w:rPr>
                      <w:sz w:val="21"/>
                      <w:szCs w:val="21"/>
                      <w:lang w:val="en-US" w:eastAsia="zh-CN"/>
                    </w:rPr>
                    <w:t>/m</w:t>
                  </w:r>
                </w:p>
              </w:tc>
              <w:tc>
                <w:tcPr>
                  <w:tcW w:w="115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年排放</w:t>
                  </w:r>
                </w:p>
                <w:p>
                  <w:pPr>
                    <w:widowControl w:val="0"/>
                    <w:spacing w:line="240" w:lineRule="auto"/>
                    <w:ind w:firstLine="0" w:firstLineChars="0"/>
                    <w:jc w:val="center"/>
                    <w:rPr>
                      <w:sz w:val="21"/>
                      <w:szCs w:val="21"/>
                      <w:lang w:val="en-US" w:eastAsia="zh-CN"/>
                    </w:rPr>
                  </w:pPr>
                  <w:r>
                    <w:rPr>
                      <w:rFonts w:hint="eastAsia"/>
                      <w:sz w:val="21"/>
                      <w:szCs w:val="21"/>
                      <w:lang w:val="en-US" w:eastAsia="zh-CN"/>
                    </w:rPr>
                    <w:t>小时数</w:t>
                  </w:r>
                  <w:r>
                    <w:rPr>
                      <w:sz w:val="21"/>
                      <w:szCs w:val="21"/>
                      <w:lang w:val="en-US" w:eastAsia="zh-CN"/>
                    </w:rPr>
                    <w:t>/h</w:t>
                  </w:r>
                </w:p>
              </w:tc>
              <w:tc>
                <w:tcPr>
                  <w:tcW w:w="768"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排放</w:t>
                  </w:r>
                </w:p>
                <w:p>
                  <w:pPr>
                    <w:widowControl w:val="0"/>
                    <w:spacing w:line="240" w:lineRule="auto"/>
                    <w:ind w:firstLine="0" w:firstLineChars="0"/>
                    <w:jc w:val="center"/>
                    <w:rPr>
                      <w:sz w:val="21"/>
                      <w:szCs w:val="21"/>
                      <w:lang w:val="en-US" w:eastAsia="zh-CN"/>
                    </w:rPr>
                  </w:pPr>
                  <w:r>
                    <w:rPr>
                      <w:rFonts w:hint="eastAsia"/>
                      <w:sz w:val="21"/>
                      <w:szCs w:val="21"/>
                      <w:lang w:val="en-US" w:eastAsia="zh-CN"/>
                    </w:rPr>
                    <w:t>工况</w:t>
                  </w:r>
                </w:p>
              </w:tc>
              <w:tc>
                <w:tcPr>
                  <w:tcW w:w="2086" w:type="dxa"/>
                  <w:tcBorders>
                    <w:top w:val="single" w:color="auto" w:sz="8" w:space="0"/>
                    <w:right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污染物排放速率</w:t>
                  </w:r>
                  <w:r>
                    <w:rPr>
                      <w:sz w:val="21"/>
                      <w:szCs w:val="21"/>
                      <w:lang w:val="en-US" w:eastAsia="zh-CN"/>
                    </w:rPr>
                    <w:t>/</w:t>
                  </w:r>
                  <w:r>
                    <w:rPr>
                      <w:rFonts w:hint="eastAsia"/>
                      <w:sz w:val="21"/>
                      <w:szCs w:val="21"/>
                      <w:lang w:val="en-US" w:eastAsia="zh-CN"/>
                    </w:rPr>
                    <w:t>（</w:t>
                  </w:r>
                  <w:r>
                    <w:rPr>
                      <w:sz w:val="21"/>
                      <w:szCs w:val="21"/>
                      <w:lang w:val="en-US" w:eastAsia="zh-CN"/>
                    </w:rPr>
                    <w:t>kg/h</w:t>
                  </w:r>
                  <w:r>
                    <w:rPr>
                      <w:rFonts w:hint="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continue"/>
                  <w:tcBorders>
                    <w:left w:val="single" w:color="auto" w:sz="4" w:space="0"/>
                  </w:tcBorders>
                  <w:noWrap w:val="0"/>
                  <w:vAlign w:val="center"/>
                </w:tcPr>
                <w:p>
                  <w:pPr>
                    <w:widowControl w:val="0"/>
                    <w:spacing w:line="240" w:lineRule="auto"/>
                    <w:ind w:firstLine="0" w:firstLineChars="0"/>
                    <w:jc w:val="center"/>
                    <w:rPr>
                      <w:sz w:val="21"/>
                      <w:szCs w:val="21"/>
                      <w:lang w:val="en-US" w:eastAsia="zh-CN"/>
                    </w:rPr>
                  </w:pPr>
                </w:p>
              </w:tc>
              <w:tc>
                <w:tcPr>
                  <w:tcW w:w="864" w:type="dxa"/>
                  <w:vMerge w:val="continue"/>
                  <w:noWrap w:val="0"/>
                  <w:vAlign w:val="center"/>
                </w:tcPr>
                <w:p>
                  <w:pPr>
                    <w:widowControl w:val="0"/>
                    <w:spacing w:line="240" w:lineRule="auto"/>
                    <w:ind w:firstLine="0" w:firstLineChars="0"/>
                    <w:jc w:val="center"/>
                    <w:rPr>
                      <w:sz w:val="21"/>
                      <w:szCs w:val="21"/>
                      <w:lang w:val="en-US" w:eastAsia="zh-CN"/>
                    </w:rPr>
                  </w:pPr>
                </w:p>
              </w:tc>
              <w:tc>
                <w:tcPr>
                  <w:tcW w:w="1024" w:type="dxa"/>
                  <w:vMerge w:val="continue"/>
                  <w:noWrap w:val="0"/>
                  <w:vAlign w:val="center"/>
                </w:tcPr>
                <w:p>
                  <w:pPr>
                    <w:widowControl w:val="0"/>
                    <w:spacing w:line="240" w:lineRule="auto"/>
                    <w:ind w:firstLine="0" w:firstLineChars="0"/>
                    <w:jc w:val="center"/>
                    <w:rPr>
                      <w:sz w:val="21"/>
                      <w:szCs w:val="21"/>
                      <w:lang w:val="en-US" w:eastAsia="zh-CN"/>
                    </w:rPr>
                  </w:pPr>
                </w:p>
              </w:tc>
              <w:tc>
                <w:tcPr>
                  <w:tcW w:w="1283" w:type="dxa"/>
                  <w:vMerge w:val="continue"/>
                  <w:noWrap w:val="0"/>
                  <w:vAlign w:val="center"/>
                </w:tcPr>
                <w:p>
                  <w:pPr>
                    <w:widowControl w:val="0"/>
                    <w:spacing w:line="240" w:lineRule="auto"/>
                    <w:ind w:firstLine="0" w:firstLineChars="0"/>
                    <w:jc w:val="center"/>
                    <w:rPr>
                      <w:sz w:val="21"/>
                      <w:szCs w:val="21"/>
                      <w:lang w:val="en-US" w:eastAsia="zh-CN"/>
                    </w:rPr>
                  </w:pPr>
                </w:p>
              </w:tc>
              <w:tc>
                <w:tcPr>
                  <w:tcW w:w="1154" w:type="dxa"/>
                  <w:vMerge w:val="continue"/>
                  <w:noWrap w:val="0"/>
                  <w:vAlign w:val="center"/>
                </w:tcPr>
                <w:p>
                  <w:pPr>
                    <w:widowControl w:val="0"/>
                    <w:spacing w:line="240" w:lineRule="auto"/>
                    <w:ind w:firstLine="0" w:firstLineChars="0"/>
                    <w:jc w:val="center"/>
                    <w:rPr>
                      <w:sz w:val="21"/>
                      <w:szCs w:val="21"/>
                      <w:lang w:val="en-US" w:eastAsia="zh-CN"/>
                    </w:rPr>
                  </w:pPr>
                </w:p>
              </w:tc>
              <w:tc>
                <w:tcPr>
                  <w:tcW w:w="768" w:type="dxa"/>
                  <w:vMerge w:val="continue"/>
                  <w:noWrap w:val="0"/>
                  <w:vAlign w:val="center"/>
                </w:tcPr>
                <w:p>
                  <w:pPr>
                    <w:widowControl w:val="0"/>
                    <w:spacing w:line="240" w:lineRule="auto"/>
                    <w:ind w:firstLine="0" w:firstLineChars="0"/>
                    <w:jc w:val="center"/>
                    <w:rPr>
                      <w:sz w:val="21"/>
                      <w:szCs w:val="21"/>
                      <w:lang w:val="en-US" w:eastAsia="zh-CN"/>
                    </w:rPr>
                  </w:pPr>
                </w:p>
              </w:tc>
              <w:tc>
                <w:tcPr>
                  <w:tcW w:w="2086" w:type="dxa"/>
                  <w:tcBorders>
                    <w:right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tcBorders>
                    <w:left w:val="single" w:color="auto" w:sz="4" w:space="0"/>
                    <w:bottom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加油站</w:t>
                  </w:r>
                </w:p>
              </w:tc>
              <w:tc>
                <w:tcPr>
                  <w:tcW w:w="864"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80</w:t>
                  </w:r>
                </w:p>
              </w:tc>
              <w:tc>
                <w:tcPr>
                  <w:tcW w:w="1024"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50</w:t>
                  </w:r>
                </w:p>
              </w:tc>
              <w:tc>
                <w:tcPr>
                  <w:tcW w:w="1283"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6.5</w:t>
                  </w:r>
                </w:p>
              </w:tc>
              <w:tc>
                <w:tcPr>
                  <w:tcW w:w="1154" w:type="dxa"/>
                  <w:tcBorders>
                    <w:bottom w:val="single" w:color="auto" w:sz="8" w:space="0"/>
                  </w:tcBorders>
                  <w:noWrap w:val="0"/>
                  <w:vAlign w:val="center"/>
                </w:tcPr>
                <w:p>
                  <w:pPr>
                    <w:widowControl w:val="0"/>
                    <w:spacing w:line="240" w:lineRule="auto"/>
                    <w:ind w:firstLine="0" w:firstLineChars="0"/>
                    <w:jc w:val="center"/>
                    <w:rPr>
                      <w:rFonts w:hint="eastAsia"/>
                      <w:sz w:val="21"/>
                      <w:szCs w:val="21"/>
                      <w:lang w:val="en-US" w:eastAsia="zh-CN"/>
                    </w:rPr>
                  </w:pPr>
                  <w:r>
                    <w:rPr>
                      <w:rFonts w:hint="eastAsia"/>
                      <w:sz w:val="21"/>
                      <w:szCs w:val="21"/>
                      <w:lang w:val="en-US" w:eastAsia="zh-CN"/>
                    </w:rPr>
                    <w:t>8760</w:t>
                  </w:r>
                </w:p>
              </w:tc>
              <w:tc>
                <w:tcPr>
                  <w:tcW w:w="768" w:type="dxa"/>
                  <w:tcBorders>
                    <w:bottom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正常</w:t>
                  </w:r>
                </w:p>
              </w:tc>
              <w:tc>
                <w:tcPr>
                  <w:tcW w:w="2086" w:type="dxa"/>
                  <w:tcBorders>
                    <w:bottom w:val="single" w:color="auto" w:sz="8" w:space="0"/>
                    <w:right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0.0865</w:t>
                  </w:r>
                </w:p>
              </w:tc>
            </w:tr>
          </w:tbl>
          <w:p>
            <w:pPr>
              <w:adjustRightInd w:val="0"/>
              <w:snapToGrid w:val="0"/>
              <w:spacing w:line="500" w:lineRule="exact"/>
              <w:ind w:firstLine="480" w:firstLineChars="200"/>
              <w:rPr>
                <w:rFonts w:hint="eastAsia"/>
              </w:rPr>
            </w:pPr>
            <w:r>
              <w:rPr>
                <w:rFonts w:hint="eastAsia"/>
              </w:rPr>
              <w:t>（1）评价等级判断</w:t>
            </w:r>
          </w:p>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评价因子和评价标准筛选</w:t>
            </w:r>
          </w:p>
          <w:p>
            <w:pPr>
              <w:adjustRightInd w:val="0"/>
              <w:snapToGrid w:val="0"/>
              <w:spacing w:line="500" w:lineRule="exact"/>
              <w:ind w:firstLine="480" w:firstLineChars="200"/>
              <w:rPr>
                <w:rFonts w:hint="eastAsia"/>
              </w:rPr>
            </w:pPr>
            <w:r>
              <w:rPr>
                <w:rFonts w:hint="eastAsia"/>
              </w:rPr>
              <w:t>本项目评价因子和评价标准见下表。</w:t>
            </w:r>
          </w:p>
          <w:p>
            <w:pPr>
              <w:bidi w:val="0"/>
              <w:jc w:val="center"/>
              <w:rPr>
                <w:rFonts w:hint="eastAsia"/>
                <w:lang w:val="en-US" w:eastAsia="zh-CN"/>
              </w:rPr>
            </w:pPr>
            <w:r>
              <w:rPr>
                <w:rFonts w:hint="eastAsia"/>
                <w:b/>
                <w:bCs/>
                <w:lang w:val="en-US" w:eastAsia="zh-CN"/>
              </w:rPr>
              <w:t>表25        评价因子和评价标准</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9"/>
              <w:gridCol w:w="1305"/>
              <w:gridCol w:w="1614"/>
              <w:gridCol w:w="43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评价因子</w:t>
                  </w:r>
                </w:p>
              </w:tc>
              <w:tc>
                <w:tcPr>
                  <w:tcW w:w="1305"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平均时段</w:t>
                  </w:r>
                </w:p>
              </w:tc>
              <w:tc>
                <w:tcPr>
                  <w:tcW w:w="1614"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标准值（</w:t>
                  </w:r>
                  <w:r>
                    <w:rPr>
                      <w:sz w:val="21"/>
                      <w:szCs w:val="21"/>
                      <w:lang w:val="en-US" w:eastAsia="zh-CN"/>
                    </w:rPr>
                    <w:t>mg/m</w:t>
                  </w:r>
                  <w:r>
                    <w:rPr>
                      <w:sz w:val="21"/>
                      <w:szCs w:val="21"/>
                      <w:vertAlign w:val="superscript"/>
                      <w:lang w:val="en-US" w:eastAsia="zh-CN"/>
                    </w:rPr>
                    <w:t>3</w:t>
                  </w:r>
                  <w:r>
                    <w:rPr>
                      <w:rFonts w:hint="eastAsia"/>
                      <w:sz w:val="21"/>
                      <w:szCs w:val="21"/>
                      <w:lang w:val="en-US" w:eastAsia="zh-CN"/>
                    </w:rPr>
                    <w:t>）</w:t>
                  </w:r>
                </w:p>
              </w:tc>
              <w:tc>
                <w:tcPr>
                  <w:tcW w:w="4309"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rFonts w:hint="eastAsia"/>
                      <w:sz w:val="21"/>
                      <w:szCs w:val="21"/>
                      <w:lang w:val="en-US" w:eastAsia="zh-CN"/>
                    </w:rPr>
                  </w:pPr>
                  <w:r>
                    <w:rPr>
                      <w:rFonts w:hint="eastAsia"/>
                      <w:sz w:val="21"/>
                      <w:szCs w:val="21"/>
                      <w:lang w:val="en-US" w:eastAsia="zh-CN"/>
                    </w:rPr>
                    <w:t>非甲烷总烃</w:t>
                  </w:r>
                </w:p>
              </w:tc>
              <w:tc>
                <w:tcPr>
                  <w:tcW w:w="1305"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1小时平均</w:t>
                  </w:r>
                </w:p>
              </w:tc>
              <w:tc>
                <w:tcPr>
                  <w:tcW w:w="1614" w:type="dxa"/>
                  <w:noWrap w:val="0"/>
                  <w:vAlign w:val="center"/>
                </w:tcPr>
                <w:p>
                  <w:pPr>
                    <w:widowControl w:val="0"/>
                    <w:spacing w:line="240" w:lineRule="auto"/>
                    <w:ind w:firstLine="0" w:firstLineChars="0"/>
                    <w:jc w:val="center"/>
                    <w:rPr>
                      <w:rFonts w:hint="eastAsia"/>
                      <w:sz w:val="21"/>
                      <w:szCs w:val="21"/>
                      <w:lang w:val="en-US" w:eastAsia="zh-CN"/>
                    </w:rPr>
                  </w:pPr>
                  <w:r>
                    <w:rPr>
                      <w:rFonts w:hint="eastAsia"/>
                      <w:sz w:val="21"/>
                      <w:szCs w:val="21"/>
                      <w:lang w:val="en-US" w:eastAsia="zh-CN"/>
                    </w:rPr>
                    <w:t>2</w:t>
                  </w:r>
                </w:p>
              </w:tc>
              <w:tc>
                <w:tcPr>
                  <w:tcW w:w="4309" w:type="dxa"/>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《大气污染物综合排放标准详解》</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主要污染估算模型计算结果</w:t>
            </w:r>
          </w:p>
          <w:p>
            <w:pPr>
              <w:adjustRightInd w:val="0"/>
              <w:snapToGrid w:val="0"/>
              <w:spacing w:line="500" w:lineRule="exact"/>
              <w:ind w:firstLine="480" w:firstLineChars="200"/>
              <w:rPr>
                <w:rFonts w:hint="eastAsia"/>
              </w:rPr>
            </w:pPr>
            <w:r>
              <w:rPr>
                <w:rFonts w:hint="eastAsia"/>
              </w:rPr>
              <w:t>主要污染估算模型计算结果见下表。</w:t>
            </w:r>
          </w:p>
          <w:p>
            <w:pPr>
              <w:bidi w:val="0"/>
              <w:jc w:val="center"/>
              <w:rPr>
                <w:rFonts w:hint="default"/>
                <w:lang w:val="en-US" w:eastAsia="zh-CN"/>
              </w:rPr>
            </w:pPr>
            <w:r>
              <w:rPr>
                <w:rFonts w:hint="eastAsia"/>
                <w:b/>
                <w:bCs/>
                <w:lang w:val="en-US" w:eastAsia="zh-CN"/>
              </w:rPr>
              <w:t>表26 主要污染源（面源）估算模型计算结果表</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05"/>
              <w:gridCol w:w="2616"/>
              <w:gridCol w:w="23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下风向距离</w:t>
                  </w:r>
                  <w:r>
                    <w:rPr>
                      <w:lang w:val="en-US" w:eastAsia="zh-CN"/>
                    </w:rPr>
                    <w:t>/m</w:t>
                  </w:r>
                </w:p>
              </w:tc>
              <w:tc>
                <w:tcPr>
                  <w:tcW w:w="4972" w:type="dxa"/>
                  <w:gridSpan w:val="2"/>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1#车间  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2616" w:type="dxa"/>
                  <w:noWrap w:val="0"/>
                  <w:vAlign w:val="center"/>
                </w:tcPr>
                <w:p>
                  <w:pPr>
                    <w:widowControl w:val="0"/>
                    <w:spacing w:line="240" w:lineRule="auto"/>
                    <w:ind w:firstLine="0" w:firstLineChars="0"/>
                    <w:jc w:val="center"/>
                    <w:rPr>
                      <w:lang w:val="en-US" w:eastAsia="zh-CN"/>
                    </w:rPr>
                  </w:pPr>
                  <w:r>
                    <w:rPr>
                      <w:rFonts w:hint="eastAsia"/>
                      <w:lang w:val="en-US" w:eastAsia="zh-CN"/>
                    </w:rPr>
                    <w:t>预测质量浓度</w:t>
                  </w:r>
                  <w:r>
                    <w:rPr>
                      <w:lang w:val="en-US" w:eastAsia="zh-CN"/>
                    </w:rPr>
                    <w:t xml:space="preserve"> (mg/m</w:t>
                  </w:r>
                  <w:r>
                    <w:rPr>
                      <w:vertAlign w:val="superscript"/>
                      <w:lang w:val="en-US" w:eastAsia="zh-CN"/>
                    </w:rPr>
                    <w:t>3</w:t>
                  </w:r>
                  <w:r>
                    <w:rPr>
                      <w:lang w:val="en-US" w:eastAsia="zh-CN"/>
                    </w:rPr>
                    <w:t>)</w:t>
                  </w:r>
                </w:p>
              </w:tc>
              <w:tc>
                <w:tcPr>
                  <w:tcW w:w="235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占标率</w:t>
                  </w:r>
                  <w:r>
                    <w:rPr>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下风向最大质量浓度及占标率</w:t>
                  </w:r>
                </w:p>
              </w:tc>
              <w:tc>
                <w:tcPr>
                  <w:tcW w:w="2616" w:type="dxa"/>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0.11</w:t>
                  </w:r>
                </w:p>
              </w:tc>
              <w:tc>
                <w:tcPr>
                  <w:tcW w:w="2356" w:type="dxa"/>
                  <w:tcBorders>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评价等级</w:t>
                  </w:r>
                </w:p>
              </w:tc>
              <w:tc>
                <w:tcPr>
                  <w:tcW w:w="4972" w:type="dxa"/>
                  <w:gridSpan w:val="2"/>
                  <w:tcBorders>
                    <w:right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二级</w:t>
                  </w:r>
                </w:p>
              </w:tc>
            </w:tr>
          </w:tbl>
          <w:p>
            <w:pPr>
              <w:adjustRightInd w:val="0"/>
              <w:snapToGrid w:val="0"/>
              <w:spacing w:line="500" w:lineRule="exact"/>
              <w:ind w:firstLine="480" w:firstLineChars="200"/>
              <w:rPr>
                <w:rFonts w:hint="eastAsia"/>
              </w:rPr>
            </w:pPr>
            <w:r>
              <w:rPr>
                <w:rFonts w:hint="eastAsia"/>
              </w:rPr>
              <w:t>评价等级判别见下表。</w:t>
            </w:r>
          </w:p>
          <w:p>
            <w:pPr>
              <w:bidi w:val="0"/>
              <w:jc w:val="center"/>
              <w:rPr>
                <w:rFonts w:hint="eastAsia"/>
                <w:lang w:val="en-US" w:eastAsia="zh-CN"/>
              </w:rPr>
            </w:pPr>
            <w:r>
              <w:rPr>
                <w:rFonts w:hint="eastAsia"/>
                <w:b/>
                <w:bCs/>
                <w:lang w:val="en-US" w:eastAsia="zh-CN"/>
              </w:rPr>
              <w:t>表27    评价等级判别表</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5"/>
              <w:gridCol w:w="43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top w:val="single" w:color="auto" w:sz="8" w:space="0"/>
                  </w:tcBorders>
                  <w:noWrap w:val="0"/>
                  <w:vAlign w:val="center"/>
                </w:tcPr>
                <w:p>
                  <w:pPr>
                    <w:spacing w:line="240" w:lineRule="auto"/>
                    <w:ind w:firstLine="420" w:firstLineChars="0"/>
                    <w:jc w:val="center"/>
                  </w:pPr>
                  <w:r>
                    <w:rPr>
                      <w:rFonts w:hint="eastAsia"/>
                    </w:rPr>
                    <w:t>评价工作等级</w:t>
                  </w:r>
                </w:p>
              </w:tc>
              <w:tc>
                <w:tcPr>
                  <w:tcW w:w="4392" w:type="dxa"/>
                  <w:tcBorders>
                    <w:top w:val="single" w:color="auto" w:sz="8" w:space="0"/>
                    <w:right w:val="single" w:color="auto" w:sz="8" w:space="0"/>
                  </w:tcBorders>
                  <w:noWrap w:val="0"/>
                  <w:vAlign w:val="center"/>
                </w:tcPr>
                <w:p>
                  <w:pPr>
                    <w:spacing w:line="240" w:lineRule="auto"/>
                    <w:ind w:firstLine="420" w:firstLineChars="0"/>
                    <w:jc w:val="center"/>
                  </w:pPr>
                  <w:r>
                    <w:rPr>
                      <w:rFonts w:hint="eastAsia"/>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一级评价</w:t>
                  </w:r>
                </w:p>
              </w:tc>
              <w:tc>
                <w:tcPr>
                  <w:tcW w:w="4392" w:type="dxa"/>
                  <w:tcBorders>
                    <w:right w:val="single" w:color="auto" w:sz="8" w:space="0"/>
                  </w:tcBorders>
                  <w:noWrap w:val="0"/>
                  <w:vAlign w:val="center"/>
                </w:tcPr>
                <w:p>
                  <w:pPr>
                    <w:spacing w:line="240" w:lineRule="auto"/>
                    <w:ind w:firstLine="420" w:firstLineChars="0"/>
                    <w:jc w:val="center"/>
                  </w:pPr>
                  <w:r>
                    <w:t>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二级评价</w:t>
                  </w:r>
                </w:p>
              </w:tc>
              <w:tc>
                <w:tcPr>
                  <w:tcW w:w="4392" w:type="dxa"/>
                  <w:tcBorders>
                    <w:right w:val="single" w:color="auto" w:sz="8" w:space="0"/>
                  </w:tcBorders>
                  <w:noWrap w:val="0"/>
                  <w:vAlign w:val="center"/>
                </w:tcPr>
                <w:p>
                  <w:pPr>
                    <w:spacing w:line="240" w:lineRule="auto"/>
                    <w:ind w:firstLine="420" w:firstLineChars="0"/>
                    <w:jc w:val="center"/>
                  </w:pPr>
                  <w:r>
                    <w:t>1%≤Pmax≤10%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bottom w:val="single" w:color="auto" w:sz="8" w:space="0"/>
                  </w:tcBorders>
                  <w:noWrap w:val="0"/>
                  <w:vAlign w:val="center"/>
                </w:tcPr>
                <w:p>
                  <w:pPr>
                    <w:spacing w:line="240" w:lineRule="auto"/>
                    <w:ind w:firstLine="420" w:firstLineChars="0"/>
                    <w:jc w:val="center"/>
                  </w:pPr>
                  <w:r>
                    <w:rPr>
                      <w:rFonts w:hint="eastAsia"/>
                    </w:rPr>
                    <w:t>三级评价</w:t>
                  </w:r>
                </w:p>
              </w:tc>
              <w:tc>
                <w:tcPr>
                  <w:tcW w:w="4392" w:type="dxa"/>
                  <w:tcBorders>
                    <w:bottom w:val="single" w:color="auto" w:sz="8" w:space="0"/>
                    <w:right w:val="single" w:color="auto" w:sz="8" w:space="0"/>
                  </w:tcBorders>
                  <w:noWrap w:val="0"/>
                  <w:vAlign w:val="center"/>
                </w:tcPr>
                <w:p>
                  <w:pPr>
                    <w:spacing w:line="240" w:lineRule="auto"/>
                    <w:ind w:firstLine="420" w:firstLineChars="0"/>
                    <w:jc w:val="center"/>
                  </w:pPr>
                  <w:r>
                    <w:t>Pmax≤1%</w:t>
                  </w:r>
                </w:p>
              </w:tc>
            </w:tr>
          </w:tbl>
          <w:p>
            <w:pPr>
              <w:adjustRightInd w:val="0"/>
              <w:snapToGrid w:val="0"/>
              <w:spacing w:line="500" w:lineRule="exact"/>
              <w:ind w:firstLine="480" w:firstLineChars="200"/>
              <w:rPr>
                <w:rFonts w:hint="eastAsia"/>
              </w:rPr>
            </w:pPr>
            <w:r>
              <w:t>由上表可知，本项目评价工作为二级，评价范围为边长5km的矩形区域。项目污染物在各厂界浓度值满足《大气污染物综合排放标准》（GB16297-1996）表2中非甲烷总烃周界外浓度最高点4.0 mg/m³的要求，</w:t>
            </w:r>
            <w:r>
              <w:rPr>
                <w:rFonts w:hint="eastAsia"/>
              </w:rPr>
              <w:t>满足《加油站大气污染物排放标准》（GB20952-2007）中的油气控制浓度限值（≦25 mg/m</w:t>
            </w:r>
            <w:r>
              <w:rPr>
                <w:rFonts w:hint="eastAsia"/>
                <w:vertAlign w:val="superscript"/>
              </w:rPr>
              <w:t>3</w:t>
            </w:r>
            <w:r>
              <w:rPr>
                <w:rFonts w:hint="eastAsia"/>
              </w:rPr>
              <w:t>）</w:t>
            </w:r>
            <w:r>
              <w:t>的要求</w:t>
            </w:r>
            <w:r>
              <w:rPr>
                <w:rFonts w:hint="eastAsia"/>
              </w:rPr>
              <w:t>，</w:t>
            </w:r>
            <w:r>
              <w:t>以及河南省环境污染防治攻坚战领导小组办公室《关于全省开展工业企业挥发性有机物专项治理工作中排放建议值的通知》（豫环攻坚办[2017]162号）中企业边界挥发性有机物排放建议值</w:t>
            </w:r>
            <w:r>
              <w:rPr>
                <w:rFonts w:hint="eastAsia"/>
              </w:rPr>
              <w:t>非甲烷总烃</w:t>
            </w:r>
            <w:r>
              <w:t>2.0mg/m³的要求，因此本项目非甲烷总烃在</w:t>
            </w:r>
            <w:r>
              <w:rPr>
                <w:rFonts w:hint="eastAsia"/>
              </w:rPr>
              <w:t>各</w:t>
            </w:r>
            <w:r>
              <w:t>厂界均可达标排放</w:t>
            </w:r>
            <w:r>
              <w:rPr>
                <w:rFonts w:hint="eastAsia"/>
              </w:rPr>
              <w:t>。</w:t>
            </w:r>
          </w:p>
          <w:p>
            <w:pPr>
              <w:adjustRightInd w:val="0"/>
              <w:snapToGrid w:val="0"/>
              <w:spacing w:line="500" w:lineRule="exact"/>
              <w:ind w:firstLine="480" w:firstLineChars="200"/>
              <w:rPr>
                <w:rFonts w:hint="eastAsia"/>
              </w:rPr>
            </w:pPr>
            <w:r>
              <w:rPr>
                <w:rFonts w:hint="eastAsia"/>
              </w:rPr>
              <w:t>（2）污染物排放量核算</w:t>
            </w:r>
          </w:p>
          <w:p>
            <w:pPr>
              <w:adjustRightInd w:val="0"/>
              <w:snapToGrid w:val="0"/>
              <w:spacing w:line="500" w:lineRule="exact"/>
              <w:ind w:firstLine="480" w:firstLineChars="200"/>
              <w:rPr>
                <w:rFonts w:hint="eastAsia"/>
              </w:rPr>
            </w:pPr>
            <w:r>
              <w:rPr>
                <w:rFonts w:hint="eastAsia"/>
              </w:rPr>
              <w:t>本项目大气污染物排放量核算见下表。</w:t>
            </w:r>
          </w:p>
          <w:p>
            <w:pPr>
              <w:bidi w:val="0"/>
              <w:jc w:val="center"/>
              <w:rPr>
                <w:rFonts w:hint="eastAsia"/>
                <w:lang w:val="en-US" w:eastAsia="zh-CN"/>
              </w:rPr>
            </w:pPr>
            <w:bookmarkStart w:id="25" w:name="_Toc358359718"/>
            <w:bookmarkEnd w:id="25"/>
            <w:r>
              <w:rPr>
                <w:rFonts w:hint="eastAsia"/>
                <w:b/>
                <w:bCs/>
                <w:lang w:val="en-US" w:eastAsia="zh-CN"/>
              </w:rPr>
              <w:t>表28     大气污染物无组织排放量核算表</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949"/>
              <w:gridCol w:w="1376"/>
              <w:gridCol w:w="1863"/>
              <w:gridCol w:w="1831"/>
              <w:gridCol w:w="10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restart"/>
                  <w:tcBorders>
                    <w:top w:val="single" w:color="auto" w:sz="8" w:space="0"/>
                  </w:tcBorders>
                  <w:noWrap w:val="0"/>
                  <w:vAlign w:val="center"/>
                </w:tcPr>
                <w:p>
                  <w:pPr>
                    <w:pStyle w:val="11"/>
                    <w:bidi w:val="0"/>
                    <w:rPr>
                      <w:lang w:val="en-US" w:eastAsia="zh-CN"/>
                    </w:rPr>
                  </w:pPr>
                  <w:r>
                    <w:rPr>
                      <w:rFonts w:hint="eastAsia"/>
                      <w:lang w:val="en-US" w:eastAsia="zh-CN"/>
                    </w:rPr>
                    <w:t>产污环节</w:t>
                  </w:r>
                </w:p>
              </w:tc>
              <w:tc>
                <w:tcPr>
                  <w:tcW w:w="949" w:type="dxa"/>
                  <w:vMerge w:val="restart"/>
                  <w:tcBorders>
                    <w:top w:val="single" w:color="auto" w:sz="8" w:space="0"/>
                  </w:tcBorders>
                  <w:noWrap w:val="0"/>
                  <w:vAlign w:val="center"/>
                </w:tcPr>
                <w:p>
                  <w:pPr>
                    <w:pStyle w:val="11"/>
                    <w:bidi w:val="0"/>
                    <w:rPr>
                      <w:lang w:val="en-US" w:eastAsia="zh-CN"/>
                    </w:rPr>
                  </w:pPr>
                  <w:r>
                    <w:rPr>
                      <w:rFonts w:hint="eastAsia"/>
                      <w:lang w:val="en-US" w:eastAsia="zh-CN"/>
                    </w:rPr>
                    <w:t>污染物</w:t>
                  </w:r>
                </w:p>
              </w:tc>
              <w:tc>
                <w:tcPr>
                  <w:tcW w:w="1376" w:type="dxa"/>
                  <w:vMerge w:val="restart"/>
                  <w:tcBorders>
                    <w:top w:val="single" w:color="auto" w:sz="8" w:space="0"/>
                  </w:tcBorders>
                  <w:noWrap w:val="0"/>
                  <w:vAlign w:val="center"/>
                </w:tcPr>
                <w:p>
                  <w:pPr>
                    <w:pStyle w:val="11"/>
                    <w:bidi w:val="0"/>
                    <w:rPr>
                      <w:lang w:val="en-US" w:eastAsia="zh-CN"/>
                    </w:rPr>
                  </w:pPr>
                  <w:r>
                    <w:rPr>
                      <w:rFonts w:hint="eastAsia"/>
                      <w:lang w:val="en-US" w:eastAsia="zh-CN"/>
                    </w:rPr>
                    <w:t>主要污染防治措施</w:t>
                  </w:r>
                </w:p>
              </w:tc>
              <w:tc>
                <w:tcPr>
                  <w:tcW w:w="3694" w:type="dxa"/>
                  <w:gridSpan w:val="2"/>
                  <w:tcBorders>
                    <w:top w:val="single" w:color="auto" w:sz="8" w:space="0"/>
                  </w:tcBorders>
                  <w:noWrap w:val="0"/>
                  <w:vAlign w:val="center"/>
                </w:tcPr>
                <w:p>
                  <w:pPr>
                    <w:pStyle w:val="11"/>
                    <w:bidi w:val="0"/>
                    <w:rPr>
                      <w:lang w:val="en-US" w:eastAsia="zh-CN"/>
                    </w:rPr>
                  </w:pPr>
                  <w:r>
                    <w:rPr>
                      <w:rFonts w:hint="eastAsia"/>
                      <w:lang w:val="en-US" w:eastAsia="zh-CN"/>
                    </w:rPr>
                    <w:t>国家或地方污染物排放标准</w:t>
                  </w:r>
                </w:p>
              </w:tc>
              <w:tc>
                <w:tcPr>
                  <w:tcW w:w="1071" w:type="dxa"/>
                  <w:vMerge w:val="restart"/>
                  <w:tcBorders>
                    <w:top w:val="single" w:color="auto" w:sz="8" w:space="0"/>
                    <w:right w:val="single" w:color="auto" w:sz="8" w:space="0"/>
                  </w:tcBorders>
                  <w:noWrap w:val="0"/>
                  <w:vAlign w:val="center"/>
                </w:tcPr>
                <w:p>
                  <w:pPr>
                    <w:pStyle w:val="11"/>
                    <w:bidi w:val="0"/>
                    <w:rPr>
                      <w:lang w:val="en-US" w:eastAsia="zh-CN"/>
                    </w:rPr>
                  </w:pPr>
                  <w:r>
                    <w:rPr>
                      <w:rFonts w:hint="eastAsia"/>
                      <w:lang w:val="en-US" w:eastAsia="zh-CN"/>
                    </w:rPr>
                    <w:t>年排放量</w:t>
                  </w:r>
                  <w:r>
                    <w:rPr>
                      <w:lang w:val="en-US" w:eastAsia="zh-CN"/>
                    </w:rPr>
                    <w:t>/</w:t>
                  </w:r>
                  <w:r>
                    <w:rPr>
                      <w:rFonts w:hint="eastAsia"/>
                      <w:lang w:val="en-US" w:eastAsia="zh-CN"/>
                    </w:rPr>
                    <w:t>（</w:t>
                  </w:r>
                  <w:r>
                    <w:rPr>
                      <w:lang w:val="en-US" w:eastAsia="zh-CN"/>
                    </w:rPr>
                    <w:t>t/a</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continue"/>
                  <w:tcBorders>
                    <w:left w:val="single" w:color="auto" w:sz="4" w:space="0"/>
                  </w:tcBorders>
                  <w:noWrap w:val="0"/>
                  <w:vAlign w:val="center"/>
                </w:tcPr>
                <w:p>
                  <w:pPr>
                    <w:pStyle w:val="11"/>
                    <w:bidi w:val="0"/>
                    <w:rPr>
                      <w:lang w:val="en-US" w:eastAsia="zh-CN"/>
                    </w:rPr>
                  </w:pPr>
                </w:p>
              </w:tc>
              <w:tc>
                <w:tcPr>
                  <w:tcW w:w="949" w:type="dxa"/>
                  <w:vMerge w:val="continue"/>
                  <w:noWrap w:val="0"/>
                  <w:vAlign w:val="center"/>
                </w:tcPr>
                <w:p>
                  <w:pPr>
                    <w:pStyle w:val="11"/>
                    <w:bidi w:val="0"/>
                    <w:rPr>
                      <w:lang w:val="en-US" w:eastAsia="zh-CN"/>
                    </w:rPr>
                  </w:pPr>
                </w:p>
              </w:tc>
              <w:tc>
                <w:tcPr>
                  <w:tcW w:w="1376" w:type="dxa"/>
                  <w:vMerge w:val="continue"/>
                  <w:noWrap w:val="0"/>
                  <w:vAlign w:val="center"/>
                </w:tcPr>
                <w:p>
                  <w:pPr>
                    <w:pStyle w:val="11"/>
                    <w:bidi w:val="0"/>
                    <w:rPr>
                      <w:lang w:val="en-US" w:eastAsia="zh-CN"/>
                    </w:rPr>
                  </w:pPr>
                </w:p>
              </w:tc>
              <w:tc>
                <w:tcPr>
                  <w:tcW w:w="1863" w:type="dxa"/>
                  <w:noWrap w:val="0"/>
                  <w:vAlign w:val="center"/>
                </w:tcPr>
                <w:p>
                  <w:pPr>
                    <w:pStyle w:val="11"/>
                    <w:bidi w:val="0"/>
                    <w:rPr>
                      <w:lang w:val="en-US" w:eastAsia="zh-CN"/>
                    </w:rPr>
                  </w:pPr>
                  <w:r>
                    <w:rPr>
                      <w:rFonts w:hint="eastAsia"/>
                      <w:lang w:val="en-US" w:eastAsia="zh-CN"/>
                    </w:rPr>
                    <w:t>标准名称</w:t>
                  </w:r>
                </w:p>
              </w:tc>
              <w:tc>
                <w:tcPr>
                  <w:tcW w:w="1831" w:type="dxa"/>
                  <w:noWrap w:val="0"/>
                  <w:vAlign w:val="center"/>
                </w:tcPr>
                <w:p>
                  <w:pPr>
                    <w:pStyle w:val="11"/>
                    <w:bidi w:val="0"/>
                    <w:rPr>
                      <w:lang w:val="en-US" w:eastAsia="zh-CN"/>
                    </w:rPr>
                  </w:pPr>
                  <w:r>
                    <w:rPr>
                      <w:rFonts w:hint="eastAsia"/>
                      <w:lang w:val="en-US" w:eastAsia="zh-CN"/>
                    </w:rPr>
                    <w:t>浓度限值</w:t>
                  </w:r>
                  <w:r>
                    <w:rPr>
                      <w:lang w:val="en-US" w:eastAsia="zh-CN"/>
                    </w:rPr>
                    <w:t>(mg/m</w:t>
                  </w:r>
                  <w:r>
                    <w:rPr>
                      <w:vertAlign w:val="superscript"/>
                      <w:lang w:val="en-US" w:eastAsia="zh-CN"/>
                    </w:rPr>
                    <w:t>3</w:t>
                  </w:r>
                  <w:r>
                    <w:rPr>
                      <w:lang w:val="en-US" w:eastAsia="zh-CN"/>
                    </w:rPr>
                    <w:t>)</w:t>
                  </w:r>
                </w:p>
              </w:tc>
              <w:tc>
                <w:tcPr>
                  <w:tcW w:w="1071" w:type="dxa"/>
                  <w:vMerge w:val="continue"/>
                  <w:tcBorders>
                    <w:right w:val="single" w:color="auto" w:sz="8" w:space="0"/>
                  </w:tcBorders>
                  <w:noWrap w:val="0"/>
                  <w:vAlign w:val="center"/>
                </w:tcPr>
                <w:p>
                  <w:pPr>
                    <w:pStyle w:val="11"/>
                    <w:bidi w:val="0"/>
                    <w:rPr>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1" w:hRule="atLeast"/>
                <w:jc w:val="center"/>
              </w:trPr>
              <w:tc>
                <w:tcPr>
                  <w:tcW w:w="1187" w:type="dxa"/>
                  <w:tcBorders>
                    <w:left w:val="single" w:color="auto" w:sz="4" w:space="0"/>
                    <w:bottom w:val="single" w:color="auto" w:sz="8" w:space="0"/>
                  </w:tcBorders>
                  <w:noWrap w:val="0"/>
                  <w:vAlign w:val="center"/>
                </w:tcPr>
                <w:p>
                  <w:pPr>
                    <w:pStyle w:val="11"/>
                    <w:bidi w:val="0"/>
                    <w:rPr>
                      <w:rFonts w:hint="eastAsia"/>
                      <w:lang w:val="en-US" w:eastAsia="zh-CN"/>
                    </w:rPr>
                  </w:pPr>
                  <w:r>
                    <w:rPr>
                      <w:rFonts w:hint="eastAsia"/>
                      <w:lang w:val="en-US" w:eastAsia="zh-CN"/>
                    </w:rPr>
                    <w:t>加油站</w:t>
                  </w:r>
                </w:p>
              </w:tc>
              <w:tc>
                <w:tcPr>
                  <w:tcW w:w="949" w:type="dxa"/>
                  <w:tcBorders>
                    <w:bottom w:val="single" w:color="auto" w:sz="8" w:space="0"/>
                  </w:tcBorders>
                  <w:noWrap w:val="0"/>
                  <w:vAlign w:val="center"/>
                </w:tcPr>
                <w:p>
                  <w:pPr>
                    <w:pStyle w:val="11"/>
                    <w:bidi w:val="0"/>
                    <w:rPr>
                      <w:rFonts w:hint="eastAsia"/>
                      <w:lang w:val="en-US" w:eastAsia="zh-CN"/>
                    </w:rPr>
                  </w:pPr>
                  <w:r>
                    <w:rPr>
                      <w:rFonts w:hint="eastAsia"/>
                      <w:lang w:val="en-US" w:eastAsia="zh-CN"/>
                    </w:rPr>
                    <w:t>非甲烷总烃</w:t>
                  </w:r>
                </w:p>
              </w:tc>
              <w:tc>
                <w:tcPr>
                  <w:tcW w:w="1376" w:type="dxa"/>
                  <w:tcBorders>
                    <w:bottom w:val="single" w:color="auto" w:sz="8" w:space="0"/>
                  </w:tcBorders>
                  <w:noWrap w:val="0"/>
                  <w:vAlign w:val="center"/>
                </w:tcPr>
                <w:p>
                  <w:pPr>
                    <w:pStyle w:val="11"/>
                    <w:bidi w:val="0"/>
                    <w:rPr>
                      <w:rFonts w:hint="eastAsia"/>
                      <w:lang w:val="en-US" w:eastAsia="zh-CN"/>
                    </w:rPr>
                  </w:pPr>
                  <w:r>
                    <w:rPr>
                      <w:rFonts w:hint="eastAsia"/>
                      <w:lang w:val="en-US" w:eastAsia="zh-CN"/>
                    </w:rPr>
                    <w:t>油气回收系统</w:t>
                  </w:r>
                </w:p>
              </w:tc>
              <w:tc>
                <w:tcPr>
                  <w:tcW w:w="1863" w:type="dxa"/>
                  <w:tcBorders>
                    <w:bottom w:val="single" w:color="auto" w:sz="8" w:space="0"/>
                  </w:tcBorders>
                  <w:noWrap w:val="0"/>
                  <w:vAlign w:val="center"/>
                </w:tcPr>
                <w:p>
                  <w:pPr>
                    <w:pStyle w:val="11"/>
                    <w:bidi w:val="0"/>
                    <w:rPr>
                      <w:lang w:val="en-US" w:eastAsia="zh-CN"/>
                    </w:rPr>
                  </w:pPr>
                  <w:r>
                    <w:rPr>
                      <w:rFonts w:hint="eastAsia"/>
                      <w:lang w:val="en-US" w:eastAsia="zh-CN"/>
                    </w:rPr>
                    <w:t>豫环攻坚办[</w:t>
                  </w:r>
                  <w:r>
                    <w:rPr>
                      <w:lang w:val="en-US" w:eastAsia="zh-CN"/>
                    </w:rPr>
                    <w:t>2017]162</w:t>
                  </w:r>
                </w:p>
              </w:tc>
              <w:tc>
                <w:tcPr>
                  <w:tcW w:w="1831" w:type="dxa"/>
                  <w:tcBorders>
                    <w:bottom w:val="single" w:color="auto" w:sz="8" w:space="0"/>
                  </w:tcBorders>
                  <w:noWrap w:val="0"/>
                  <w:vAlign w:val="center"/>
                </w:tcPr>
                <w:p>
                  <w:pPr>
                    <w:pStyle w:val="11"/>
                    <w:bidi w:val="0"/>
                    <w:rPr>
                      <w:lang w:val="en-US" w:eastAsia="zh-CN"/>
                    </w:rPr>
                  </w:pPr>
                  <w:r>
                    <w:rPr>
                      <w:rFonts w:hint="eastAsia"/>
                      <w:lang w:val="en-US" w:eastAsia="zh-CN"/>
                    </w:rPr>
                    <w:t>2.</w:t>
                  </w:r>
                  <w:r>
                    <w:rPr>
                      <w:lang w:val="en-US" w:eastAsia="zh-CN"/>
                    </w:rPr>
                    <w:t>0mg/m</w:t>
                  </w:r>
                  <w:r>
                    <w:rPr>
                      <w:vertAlign w:val="superscript"/>
                      <w:lang w:val="en-US" w:eastAsia="zh-CN"/>
                    </w:rPr>
                    <w:t>3</w:t>
                  </w:r>
                </w:p>
              </w:tc>
              <w:tc>
                <w:tcPr>
                  <w:tcW w:w="1071" w:type="dxa"/>
                  <w:tcBorders>
                    <w:bottom w:val="single" w:color="auto" w:sz="8" w:space="0"/>
                    <w:right w:val="single" w:color="auto" w:sz="8" w:space="0"/>
                  </w:tcBorders>
                  <w:noWrap w:val="0"/>
                  <w:vAlign w:val="center"/>
                </w:tcPr>
                <w:p>
                  <w:pPr>
                    <w:pStyle w:val="11"/>
                    <w:bidi w:val="0"/>
                    <w:rPr>
                      <w:rFonts w:hint="default"/>
                      <w:lang w:val="en-US" w:eastAsia="zh-CN"/>
                    </w:rPr>
                  </w:pPr>
                  <w:r>
                    <w:rPr>
                      <w:rFonts w:hint="eastAsia"/>
                      <w:lang w:val="en-US" w:eastAsia="zh-CN"/>
                    </w:rPr>
                    <w:t>0.176</w:t>
                  </w:r>
                </w:p>
              </w:tc>
            </w:tr>
          </w:tbl>
          <w:p>
            <w:pPr>
              <w:adjustRightInd w:val="0"/>
              <w:snapToGrid w:val="0"/>
              <w:spacing w:line="500" w:lineRule="exact"/>
              <w:ind w:firstLine="480" w:firstLineChars="200"/>
              <w:rPr>
                <w:rFonts w:hint="eastAsia"/>
              </w:rPr>
            </w:pPr>
            <w:r>
              <w:rPr>
                <w:rFonts w:hint="eastAsia"/>
              </w:rPr>
              <w:t>（3）环境监测计划</w:t>
            </w:r>
          </w:p>
          <w:p>
            <w:pPr>
              <w:adjustRightInd w:val="0"/>
              <w:snapToGrid w:val="0"/>
              <w:spacing w:line="500" w:lineRule="exact"/>
              <w:ind w:firstLine="480" w:firstLineChars="200"/>
              <w:rPr>
                <w:rFonts w:hint="eastAsia"/>
              </w:rPr>
            </w:pPr>
            <w:r>
              <w:rPr>
                <w:rFonts w:hint="eastAsia"/>
              </w:rPr>
              <w:t>本项目污染源监测计划见下表。</w:t>
            </w:r>
          </w:p>
          <w:p>
            <w:pPr>
              <w:bidi w:val="0"/>
              <w:jc w:val="center"/>
              <w:rPr>
                <w:rFonts w:hint="eastAsia"/>
                <w:lang w:val="en-US" w:eastAsia="zh-CN"/>
              </w:rPr>
            </w:pPr>
            <w:r>
              <w:rPr>
                <w:rFonts w:hint="eastAsia"/>
                <w:b/>
                <w:bCs/>
                <w:lang w:val="en-US" w:eastAsia="zh-CN"/>
              </w:rPr>
              <w:t>表29    无组织排放废气监测计划表</w:t>
            </w:r>
          </w:p>
          <w:tbl>
            <w:tblPr>
              <w:tblStyle w:val="22"/>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8"/>
              <w:gridCol w:w="1397"/>
              <w:gridCol w:w="1605"/>
              <w:gridCol w:w="33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18" w:type="dxa"/>
                  <w:tcBorders>
                    <w:top w:val="single" w:color="auto" w:sz="8" w:space="0"/>
                  </w:tcBorders>
                  <w:noWrap w:val="0"/>
                  <w:vAlign w:val="center"/>
                </w:tcPr>
                <w:p>
                  <w:pPr>
                    <w:pStyle w:val="11"/>
                    <w:bidi w:val="0"/>
                    <w:jc w:val="center"/>
                    <w:rPr>
                      <w:lang w:val="en-US" w:eastAsia="zh-CN"/>
                    </w:rPr>
                  </w:pPr>
                  <w:r>
                    <w:rPr>
                      <w:rFonts w:hint="eastAsia"/>
                      <w:lang w:val="en-US" w:eastAsia="zh-CN"/>
                    </w:rPr>
                    <w:t>监测点位</w:t>
                  </w:r>
                </w:p>
              </w:tc>
              <w:tc>
                <w:tcPr>
                  <w:tcW w:w="1397" w:type="dxa"/>
                  <w:tcBorders>
                    <w:top w:val="single" w:color="auto" w:sz="8" w:space="0"/>
                  </w:tcBorders>
                  <w:noWrap w:val="0"/>
                  <w:vAlign w:val="center"/>
                </w:tcPr>
                <w:p>
                  <w:pPr>
                    <w:pStyle w:val="11"/>
                    <w:bidi w:val="0"/>
                    <w:jc w:val="center"/>
                    <w:rPr>
                      <w:lang w:val="en-US" w:eastAsia="zh-CN"/>
                    </w:rPr>
                  </w:pPr>
                  <w:r>
                    <w:rPr>
                      <w:rFonts w:hint="eastAsia"/>
                      <w:lang w:val="en-US" w:eastAsia="zh-CN"/>
                    </w:rPr>
                    <w:t>监测指标</w:t>
                  </w:r>
                </w:p>
              </w:tc>
              <w:tc>
                <w:tcPr>
                  <w:tcW w:w="1605" w:type="dxa"/>
                  <w:tcBorders>
                    <w:top w:val="single" w:color="auto" w:sz="8" w:space="0"/>
                  </w:tcBorders>
                  <w:noWrap w:val="0"/>
                  <w:vAlign w:val="center"/>
                </w:tcPr>
                <w:p>
                  <w:pPr>
                    <w:pStyle w:val="11"/>
                    <w:bidi w:val="0"/>
                    <w:jc w:val="center"/>
                    <w:rPr>
                      <w:lang w:val="en-US" w:eastAsia="zh-CN"/>
                    </w:rPr>
                  </w:pPr>
                  <w:r>
                    <w:rPr>
                      <w:rFonts w:hint="eastAsia"/>
                      <w:lang w:val="en-US" w:eastAsia="zh-CN"/>
                    </w:rPr>
                    <w:t>监测频次</w:t>
                  </w:r>
                </w:p>
              </w:tc>
              <w:tc>
                <w:tcPr>
                  <w:tcW w:w="3357" w:type="dxa"/>
                  <w:tcBorders>
                    <w:top w:val="single" w:color="auto" w:sz="8" w:space="0"/>
                    <w:right w:val="single" w:color="auto" w:sz="8" w:space="0"/>
                  </w:tcBorders>
                  <w:noWrap w:val="0"/>
                  <w:vAlign w:val="center"/>
                </w:tcPr>
                <w:p>
                  <w:pPr>
                    <w:pStyle w:val="11"/>
                    <w:bidi w:val="0"/>
                    <w:jc w:val="center"/>
                    <w:rPr>
                      <w:lang w:val="en-US" w:eastAsia="zh-CN"/>
                    </w:rPr>
                  </w:pPr>
                  <w:r>
                    <w:rPr>
                      <w:rFonts w:hint="eastAsia"/>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18" w:type="dxa"/>
                  <w:tcBorders>
                    <w:left w:val="single" w:color="auto" w:sz="4" w:space="0"/>
                    <w:bottom w:val="single" w:color="auto" w:sz="8" w:space="0"/>
                  </w:tcBorders>
                  <w:noWrap w:val="0"/>
                  <w:vAlign w:val="center"/>
                </w:tcPr>
                <w:p>
                  <w:pPr>
                    <w:pStyle w:val="11"/>
                    <w:bidi w:val="0"/>
                    <w:jc w:val="center"/>
                    <w:rPr>
                      <w:lang w:val="en-US" w:eastAsia="zh-CN"/>
                    </w:rPr>
                  </w:pPr>
                  <w:r>
                    <w:rPr>
                      <w:rFonts w:hint="eastAsia"/>
                      <w:lang w:val="en-US" w:eastAsia="zh-CN"/>
                    </w:rPr>
                    <w:t>厂界外上风向一个点，厂界外下风向三个点</w:t>
                  </w:r>
                </w:p>
              </w:tc>
              <w:tc>
                <w:tcPr>
                  <w:tcW w:w="1397" w:type="dxa"/>
                  <w:tcBorders>
                    <w:bottom w:val="single" w:color="auto" w:sz="8" w:space="0"/>
                  </w:tcBorders>
                  <w:noWrap w:val="0"/>
                  <w:vAlign w:val="center"/>
                </w:tcPr>
                <w:p>
                  <w:pPr>
                    <w:pStyle w:val="11"/>
                    <w:bidi w:val="0"/>
                    <w:jc w:val="center"/>
                    <w:rPr>
                      <w:rFonts w:hint="eastAsia"/>
                      <w:lang w:val="en-US" w:eastAsia="zh-CN"/>
                    </w:rPr>
                  </w:pPr>
                  <w:r>
                    <w:rPr>
                      <w:rFonts w:hint="eastAsia"/>
                      <w:lang w:val="en-US" w:eastAsia="zh-CN"/>
                    </w:rPr>
                    <w:t>非甲烷总烃</w:t>
                  </w:r>
                </w:p>
              </w:tc>
              <w:tc>
                <w:tcPr>
                  <w:tcW w:w="1605" w:type="dxa"/>
                  <w:tcBorders>
                    <w:bottom w:val="single" w:color="auto" w:sz="8" w:space="0"/>
                  </w:tcBorders>
                  <w:noWrap w:val="0"/>
                  <w:vAlign w:val="center"/>
                </w:tcPr>
                <w:p>
                  <w:pPr>
                    <w:pStyle w:val="11"/>
                    <w:bidi w:val="0"/>
                    <w:jc w:val="center"/>
                    <w:rPr>
                      <w:lang w:val="en-US" w:eastAsia="zh-CN"/>
                    </w:rPr>
                  </w:pPr>
                  <w:r>
                    <w:rPr>
                      <w:lang w:val="en-US" w:eastAsia="zh-CN"/>
                    </w:rPr>
                    <w:t>1</w:t>
                  </w:r>
                  <w:r>
                    <w:rPr>
                      <w:rFonts w:hint="eastAsia"/>
                      <w:lang w:val="en-US" w:eastAsia="zh-CN"/>
                    </w:rPr>
                    <w:t>次</w:t>
                  </w:r>
                  <w:r>
                    <w:rPr>
                      <w:lang w:val="en-US" w:eastAsia="zh-CN"/>
                    </w:rPr>
                    <w:t>/</w:t>
                  </w:r>
                  <w:r>
                    <w:rPr>
                      <w:rFonts w:hint="eastAsia"/>
                      <w:lang w:val="en-US" w:eastAsia="zh-CN"/>
                    </w:rPr>
                    <w:t>年</w:t>
                  </w:r>
                </w:p>
              </w:tc>
              <w:tc>
                <w:tcPr>
                  <w:tcW w:w="3357" w:type="dxa"/>
                  <w:tcBorders>
                    <w:bottom w:val="single" w:color="auto" w:sz="8" w:space="0"/>
                    <w:right w:val="single" w:color="auto" w:sz="8" w:space="0"/>
                  </w:tcBorders>
                  <w:noWrap w:val="0"/>
                  <w:vAlign w:val="center"/>
                </w:tcPr>
                <w:p>
                  <w:pPr>
                    <w:pStyle w:val="11"/>
                    <w:bidi w:val="0"/>
                    <w:jc w:val="center"/>
                    <w:rPr>
                      <w:lang w:val="en-US" w:eastAsia="zh-CN"/>
                    </w:rPr>
                  </w:pPr>
                  <w:r>
                    <w:rPr>
                      <w:rFonts w:hint="eastAsia"/>
                      <w:lang w:val="en-US" w:eastAsia="zh-CN"/>
                    </w:rPr>
                    <w:t>豫环攻坚办[</w:t>
                  </w:r>
                  <w:r>
                    <w:rPr>
                      <w:lang w:val="en-US" w:eastAsia="zh-CN"/>
                    </w:rPr>
                    <w:t>2017]162</w:t>
                  </w:r>
                </w:p>
              </w:tc>
            </w:tr>
          </w:tbl>
          <w:p>
            <w:pPr>
              <w:keepNext w:val="0"/>
              <w:keepLines w:val="0"/>
              <w:pageBreakBefore w:val="0"/>
              <w:widowControl/>
              <w:numPr>
                <w:ilvl w:val="0"/>
                <w:numId w:val="0"/>
              </w:numPr>
              <w:kinsoku/>
              <w:wordWrap/>
              <w:overflowPunct/>
              <w:topLinePunct w:val="0"/>
              <w:autoSpaceDE/>
              <w:autoSpaceDN/>
              <w:bidi w:val="0"/>
              <w:adjustRightInd/>
              <w:snapToGrid/>
              <w:spacing w:before="157" w:beforeLines="50" w:beforeAutospacing="0" w:after="0" w:afterAutospacing="0" w:line="360" w:lineRule="auto"/>
              <w:ind w:firstLine="480" w:firstLineChars="200"/>
              <w:jc w:val="left"/>
              <w:textAlignment w:val="auto"/>
              <w:rPr>
                <w:rFonts w:hint="default"/>
                <w:lang w:val="en-US" w:eastAsia="zh-CN"/>
              </w:rPr>
            </w:pPr>
            <w:r>
              <w:rPr>
                <w:rFonts w:hint="default"/>
                <w:lang w:val="en-US" w:eastAsia="zh-CN"/>
              </w:rPr>
              <w:t>（4）《“十三五”挥发性有机物污染防治工作方案》分析</w:t>
            </w:r>
          </w:p>
          <w:p>
            <w:pPr>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rPr>
                <w:lang w:val="en-US" w:eastAsia="zh-CN"/>
              </w:rPr>
            </w:pPr>
            <w:r>
              <w:rPr>
                <w:rFonts w:hint="eastAsia"/>
                <w:lang w:val="en-US" w:eastAsia="zh-CN"/>
              </w:rPr>
              <w:t>该《方案》要求，</w:t>
            </w:r>
            <w:r>
              <w:rPr>
                <w:lang w:val="en-US" w:eastAsia="zh-CN"/>
              </w:rPr>
              <w:t>全面加强油品储运销油气回收治理。全面加强汽油储运销油气排放控制，重点地区逐步推进港口储存和装卸、油品装船油气回收治理任务。</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baseline"/>
            </w:pPr>
            <w:r>
              <w:t>加强汽油储运销油气排放控制。减少油品周转次数。严格按照排放标准要求，加快完成加油站、储油库、油罐车油气回收治理工作，重点地区全面推进行政区域内所有加油站油气回收治理。建设油气回收自动监测系统平台，储油库和年销售汽油量大于5000吨的加油站加快安装油气回收自动监测设备。制定加油站、储油库油气回收自动监测系统技术规范，企业要加强对油气回收系统外观检测和仪器检测，确保油气回收系统正常运转。</w:t>
            </w:r>
            <w:r>
              <w:rPr>
                <w:rFonts w:hint="eastAsia"/>
              </w:rPr>
              <w:t>本项目属于</w:t>
            </w:r>
            <w:r>
              <w:t>年销售汽油量</w:t>
            </w:r>
            <w:r>
              <w:rPr>
                <w:rFonts w:hint="eastAsia"/>
              </w:rPr>
              <w:t>小</w:t>
            </w:r>
            <w:r>
              <w:t>于5000吨的加油站不用安装油气回收在线监测设备。</w:t>
            </w:r>
          </w:p>
          <w:p>
            <w:pPr>
              <w:adjustRightInd w:val="0"/>
              <w:snapToGrid w:val="0"/>
              <w:spacing w:line="500" w:lineRule="exact"/>
              <w:ind w:firstLine="0" w:firstLineChars="0"/>
              <w:textAlignment w:val="baseline"/>
              <w:outlineLvl w:val="3"/>
            </w:pPr>
            <w:r>
              <w:rPr>
                <w:b/>
                <w:bCs/>
              </w:rPr>
              <w:t>2.2</w:t>
            </w:r>
            <w:r>
              <w:rPr>
                <w:rFonts w:hint="eastAsia"/>
                <w:b/>
                <w:bCs/>
              </w:rPr>
              <w:t>、</w:t>
            </w:r>
            <w:r>
              <w:rPr>
                <w:b/>
                <w:bCs/>
              </w:rPr>
              <w:t>水环境</w:t>
            </w:r>
            <w:r>
              <w:rPr>
                <w:rFonts w:hint="eastAsia"/>
                <w:b/>
                <w:bCs/>
              </w:rPr>
              <w:t>影响</w:t>
            </w:r>
            <w:r>
              <w:rPr>
                <w:b/>
                <w:bCs/>
              </w:rPr>
              <w:t>分析</w:t>
            </w:r>
          </w:p>
          <w:p>
            <w:pPr>
              <w:adjustRightInd w:val="0"/>
              <w:snapToGrid w:val="0"/>
              <w:spacing w:line="500" w:lineRule="exact"/>
              <w:ind w:firstLine="480" w:firstLineChars="200"/>
            </w:pPr>
            <w:r>
              <w:rPr>
                <w:rFonts w:hint="eastAsia"/>
              </w:rPr>
              <w:t>（一）地表水环境影响分析</w:t>
            </w:r>
          </w:p>
          <w:p>
            <w:pPr>
              <w:widowControl w:val="0"/>
              <w:spacing w:line="520" w:lineRule="exact"/>
              <w:ind w:firstLine="482" w:firstLineChars="200"/>
              <w:jc w:val="both"/>
              <w:rPr>
                <w:lang w:val="en-US" w:eastAsia="zh-CN"/>
              </w:rPr>
            </w:pPr>
            <w:r>
              <w:rPr>
                <w:b/>
                <w:bCs/>
                <w:u w:val="single"/>
                <w:lang w:val="en-US" w:eastAsia="zh-CN"/>
              </w:rPr>
              <w:t>项目储油罐每5年由专业的清洗公司清理一次，</w:t>
            </w:r>
            <w:r>
              <w:rPr>
                <w:rFonts w:hint="eastAsia"/>
                <w:b/>
                <w:bCs/>
                <w:u w:val="single"/>
                <w:lang w:val="en-US" w:eastAsia="zh-CN"/>
              </w:rPr>
              <w:t>清洗过程采用</w:t>
            </w:r>
            <w:r>
              <w:rPr>
                <w:b/>
                <w:bCs/>
                <w:u w:val="single"/>
                <w:lang w:val="en-US" w:eastAsia="zh-CN"/>
              </w:rPr>
              <w:t>COW原油清洗工艺</w:t>
            </w:r>
            <w:r>
              <w:rPr>
                <w:rFonts w:hint="eastAsia"/>
                <w:b/>
                <w:bCs/>
                <w:u w:val="single"/>
                <w:lang w:val="en-US" w:eastAsia="zh-CN"/>
              </w:rPr>
              <w:t>，此工艺</w:t>
            </w:r>
            <w:r>
              <w:rPr>
                <w:b/>
                <w:bCs/>
                <w:u w:val="single"/>
                <w:lang w:val="en-US" w:eastAsia="zh-CN"/>
              </w:rPr>
              <w:t>利用喷射清洗机将清洗介质</w:t>
            </w:r>
            <w:r>
              <w:rPr>
                <w:rFonts w:hint="eastAsia"/>
                <w:b/>
                <w:bCs/>
                <w:u w:val="single"/>
                <w:lang w:val="en-US" w:eastAsia="zh-CN"/>
              </w:rPr>
              <w:t>（原油）</w:t>
            </w:r>
            <w:r>
              <w:rPr>
                <w:b/>
                <w:bCs/>
                <w:u w:val="single"/>
                <w:lang w:val="en-US" w:eastAsia="zh-CN"/>
              </w:rPr>
              <w:t>在一定的温度、压力和流量下喷射到</w:t>
            </w:r>
            <w:r>
              <w:rPr>
                <w:rFonts w:hint="eastAsia"/>
                <w:b/>
                <w:bCs/>
                <w:u w:val="single"/>
                <w:lang w:val="en-US" w:eastAsia="zh-CN"/>
              </w:rPr>
              <w:t>储罐内</w:t>
            </w:r>
            <w:r>
              <w:rPr>
                <w:b/>
                <w:bCs/>
                <w:u w:val="single"/>
                <w:lang w:val="en-US" w:eastAsia="zh-CN"/>
              </w:rPr>
              <w:t>表面，除去</w:t>
            </w:r>
            <w:r>
              <w:rPr>
                <w:rFonts w:hint="eastAsia"/>
                <w:b/>
                <w:bCs/>
                <w:u w:val="single"/>
                <w:lang w:val="en-US" w:eastAsia="zh-CN"/>
              </w:rPr>
              <w:t>储罐内</w:t>
            </w:r>
            <w:r>
              <w:rPr>
                <w:b/>
                <w:bCs/>
                <w:u w:val="single"/>
                <w:lang w:val="en-US" w:eastAsia="zh-CN"/>
              </w:rPr>
              <w:t>表面</w:t>
            </w:r>
            <w:r>
              <w:rPr>
                <w:rFonts w:hint="eastAsia"/>
                <w:b/>
                <w:bCs/>
                <w:u w:val="single"/>
                <w:lang w:val="en-US" w:eastAsia="zh-CN"/>
              </w:rPr>
              <w:t>的</w:t>
            </w:r>
            <w:r>
              <w:rPr>
                <w:b/>
                <w:bCs/>
                <w:u w:val="single"/>
                <w:lang w:val="en-US" w:eastAsia="zh-CN"/>
              </w:rPr>
              <w:t>凝结物和</w:t>
            </w:r>
            <w:r>
              <w:rPr>
                <w:rFonts w:hint="eastAsia"/>
                <w:b/>
                <w:bCs/>
                <w:u w:val="single"/>
                <w:lang w:val="en-US" w:eastAsia="zh-CN"/>
              </w:rPr>
              <w:t>油</w:t>
            </w:r>
            <w:r>
              <w:rPr>
                <w:b/>
                <w:bCs/>
                <w:u w:val="single"/>
                <w:lang w:val="en-US" w:eastAsia="zh-CN"/>
              </w:rPr>
              <w:t>渣，并对</w:t>
            </w:r>
            <w:r>
              <w:rPr>
                <w:rFonts w:hint="eastAsia"/>
                <w:b/>
                <w:bCs/>
                <w:u w:val="single"/>
                <w:lang w:val="en-US" w:eastAsia="zh-CN"/>
              </w:rPr>
              <w:t>油渣</w:t>
            </w:r>
            <w:r>
              <w:rPr>
                <w:b/>
                <w:bCs/>
                <w:u w:val="single"/>
                <w:lang w:val="en-US" w:eastAsia="zh-CN"/>
              </w:rPr>
              <w:t>进行处理和回收</w:t>
            </w:r>
            <w:r>
              <w:rPr>
                <w:rFonts w:hint="eastAsia"/>
                <w:b/>
                <w:bCs/>
                <w:u w:val="single"/>
                <w:lang w:val="en-US" w:eastAsia="zh-CN"/>
              </w:rPr>
              <w:t>。</w:t>
            </w:r>
            <w:r>
              <w:rPr>
                <w:b/>
                <w:bCs/>
                <w:u w:val="single"/>
                <w:lang w:val="en-US" w:eastAsia="zh-CN"/>
              </w:rPr>
              <w:t>原油中含有轻质组分即溶剂成分，</w:t>
            </w:r>
            <w:r>
              <w:rPr>
                <w:rFonts w:hint="eastAsia"/>
                <w:b/>
                <w:bCs/>
                <w:u w:val="single"/>
                <w:lang w:val="en-US" w:eastAsia="zh-CN"/>
              </w:rPr>
              <w:t>可</w:t>
            </w:r>
            <w:r>
              <w:rPr>
                <w:b/>
                <w:bCs/>
                <w:u w:val="single"/>
                <w:lang w:val="en-US" w:eastAsia="zh-CN"/>
              </w:rPr>
              <w:t>加速沉积物油分中的凝结物和淤渣的解体，经破碎后的淤渣与清洗</w:t>
            </w:r>
            <w:r>
              <w:rPr>
                <w:rFonts w:hint="eastAsia"/>
                <w:b/>
                <w:bCs/>
                <w:u w:val="single"/>
                <w:lang w:val="en-US" w:eastAsia="zh-CN"/>
              </w:rPr>
              <w:t>原</w:t>
            </w:r>
            <w:r>
              <w:rPr>
                <w:b/>
                <w:bCs/>
                <w:u w:val="single"/>
                <w:lang w:val="en-US" w:eastAsia="zh-CN"/>
              </w:rPr>
              <w:t>油混合、溶解、扩散，最终被抽吸回收</w:t>
            </w:r>
            <w:r>
              <w:rPr>
                <w:rFonts w:hint="eastAsia"/>
                <w:b/>
                <w:bCs/>
                <w:u w:val="single"/>
                <w:lang w:val="en-US" w:eastAsia="zh-CN"/>
              </w:rPr>
              <w:t>至</w:t>
            </w:r>
            <w:r>
              <w:rPr>
                <w:b/>
                <w:bCs/>
                <w:u w:val="single"/>
                <w:lang w:val="en-US" w:eastAsia="zh-CN"/>
              </w:rPr>
              <w:t>回收罐</w:t>
            </w:r>
            <w:r>
              <w:rPr>
                <w:rFonts w:hint="eastAsia"/>
                <w:b/>
                <w:bCs/>
                <w:u w:val="single"/>
                <w:lang w:val="en-US" w:eastAsia="zh-CN"/>
              </w:rPr>
              <w:t>中</w:t>
            </w:r>
            <w:r>
              <w:rPr>
                <w:b/>
                <w:bCs/>
                <w:u w:val="single"/>
                <w:lang w:val="en-US" w:eastAsia="zh-CN"/>
              </w:rPr>
              <w:t>。根据类比</w:t>
            </w:r>
            <w:r>
              <w:rPr>
                <w:rFonts w:hint="eastAsia"/>
                <w:b/>
                <w:bCs/>
                <w:u w:val="single"/>
                <w:lang w:val="en-US" w:eastAsia="zh-CN"/>
              </w:rPr>
              <w:t>新蔡县</w:t>
            </w:r>
            <w:r>
              <w:rPr>
                <w:b/>
                <w:bCs/>
                <w:u w:val="single"/>
                <w:lang w:val="en-US" w:eastAsia="zh-CN"/>
              </w:rPr>
              <w:t>其他加油站项目分析，清洗一次产生的废水量约为0.5t，所产生的废水由清洗公司拉走后交由有资质的单位统一处置，本项目内不存放清洗废水。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本项目营运期</w:t>
            </w:r>
            <w:r>
              <w:rPr>
                <w:rFonts w:hint="eastAsia"/>
              </w:rPr>
              <w:t>废水主要为职工</w:t>
            </w:r>
            <w:r>
              <w:t>办公</w:t>
            </w:r>
            <w:r>
              <w:rPr>
                <w:rFonts w:hint="eastAsia"/>
              </w:rPr>
              <w:t>生活废水及客户生活废水。</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sz w:val="24"/>
                <w:szCs w:val="24"/>
                <w:u w:val="single"/>
              </w:rPr>
            </w:pPr>
            <w:r>
              <w:rPr>
                <w:rFonts w:hint="default" w:ascii="Times New Roman" w:hAnsi="Times New Roman" w:eastAsia="宋体" w:cs="Times New Roman"/>
                <w:b/>
                <w:bCs/>
                <w:kern w:val="2"/>
                <w:sz w:val="24"/>
                <w:szCs w:val="24"/>
                <w:u w:val="single"/>
                <w:lang w:val="en-US" w:eastAsia="zh-CN" w:bidi="ar-SA"/>
              </w:rPr>
              <w:t>项目用水主要为生活用水，包括冲厕水和职工盥洗废水。项目劳动定员</w:t>
            </w:r>
            <w:r>
              <w:rPr>
                <w:rFonts w:hint="eastAsia" w:cs="Times New Roman"/>
                <w:b/>
                <w:bCs/>
                <w:kern w:val="2"/>
                <w:sz w:val="24"/>
                <w:szCs w:val="24"/>
                <w:u w:val="single"/>
                <w:lang w:val="en-US" w:eastAsia="zh-CN" w:bidi="ar-SA"/>
              </w:rPr>
              <w:t>6人</w:t>
            </w:r>
            <w:r>
              <w:rPr>
                <w:rFonts w:hint="default" w:ascii="Times New Roman" w:hAnsi="Times New Roman" w:eastAsia="宋体" w:cs="Times New Roman"/>
                <w:b/>
                <w:bCs/>
                <w:kern w:val="2"/>
                <w:sz w:val="24"/>
                <w:szCs w:val="24"/>
                <w:u w:val="single"/>
                <w:lang w:val="en-US" w:eastAsia="zh-CN" w:bidi="ar-SA"/>
              </w:rPr>
              <w:t>，</w:t>
            </w:r>
            <w:r>
              <w:rPr>
                <w:rFonts w:ascii="宋体" w:hAnsi="宋体"/>
                <w:b/>
                <w:bCs/>
                <w:sz w:val="24"/>
                <w:u w:val="single"/>
              </w:rPr>
              <w:t>均不在站区食宿，</w:t>
            </w:r>
            <w:r>
              <w:rPr>
                <w:rFonts w:hint="eastAsia"/>
                <w:b/>
                <w:bCs/>
                <w:sz w:val="24"/>
                <w:szCs w:val="24"/>
                <w:u w:val="single"/>
              </w:rPr>
              <w:t>职工生活</w:t>
            </w:r>
            <w:r>
              <w:rPr>
                <w:rFonts w:hint="eastAsia"/>
                <w:b/>
                <w:bCs/>
                <w:sz w:val="24"/>
                <w:u w:val="single"/>
              </w:rPr>
              <w:t>用水量按40</w:t>
            </w:r>
            <w:r>
              <w:rPr>
                <w:b/>
                <w:bCs/>
                <w:sz w:val="24"/>
                <w:u w:val="single"/>
              </w:rPr>
              <w:t>L</w:t>
            </w:r>
            <w:r>
              <w:rPr>
                <w:rFonts w:hint="eastAsia"/>
                <w:b/>
                <w:bCs/>
                <w:sz w:val="24"/>
                <w:u w:val="single"/>
              </w:rPr>
              <w:t>/（</w:t>
            </w:r>
            <w:r>
              <w:rPr>
                <w:rFonts w:hint="eastAsia" w:ascii="宋体" w:hAnsi="宋体"/>
                <w:b/>
                <w:bCs/>
                <w:sz w:val="24"/>
                <w:u w:val="single"/>
              </w:rPr>
              <w:t>人</w:t>
            </w:r>
            <w:r>
              <w:rPr>
                <w:b/>
                <w:bCs/>
                <w:sz w:val="24"/>
                <w:u w:val="single"/>
              </w:rPr>
              <w:t>·</w:t>
            </w:r>
            <w:r>
              <w:rPr>
                <w:rFonts w:hint="eastAsia"/>
                <w:b/>
                <w:bCs/>
                <w:sz w:val="24"/>
                <w:u w:val="single"/>
              </w:rPr>
              <w:t>d）计</w:t>
            </w:r>
            <w:r>
              <w:rPr>
                <w:b/>
                <w:bCs/>
                <w:sz w:val="24"/>
                <w:u w:val="single"/>
              </w:rPr>
              <w:t>，</w:t>
            </w:r>
            <w:r>
              <w:rPr>
                <w:rFonts w:hint="eastAsia"/>
                <w:b/>
                <w:bCs/>
                <w:sz w:val="24"/>
                <w:u w:val="single"/>
              </w:rPr>
              <w:t>则</w:t>
            </w:r>
            <w:r>
              <w:rPr>
                <w:rFonts w:hint="eastAsia"/>
                <w:b/>
                <w:bCs/>
                <w:color w:val="000000" w:themeColor="text1"/>
                <w:sz w:val="24"/>
                <w:u w:val="single"/>
                <w14:textFill>
                  <w14:solidFill>
                    <w14:schemeClr w14:val="tx1"/>
                  </w14:solidFill>
                </w14:textFill>
              </w:rPr>
              <w:t>营运期职工用水量</w:t>
            </w:r>
            <w:r>
              <w:rPr>
                <w:b/>
                <w:bCs/>
                <w:color w:val="000000" w:themeColor="text1"/>
                <w:sz w:val="24"/>
                <w:u w:val="single"/>
                <w14:textFill>
                  <w14:solidFill>
                    <w14:schemeClr w14:val="tx1"/>
                  </w14:solidFill>
                </w14:textFill>
              </w:rPr>
              <w:t>为0.</w:t>
            </w:r>
            <w:r>
              <w:rPr>
                <w:rFonts w:hint="eastAsia"/>
                <w:b/>
                <w:bCs/>
                <w:color w:val="000000" w:themeColor="text1"/>
                <w:sz w:val="24"/>
                <w:u w:val="single"/>
                <w:lang w:val="en-US" w:eastAsia="zh-CN"/>
                <w14:textFill>
                  <w14:solidFill>
                    <w14:schemeClr w14:val="tx1"/>
                  </w14:solidFill>
                </w14:textFill>
              </w:rPr>
              <w:t>24</w:t>
            </w:r>
            <w:r>
              <w:rPr>
                <w:b/>
                <w:bCs/>
                <w:color w:val="000000" w:themeColor="text1"/>
                <w:sz w:val="24"/>
                <w:u w:val="single"/>
                <w14:textFill>
                  <w14:solidFill>
                    <w14:schemeClr w14:val="tx1"/>
                  </w14:solidFill>
                </w14:textFill>
              </w:rPr>
              <w:t>m</w:t>
            </w:r>
            <w:r>
              <w:rPr>
                <w:b/>
                <w:bCs/>
                <w:color w:val="000000" w:themeColor="text1"/>
                <w:sz w:val="24"/>
                <w:u w:val="single"/>
                <w:vertAlign w:val="superscript"/>
                <w14:textFill>
                  <w14:solidFill>
                    <w14:schemeClr w14:val="tx1"/>
                  </w14:solidFill>
                </w14:textFill>
              </w:rPr>
              <w:t>3</w:t>
            </w:r>
            <w:r>
              <w:rPr>
                <w:rFonts w:hint="eastAsia"/>
                <w:b/>
                <w:bCs/>
                <w:color w:val="000000" w:themeColor="text1"/>
                <w:sz w:val="24"/>
                <w:u w:val="single"/>
                <w14:textFill>
                  <w14:solidFill>
                    <w14:schemeClr w14:val="tx1"/>
                  </w14:solidFill>
                </w14:textFill>
              </w:rPr>
              <w:t>/d（</w:t>
            </w:r>
            <w:r>
              <w:rPr>
                <w:rFonts w:hint="eastAsia"/>
                <w:b/>
                <w:bCs/>
                <w:color w:val="000000" w:themeColor="text1"/>
                <w:sz w:val="24"/>
                <w:u w:val="single"/>
                <w:lang w:val="en-US" w:eastAsia="zh-CN"/>
                <w14:textFill>
                  <w14:solidFill>
                    <w14:schemeClr w14:val="tx1"/>
                  </w14:solidFill>
                </w14:textFill>
              </w:rPr>
              <w:t>87.6</w:t>
            </w:r>
            <w:r>
              <w:rPr>
                <w:b/>
                <w:bCs/>
                <w:color w:val="000000" w:themeColor="text1"/>
                <w:sz w:val="24"/>
                <w:u w:val="single"/>
                <w14:textFill>
                  <w14:solidFill>
                    <w14:schemeClr w14:val="tx1"/>
                  </w14:solidFill>
                </w14:textFill>
              </w:rPr>
              <w:t>m</w:t>
            </w:r>
            <w:r>
              <w:rPr>
                <w:b/>
                <w:bCs/>
                <w:color w:val="000000" w:themeColor="text1"/>
                <w:sz w:val="24"/>
                <w:u w:val="single"/>
                <w:vertAlign w:val="superscript"/>
                <w14:textFill>
                  <w14:solidFill>
                    <w14:schemeClr w14:val="tx1"/>
                  </w14:solidFill>
                </w14:textFill>
              </w:rPr>
              <w:t>3</w:t>
            </w:r>
            <w:r>
              <w:rPr>
                <w:rFonts w:hint="eastAsia"/>
                <w:b/>
                <w:bCs/>
                <w:color w:val="000000" w:themeColor="text1"/>
                <w:sz w:val="24"/>
                <w:u w:val="single"/>
                <w14:textFill>
                  <w14:solidFill>
                    <w14:schemeClr w14:val="tx1"/>
                  </w14:solidFill>
                </w14:textFill>
              </w:rPr>
              <w:t>/a）；项目投运后，每天接待客人约</w:t>
            </w:r>
            <w:r>
              <w:rPr>
                <w:b/>
                <w:bCs/>
                <w:color w:val="000000" w:themeColor="text1"/>
                <w:sz w:val="24"/>
                <w:u w:val="single"/>
                <w14:textFill>
                  <w14:solidFill>
                    <w14:schemeClr w14:val="tx1"/>
                  </w14:solidFill>
                </w14:textFill>
              </w:rPr>
              <w:t>100</w:t>
            </w:r>
            <w:r>
              <w:rPr>
                <w:rFonts w:hint="eastAsia"/>
                <w:b/>
                <w:bCs/>
                <w:color w:val="000000" w:themeColor="text1"/>
                <w:sz w:val="24"/>
                <w:u w:val="single"/>
                <w14:textFill>
                  <w14:solidFill>
                    <w14:schemeClr w14:val="tx1"/>
                  </w14:solidFill>
                </w14:textFill>
              </w:rPr>
              <w:t>人，</w:t>
            </w:r>
            <w:r>
              <w:rPr>
                <w:b/>
                <w:bCs/>
                <w:sz w:val="24"/>
                <w:szCs w:val="24"/>
                <w:u w:val="single"/>
              </w:rPr>
              <w:t>用水量</w:t>
            </w:r>
            <w:r>
              <w:rPr>
                <w:rFonts w:hint="eastAsia"/>
                <w:b/>
                <w:bCs/>
                <w:sz w:val="24"/>
                <w:szCs w:val="24"/>
                <w:u w:val="single"/>
              </w:rPr>
              <w:t>约</w:t>
            </w:r>
            <w:r>
              <w:rPr>
                <w:b/>
                <w:bCs/>
                <w:sz w:val="24"/>
                <w:szCs w:val="24"/>
                <w:u w:val="single"/>
              </w:rPr>
              <w:t>5L/</w:t>
            </w:r>
            <w:r>
              <w:rPr>
                <w:rFonts w:hint="eastAsia"/>
                <w:b/>
                <w:bCs/>
                <w:sz w:val="24"/>
                <w:szCs w:val="24"/>
                <w:u w:val="single"/>
              </w:rPr>
              <w:t>人</w:t>
            </w:r>
            <w:r>
              <w:rPr>
                <w:b/>
                <w:bCs/>
                <w:sz w:val="24"/>
                <w:szCs w:val="24"/>
                <w:u w:val="single"/>
              </w:rPr>
              <w:t>.d</w:t>
            </w:r>
            <w:r>
              <w:rPr>
                <w:rFonts w:hint="eastAsia"/>
                <w:b/>
                <w:bCs/>
                <w:sz w:val="24"/>
                <w:szCs w:val="24"/>
                <w:u w:val="single"/>
              </w:rPr>
              <w:t>，则用水量</w:t>
            </w:r>
            <w:r>
              <w:rPr>
                <w:b/>
                <w:bCs/>
                <w:sz w:val="24"/>
                <w:szCs w:val="24"/>
                <w:u w:val="single"/>
              </w:rPr>
              <w:t>0.5m</w:t>
            </w:r>
            <w:r>
              <w:rPr>
                <w:b/>
                <w:bCs/>
                <w:sz w:val="24"/>
                <w:szCs w:val="24"/>
                <w:u w:val="single"/>
                <w:vertAlign w:val="superscript"/>
              </w:rPr>
              <w:t>3</w:t>
            </w:r>
            <w:r>
              <w:rPr>
                <w:b/>
                <w:bCs/>
                <w:sz w:val="24"/>
                <w:szCs w:val="24"/>
                <w:u w:val="single"/>
              </w:rPr>
              <w:t>/d</w:t>
            </w:r>
            <w:r>
              <w:rPr>
                <w:rFonts w:hint="eastAsia"/>
                <w:b/>
                <w:bCs/>
                <w:sz w:val="24"/>
                <w:szCs w:val="24"/>
                <w:u w:val="single"/>
              </w:rPr>
              <w:t>，</w:t>
            </w:r>
            <w:r>
              <w:rPr>
                <w:b/>
                <w:bCs/>
                <w:sz w:val="24"/>
                <w:szCs w:val="24"/>
                <w:u w:val="single"/>
              </w:rPr>
              <w:t>182.5m</w:t>
            </w:r>
            <w:r>
              <w:rPr>
                <w:b/>
                <w:bCs/>
                <w:sz w:val="24"/>
                <w:szCs w:val="24"/>
                <w:u w:val="single"/>
                <w:vertAlign w:val="superscript"/>
              </w:rPr>
              <w:t>3</w:t>
            </w:r>
            <w:r>
              <w:rPr>
                <w:b/>
                <w:bCs/>
                <w:sz w:val="24"/>
                <w:szCs w:val="24"/>
                <w:u w:val="single"/>
              </w:rPr>
              <w:t>/a</w:t>
            </w:r>
            <w:r>
              <w:rPr>
                <w:rFonts w:hint="eastAsia"/>
                <w:b/>
                <w:bCs/>
                <w:sz w:val="24"/>
                <w:szCs w:val="24"/>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pPr>
            <w:r>
              <w:rPr>
                <w:b/>
                <w:bCs/>
                <w:sz w:val="24"/>
                <w:szCs w:val="24"/>
                <w:u w:val="single"/>
              </w:rPr>
              <w:t>本项目</w:t>
            </w:r>
            <w:r>
              <w:rPr>
                <w:rFonts w:hint="eastAsia"/>
                <w:b/>
                <w:bCs/>
                <w:sz w:val="24"/>
                <w:szCs w:val="24"/>
                <w:u w:val="single"/>
              </w:rPr>
              <w:t>生活</w:t>
            </w:r>
            <w:r>
              <w:rPr>
                <w:b/>
                <w:bCs/>
                <w:sz w:val="24"/>
                <w:szCs w:val="24"/>
                <w:u w:val="single"/>
              </w:rPr>
              <w:t>用水量为0.</w:t>
            </w:r>
            <w:r>
              <w:rPr>
                <w:rFonts w:hint="eastAsia"/>
                <w:b/>
                <w:bCs/>
                <w:sz w:val="24"/>
                <w:szCs w:val="24"/>
                <w:u w:val="single"/>
                <w:lang w:val="en-US" w:eastAsia="zh-CN"/>
              </w:rPr>
              <w:t>74</w:t>
            </w:r>
            <w:r>
              <w:rPr>
                <w:b/>
                <w:bCs/>
                <w:sz w:val="24"/>
                <w:u w:val="single"/>
              </w:rPr>
              <w:t xml:space="preserve"> m</w:t>
            </w:r>
            <w:r>
              <w:rPr>
                <w:b/>
                <w:bCs/>
                <w:sz w:val="24"/>
                <w:u w:val="single"/>
                <w:vertAlign w:val="superscript"/>
              </w:rPr>
              <w:t>3</w:t>
            </w:r>
            <w:r>
              <w:rPr>
                <w:b/>
                <w:bCs/>
                <w:sz w:val="24"/>
                <w:u w:val="single"/>
              </w:rPr>
              <w:t>/d（</w:t>
            </w:r>
            <w:r>
              <w:rPr>
                <w:rFonts w:hint="eastAsia"/>
                <w:b/>
                <w:bCs/>
                <w:sz w:val="24"/>
                <w:u w:val="single"/>
                <w:lang w:val="en-US" w:eastAsia="zh-CN"/>
              </w:rPr>
              <w:t>270.1</w:t>
            </w:r>
            <w:r>
              <w:rPr>
                <w:b/>
                <w:bCs/>
                <w:sz w:val="24"/>
                <w:u w:val="single"/>
              </w:rPr>
              <w:t>m</w:t>
            </w:r>
            <w:r>
              <w:rPr>
                <w:b/>
                <w:bCs/>
                <w:sz w:val="24"/>
                <w:u w:val="single"/>
                <w:vertAlign w:val="superscript"/>
              </w:rPr>
              <w:t>3</w:t>
            </w:r>
            <w:r>
              <w:rPr>
                <w:b/>
                <w:bCs/>
                <w:sz w:val="24"/>
                <w:u w:val="single"/>
              </w:rPr>
              <w:t>/a）</w:t>
            </w:r>
            <w:r>
              <w:rPr>
                <w:rFonts w:hint="eastAsia"/>
                <w:b/>
                <w:bCs/>
                <w:sz w:val="24"/>
                <w:u w:val="single"/>
              </w:rPr>
              <w:t>，生活用水耗损按20%计，则本项目营运期生活污水（主要为盥洗废水）产生量为</w:t>
            </w:r>
            <w:r>
              <w:rPr>
                <w:b/>
                <w:bCs/>
                <w:sz w:val="24"/>
                <w:u w:val="single"/>
              </w:rPr>
              <w:t>0.</w:t>
            </w:r>
            <w:r>
              <w:rPr>
                <w:rFonts w:hint="eastAsia"/>
                <w:b/>
                <w:bCs/>
                <w:sz w:val="24"/>
                <w:u w:val="single"/>
                <w:lang w:val="en-US" w:eastAsia="zh-CN"/>
              </w:rPr>
              <w:t>592</w:t>
            </w:r>
            <w:r>
              <w:rPr>
                <w:b/>
                <w:bCs/>
                <w:sz w:val="24"/>
                <w:u w:val="single"/>
              </w:rPr>
              <w:t>m</w:t>
            </w:r>
            <w:r>
              <w:rPr>
                <w:b/>
                <w:bCs/>
                <w:sz w:val="24"/>
                <w:u w:val="single"/>
                <w:vertAlign w:val="superscript"/>
              </w:rPr>
              <w:t>3</w:t>
            </w:r>
            <w:r>
              <w:rPr>
                <w:b/>
                <w:bCs/>
                <w:sz w:val="24"/>
                <w:u w:val="single"/>
              </w:rPr>
              <w:t>/d（</w:t>
            </w:r>
            <w:r>
              <w:rPr>
                <w:rFonts w:hint="eastAsia"/>
                <w:b/>
                <w:bCs/>
                <w:sz w:val="24"/>
                <w:u w:val="single"/>
                <w:lang w:val="en-US" w:eastAsia="zh-CN"/>
              </w:rPr>
              <w:t>216.08</w:t>
            </w:r>
            <w:r>
              <w:rPr>
                <w:b/>
                <w:bCs/>
                <w:sz w:val="24"/>
                <w:u w:val="single"/>
              </w:rPr>
              <w:t>m</w:t>
            </w:r>
            <w:r>
              <w:rPr>
                <w:b/>
                <w:bCs/>
                <w:sz w:val="24"/>
                <w:u w:val="single"/>
                <w:vertAlign w:val="superscript"/>
              </w:rPr>
              <w:t>3</w:t>
            </w:r>
            <w:r>
              <w:rPr>
                <w:b/>
                <w:bCs/>
                <w:sz w:val="24"/>
                <w:u w:val="single"/>
              </w:rPr>
              <w:t>/a）</w:t>
            </w:r>
            <w:r>
              <w:rPr>
                <w:rFonts w:hint="eastAsia"/>
                <w:b/>
                <w:bCs/>
                <w:sz w:val="24"/>
                <w:u w:val="single"/>
              </w:rPr>
              <w:t>。</w:t>
            </w:r>
          </w:p>
          <w:p>
            <w:pPr>
              <w:bidi w:val="0"/>
            </w:pPr>
            <w:r>
              <w:rPr>
                <w:rFonts w:hint="eastAsia"/>
                <w:lang w:val="en-US" w:eastAsia="zh-CN"/>
              </w:rPr>
              <w:t>本项目产生生活污水经服务区生活污水处理站处理后用于服务区洒水降尘；站区内不设卫生间，依托服务区卫生间</w:t>
            </w:r>
            <w:r>
              <w:t>。</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bCs/>
                <w:sz w:val="24"/>
                <w:szCs w:val="24"/>
              </w:rPr>
            </w:pPr>
            <w:r>
              <w:rPr>
                <w:b/>
                <w:sz w:val="21"/>
                <w:szCs w:val="21"/>
              </w:rPr>
              <mc:AlternateContent>
                <mc:Choice Requires="wpc">
                  <w:drawing>
                    <wp:anchor distT="0" distB="0" distL="114300" distR="114300" simplePos="0" relativeHeight="2619844608" behindDoc="0" locked="0" layoutInCell="1" allowOverlap="1">
                      <wp:simplePos x="0" y="0"/>
                      <wp:positionH relativeFrom="character">
                        <wp:posOffset>-245745</wp:posOffset>
                      </wp:positionH>
                      <wp:positionV relativeFrom="line">
                        <wp:posOffset>266065</wp:posOffset>
                      </wp:positionV>
                      <wp:extent cx="5184140" cy="2163445"/>
                      <wp:effectExtent l="0" t="0" r="16510" b="0"/>
                      <wp:wrapNone/>
                      <wp:docPr id="659" name="画布 6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8" name="Rectangle 662"/>
                              <wps:cNvSpPr>
                                <a:spLocks noChangeArrowheads="1"/>
                              </wps:cNvSpPr>
                              <wps:spPr bwMode="auto">
                                <a:xfrm>
                                  <a:off x="38100" y="1029630"/>
                                  <a:ext cx="695325" cy="288290"/>
                                </a:xfrm>
                                <a:prstGeom prst="rect">
                                  <a:avLst/>
                                </a:prstGeom>
                                <a:noFill/>
                                <a:ln>
                                  <a:noFill/>
                                </a:ln>
                              </wps:spPr>
                              <wps:txbx>
                                <w:txbxContent>
                                  <w:p>
                                    <w:pPr>
                                      <w:adjustRightInd w:val="0"/>
                                      <w:snapToGrid w:val="0"/>
                                      <w:spacing w:line="240" w:lineRule="auto"/>
                                      <w:ind w:firstLine="0" w:firstLineChars="0"/>
                                      <w:jc w:val="center"/>
                                      <w:rPr>
                                        <w:sz w:val="21"/>
                                        <w:szCs w:val="21"/>
                                      </w:rPr>
                                    </w:pPr>
                                    <w:r>
                                      <w:rPr>
                                        <w:rFonts w:hint="eastAsia"/>
                                        <w:sz w:val="21"/>
                                        <w:szCs w:val="21"/>
                                      </w:rPr>
                                      <w:t>新鲜水</w:t>
                                    </w:r>
                                  </w:p>
                                </w:txbxContent>
                              </wps:txbx>
                              <wps:bodyPr rot="0" vert="horz" wrap="square" lIns="91440" tIns="45720" rIns="91440" bIns="45720" anchor="t" anchorCtr="0" upright="1">
                                <a:noAutofit/>
                              </wps:bodyPr>
                            </wps:wsp>
                            <wps:wsp>
                              <wps:cNvPr id="119" name="Line 664"/>
                              <wps:cNvCnPr>
                                <a:cxnSpLocks noChangeShapeType="1"/>
                              </wps:cNvCnPr>
                              <wps:spPr bwMode="auto">
                                <a:xfrm>
                                  <a:off x="170815" y="1016000"/>
                                  <a:ext cx="381635" cy="635"/>
                                </a:xfrm>
                                <a:prstGeom prst="line">
                                  <a:avLst/>
                                </a:prstGeom>
                                <a:noFill/>
                                <a:ln w="9525">
                                  <a:solidFill>
                                    <a:srgbClr val="000000"/>
                                  </a:solidFill>
                                  <a:round/>
                                  <a:tailEnd type="triangle" w="med" len="med"/>
                                </a:ln>
                              </wps:spPr>
                              <wps:bodyPr/>
                            </wps:wsp>
                            <wps:wsp>
                              <wps:cNvPr id="120" name="Rectangle 665"/>
                              <wps:cNvSpPr>
                                <a:spLocks noChangeArrowheads="1"/>
                              </wps:cNvSpPr>
                              <wps:spPr bwMode="auto">
                                <a:xfrm>
                                  <a:off x="170815" y="777816"/>
                                  <a:ext cx="415925" cy="296545"/>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74</w:t>
                                    </w:r>
                                  </w:p>
                                </w:txbxContent>
                              </wps:txbx>
                              <wps:bodyPr rot="0" vert="horz" wrap="none" lIns="91440" tIns="45720" rIns="91440" bIns="45720" anchor="t" anchorCtr="0" upright="1">
                                <a:noAutofit/>
                              </wps:bodyPr>
                            </wps:wsp>
                            <wps:wsp>
                              <wps:cNvPr id="121" name="Line 668"/>
                              <wps:cNvCnPr>
                                <a:cxnSpLocks noChangeShapeType="1"/>
                              </wps:cNvCnPr>
                              <wps:spPr bwMode="auto">
                                <a:xfrm>
                                  <a:off x="573405" y="665140"/>
                                  <a:ext cx="635" cy="720090"/>
                                </a:xfrm>
                                <a:prstGeom prst="line">
                                  <a:avLst/>
                                </a:prstGeom>
                                <a:noFill/>
                                <a:ln w="9525">
                                  <a:solidFill>
                                    <a:srgbClr val="000000"/>
                                  </a:solidFill>
                                  <a:round/>
                                </a:ln>
                              </wps:spPr>
                              <wps:bodyPr/>
                            </wps:wsp>
                            <wps:wsp>
                              <wps:cNvPr id="122" name="Line 669"/>
                              <wps:cNvCnPr>
                                <a:cxnSpLocks noChangeShapeType="1"/>
                              </wps:cNvCnPr>
                              <wps:spPr bwMode="auto">
                                <a:xfrm>
                                  <a:off x="574040" y="667680"/>
                                  <a:ext cx="431800" cy="635"/>
                                </a:xfrm>
                                <a:prstGeom prst="line">
                                  <a:avLst/>
                                </a:prstGeom>
                                <a:noFill/>
                                <a:ln w="9525">
                                  <a:solidFill>
                                    <a:srgbClr val="000000"/>
                                  </a:solidFill>
                                  <a:round/>
                                  <a:tailEnd type="triangle" w="med" len="med"/>
                                </a:ln>
                              </wps:spPr>
                              <wps:bodyPr/>
                            </wps:wsp>
                            <wps:wsp>
                              <wps:cNvPr id="123" name="Rectangle 670"/>
                              <wps:cNvSpPr>
                                <a:spLocks noChangeArrowheads="1"/>
                              </wps:cNvSpPr>
                              <wps:spPr bwMode="auto">
                                <a:xfrm>
                                  <a:off x="1007110" y="524170"/>
                                  <a:ext cx="993140" cy="297180"/>
                                </a:xfrm>
                                <a:prstGeom prst="rect">
                                  <a:avLst/>
                                </a:prstGeom>
                                <a:noFill/>
                                <a:ln w="9525">
                                  <a:solidFill>
                                    <a:srgbClr val="000000"/>
                                  </a:solidFill>
                                  <a:miter lim="800000"/>
                                </a:ln>
                              </wps:spPr>
                              <wps:txbx>
                                <w:txbxContent>
                                  <w:p>
                                    <w:pPr>
                                      <w:spacing w:line="240" w:lineRule="auto"/>
                                      <w:ind w:firstLine="0" w:firstLineChars="0"/>
                                      <w:rPr>
                                        <w:sz w:val="21"/>
                                        <w:szCs w:val="21"/>
                                      </w:rPr>
                                    </w:pPr>
                                    <w:r>
                                      <w:rPr>
                                        <w:rFonts w:hint="eastAsia"/>
                                        <w:sz w:val="21"/>
                                        <w:szCs w:val="21"/>
                                      </w:rPr>
                                      <w:t>职工</w:t>
                                    </w:r>
                                    <w:r>
                                      <w:rPr>
                                        <w:sz w:val="21"/>
                                        <w:szCs w:val="21"/>
                                      </w:rPr>
                                      <w:t>办公生活</w:t>
                                    </w:r>
                                  </w:p>
                                </w:txbxContent>
                              </wps:txbx>
                              <wps:bodyPr rot="0" vert="horz" wrap="none" lIns="91440" tIns="45720" rIns="91440" bIns="45720" anchor="t" anchorCtr="0" upright="1">
                                <a:noAutofit/>
                              </wps:bodyPr>
                            </wps:wsp>
                            <wps:wsp>
                              <wps:cNvPr id="124" name="Line 671"/>
                              <wps:cNvCnPr>
                                <a:cxnSpLocks noChangeShapeType="1"/>
                              </wps:cNvCnPr>
                              <wps:spPr bwMode="auto">
                                <a:xfrm>
                                  <a:off x="575310" y="1875790"/>
                                  <a:ext cx="431800" cy="635"/>
                                </a:xfrm>
                                <a:prstGeom prst="line">
                                  <a:avLst/>
                                </a:prstGeom>
                                <a:noFill/>
                                <a:ln w="9525">
                                  <a:solidFill>
                                    <a:srgbClr val="000000"/>
                                  </a:solidFill>
                                  <a:round/>
                                  <a:tailEnd type="triangle" w="med" len="med"/>
                                </a:ln>
                              </wps:spPr>
                              <wps:bodyPr/>
                            </wps:wsp>
                            <wps:wsp>
                              <wps:cNvPr id="125" name="Rectangle 672"/>
                              <wps:cNvSpPr>
                                <a:spLocks noChangeArrowheads="1"/>
                              </wps:cNvSpPr>
                              <wps:spPr bwMode="auto">
                                <a:xfrm>
                                  <a:off x="999490" y="1716405"/>
                                  <a:ext cx="963295" cy="297180"/>
                                </a:xfrm>
                                <a:prstGeom prst="rect">
                                  <a:avLst/>
                                </a:prstGeom>
                                <a:noFill/>
                                <a:ln w="9525">
                                  <a:solidFill>
                                    <a:srgbClr val="000000"/>
                                  </a:solidFill>
                                  <a:miter lim="800000"/>
                                </a:ln>
                              </wps:spPr>
                              <wps:txbx>
                                <w:txbxContent>
                                  <w:p>
                                    <w:pPr>
                                      <w:spacing w:line="240" w:lineRule="auto"/>
                                      <w:ind w:firstLine="210" w:firstLineChars="100"/>
                                      <w:rPr>
                                        <w:sz w:val="21"/>
                                        <w:szCs w:val="21"/>
                                      </w:rPr>
                                    </w:pPr>
                                    <w:r>
                                      <w:rPr>
                                        <w:rFonts w:hint="eastAsia"/>
                                        <w:sz w:val="21"/>
                                        <w:szCs w:val="21"/>
                                      </w:rPr>
                                      <w:t>客人用水</w:t>
                                    </w:r>
                                  </w:p>
                                </w:txbxContent>
                              </wps:txbx>
                              <wps:bodyPr rot="0" vert="horz" wrap="square" lIns="91440" tIns="45720" rIns="91440" bIns="45720" anchor="t" anchorCtr="0" upright="1">
                                <a:noAutofit/>
                              </wps:bodyPr>
                            </wps:wsp>
                            <wps:wsp>
                              <wps:cNvPr id="126" name="Rectangle 673"/>
                              <wps:cNvSpPr>
                                <a:spLocks noChangeArrowheads="1"/>
                              </wps:cNvSpPr>
                              <wps:spPr bwMode="auto">
                                <a:xfrm>
                                  <a:off x="571500" y="434883"/>
                                  <a:ext cx="415925"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24</w:t>
                                    </w:r>
                                  </w:p>
                                </w:txbxContent>
                              </wps:txbx>
                              <wps:bodyPr rot="0" vert="horz" wrap="none" lIns="91440" tIns="45720" rIns="91440" bIns="45720" anchor="t" anchorCtr="0" upright="1">
                                <a:noAutofit/>
                              </wps:bodyPr>
                            </wps:wsp>
                            <wps:wsp>
                              <wps:cNvPr id="127" name="Rectangle 674"/>
                              <wps:cNvSpPr>
                                <a:spLocks noChangeArrowheads="1"/>
                              </wps:cNvSpPr>
                              <wps:spPr bwMode="auto">
                                <a:xfrm>
                                  <a:off x="560705" y="1584960"/>
                                  <a:ext cx="349885" cy="297180"/>
                                </a:xfrm>
                                <a:prstGeom prst="rect">
                                  <a:avLst/>
                                </a:prstGeom>
                                <a:noFill/>
                                <a:ln>
                                  <a:noFill/>
                                </a:ln>
                              </wps:spPr>
                              <wps:txbx>
                                <w:txbxContent>
                                  <w:p>
                                    <w:pPr>
                                      <w:spacing w:line="240" w:lineRule="auto"/>
                                      <w:ind w:firstLine="0" w:firstLineChars="0"/>
                                      <w:rPr>
                                        <w:sz w:val="21"/>
                                        <w:szCs w:val="21"/>
                                      </w:rPr>
                                    </w:pPr>
                                    <w:r>
                                      <w:rPr>
                                        <w:sz w:val="21"/>
                                        <w:szCs w:val="21"/>
                                      </w:rPr>
                                      <w:t>0.5</w:t>
                                    </w:r>
                                  </w:p>
                                </w:txbxContent>
                              </wps:txbx>
                              <wps:bodyPr rot="0" vert="horz" wrap="none" lIns="91440" tIns="45720" rIns="91440" bIns="45720" anchor="t" anchorCtr="0" upright="1">
                                <a:noAutofit/>
                              </wps:bodyPr>
                            </wps:wsp>
                            <wps:wsp>
                              <wps:cNvPr id="128" name="Line 675"/>
                              <wps:cNvCnPr>
                                <a:cxnSpLocks noChangeShapeType="1"/>
                              </wps:cNvCnPr>
                              <wps:spPr bwMode="auto">
                                <a:xfrm>
                                  <a:off x="2009140" y="670220"/>
                                  <a:ext cx="372745" cy="0"/>
                                </a:xfrm>
                                <a:prstGeom prst="line">
                                  <a:avLst/>
                                </a:prstGeom>
                                <a:noFill/>
                                <a:ln w="9525">
                                  <a:solidFill>
                                    <a:srgbClr val="000000"/>
                                  </a:solidFill>
                                  <a:round/>
                                  <a:tailEnd type="triangle" w="med" len="med"/>
                                </a:ln>
                              </wps:spPr>
                              <wps:bodyPr/>
                            </wps:wsp>
                            <wps:wsp>
                              <wps:cNvPr id="129" name="Rectangle 676"/>
                              <wps:cNvSpPr>
                                <a:spLocks noChangeArrowheads="1"/>
                              </wps:cNvSpPr>
                              <wps:spPr bwMode="auto">
                                <a:xfrm>
                                  <a:off x="1969770" y="460620"/>
                                  <a:ext cx="482600"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sz w:val="21"/>
                                        <w:szCs w:val="21"/>
                                      </w:rPr>
                                      <w:t>0</w:t>
                                    </w:r>
                                    <w:r>
                                      <w:rPr>
                                        <w:rFonts w:hint="eastAsia"/>
                                        <w:sz w:val="21"/>
                                        <w:szCs w:val="21"/>
                                      </w:rPr>
                                      <w:t>.</w:t>
                                    </w:r>
                                    <w:r>
                                      <w:rPr>
                                        <w:rFonts w:hint="eastAsia" w:ascii="Times New Roman" w:eastAsia="宋体"/>
                                        <w:sz w:val="21"/>
                                        <w:szCs w:val="21"/>
                                        <w:lang w:val="en-US" w:eastAsia="zh-CN"/>
                                      </w:rPr>
                                      <w:t>1</w:t>
                                    </w:r>
                                    <w:r>
                                      <w:rPr>
                                        <w:rFonts w:hint="eastAsia"/>
                                        <w:sz w:val="21"/>
                                        <w:szCs w:val="21"/>
                                        <w:lang w:val="en-US" w:eastAsia="zh-CN"/>
                                      </w:rPr>
                                      <w:t>92</w:t>
                                    </w:r>
                                  </w:p>
                                </w:txbxContent>
                              </wps:txbx>
                              <wps:bodyPr rot="0" vert="horz" wrap="none" lIns="91440" tIns="45720" rIns="91440" bIns="45720" anchor="t" anchorCtr="0" upright="1">
                                <a:noAutofit/>
                              </wps:bodyPr>
                            </wps:wsp>
                            <wps:wsp>
                              <wps:cNvPr id="130" name="AutoShape 677"/>
                              <wps:cNvSpPr>
                                <a:spLocks noChangeArrowheads="1"/>
                              </wps:cNvSpPr>
                              <wps:spPr bwMode="auto">
                                <a:xfrm>
                                  <a:off x="1351280" y="1224280"/>
                                  <a:ext cx="658495" cy="391795"/>
                                </a:xfrm>
                                <a:prstGeom prst="cloudCallout">
                                  <a:avLst>
                                    <a:gd name="adj1" fmla="val -46440"/>
                                    <a:gd name="adj2" fmla="val 66255"/>
                                  </a:avLst>
                                </a:prstGeom>
                                <a:noFill/>
                                <a:ln w="9525">
                                  <a:solidFill>
                                    <a:srgbClr val="000000"/>
                                  </a:solidFill>
                                  <a:round/>
                                </a:ln>
                              </wps:spPr>
                              <wps:txbx>
                                <w:txbxContent>
                                  <w:p>
                                    <w:pPr>
                                      <w:spacing w:line="240" w:lineRule="auto"/>
                                      <w:ind w:firstLine="0" w:firstLineChars="0"/>
                                      <w:rPr>
                                        <w:sz w:val="21"/>
                                        <w:szCs w:val="21"/>
                                      </w:rPr>
                                    </w:pPr>
                                    <w:r>
                                      <w:rPr>
                                        <w:sz w:val="21"/>
                                        <w:szCs w:val="21"/>
                                      </w:rPr>
                                      <w:t>0.1</w:t>
                                    </w:r>
                                  </w:p>
                                </w:txbxContent>
                              </wps:txbx>
                              <wps:bodyPr rot="0" vert="horz" wrap="square" lIns="91440" tIns="45720" rIns="91440" bIns="45720" anchor="t" anchorCtr="0" upright="1">
                                <a:noAutofit/>
                              </wps:bodyPr>
                            </wps:wsp>
                            <wps:wsp>
                              <wps:cNvPr id="131" name="Rectangle 679"/>
                              <wps:cNvSpPr>
                                <a:spLocks noChangeArrowheads="1"/>
                              </wps:cNvSpPr>
                              <wps:spPr bwMode="auto">
                                <a:xfrm>
                                  <a:off x="2766695" y="1111885"/>
                                  <a:ext cx="611505" cy="297180"/>
                                </a:xfrm>
                                <a:prstGeom prst="rect">
                                  <a:avLst/>
                                </a:prstGeom>
                                <a:noFill/>
                                <a:ln w="9525">
                                  <a:solidFill>
                                    <a:srgbClr val="000000"/>
                                  </a:solidFill>
                                  <a:miter lim="800000"/>
                                </a:ln>
                              </wps:spPr>
                              <wps:txbx>
                                <w:txbxContent>
                                  <w:p>
                                    <w:pPr>
                                      <w:spacing w:line="240" w:lineRule="auto"/>
                                      <w:ind w:firstLine="0" w:firstLineChars="0"/>
                                      <w:rPr>
                                        <w:rFonts w:hint="eastAsia" w:eastAsia="宋体"/>
                                        <w:sz w:val="21"/>
                                        <w:szCs w:val="21"/>
                                        <w:lang w:eastAsia="zh-CN"/>
                                      </w:rPr>
                                    </w:pPr>
                                    <w:r>
                                      <w:rPr>
                                        <w:rFonts w:hint="eastAsia"/>
                                        <w:sz w:val="21"/>
                                        <w:szCs w:val="21"/>
                                        <w:lang w:eastAsia="zh-CN"/>
                                      </w:rPr>
                                      <w:t>排污管道</w:t>
                                    </w:r>
                                  </w:p>
                                </w:txbxContent>
                              </wps:txbx>
                              <wps:bodyPr rot="0" vert="horz" wrap="square" lIns="91440" tIns="45720" rIns="91440" bIns="45720" anchor="t" anchorCtr="0" upright="1">
                                <a:noAutofit/>
                              </wps:bodyPr>
                            </wps:wsp>
                            <wps:wsp>
                              <wps:cNvPr id="132" name="Line 960"/>
                              <wps:cNvCnPr>
                                <a:cxnSpLocks noChangeShapeType="1"/>
                              </wps:cNvCnPr>
                              <wps:spPr bwMode="auto">
                                <a:xfrm>
                                  <a:off x="1959610" y="1868805"/>
                                  <a:ext cx="394335" cy="1270"/>
                                </a:xfrm>
                                <a:prstGeom prst="line">
                                  <a:avLst/>
                                </a:prstGeom>
                                <a:noFill/>
                                <a:ln w="9525">
                                  <a:solidFill>
                                    <a:srgbClr val="000000"/>
                                  </a:solidFill>
                                  <a:round/>
                                  <a:tailEnd type="triangle" w="med" len="med"/>
                                </a:ln>
                              </wps:spPr>
                              <wps:bodyPr/>
                            </wps:wsp>
                            <wps:wsp>
                              <wps:cNvPr id="133" name="Rectangle 965"/>
                              <wps:cNvSpPr>
                                <a:spLocks noChangeArrowheads="1"/>
                              </wps:cNvSpPr>
                              <wps:spPr bwMode="auto">
                                <a:xfrm>
                                  <a:off x="1973580" y="1564005"/>
                                  <a:ext cx="349885" cy="297180"/>
                                </a:xfrm>
                                <a:prstGeom prst="rect">
                                  <a:avLst/>
                                </a:prstGeom>
                                <a:noFill/>
                                <a:ln>
                                  <a:noFill/>
                                </a:ln>
                              </wps:spPr>
                              <wps:txbx>
                                <w:txbxContent>
                                  <w:p>
                                    <w:pPr>
                                      <w:spacing w:line="240" w:lineRule="auto"/>
                                      <w:ind w:firstLine="0" w:firstLineChars="0"/>
                                      <w:rPr>
                                        <w:sz w:val="21"/>
                                        <w:szCs w:val="21"/>
                                      </w:rPr>
                                    </w:pPr>
                                    <w:r>
                                      <w:rPr>
                                        <w:sz w:val="21"/>
                                        <w:szCs w:val="21"/>
                                      </w:rPr>
                                      <w:t>0.4</w:t>
                                    </w:r>
                                  </w:p>
                                </w:txbxContent>
                              </wps:txbx>
                              <wps:bodyPr rot="0" vert="horz" wrap="none" lIns="91440" tIns="45720" rIns="91440" bIns="45720" anchor="t" anchorCtr="0" upright="1">
                                <a:noAutofit/>
                              </wps:bodyPr>
                            </wps:wsp>
                            <wps:wsp>
                              <wps:cNvPr id="134" name="Rectangle 966"/>
                              <wps:cNvSpPr>
                                <a:spLocks noChangeArrowheads="1"/>
                              </wps:cNvSpPr>
                              <wps:spPr bwMode="auto">
                                <a:xfrm>
                                  <a:off x="2306955" y="1012190"/>
                                  <a:ext cx="482600"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sz w:val="21"/>
                                        <w:szCs w:val="21"/>
                                      </w:rPr>
                                      <w:t>0.</w:t>
                                    </w:r>
                                    <w:r>
                                      <w:rPr>
                                        <w:rFonts w:hint="eastAsia" w:ascii="Times New Roman" w:eastAsia="宋体"/>
                                        <w:sz w:val="21"/>
                                        <w:szCs w:val="21"/>
                                        <w:lang w:val="en-US" w:eastAsia="zh-CN"/>
                                      </w:rPr>
                                      <w:t>5</w:t>
                                    </w:r>
                                    <w:r>
                                      <w:rPr>
                                        <w:rFonts w:hint="eastAsia"/>
                                        <w:sz w:val="21"/>
                                        <w:szCs w:val="21"/>
                                        <w:lang w:val="en-US" w:eastAsia="zh-CN"/>
                                      </w:rPr>
                                      <w:t>92</w:t>
                                    </w:r>
                                  </w:p>
                                </w:txbxContent>
                              </wps:txbx>
                              <wps:bodyPr rot="0" vert="horz" wrap="none" lIns="91440" tIns="45720" rIns="91440" bIns="45720" anchor="t" anchorCtr="0" upright="1">
                                <a:noAutofit/>
                              </wps:bodyPr>
                            </wps:wsp>
                            <wps:wsp>
                              <wps:cNvPr id="135" name="AutoShape 666"/>
                              <wps:cNvSpPr>
                                <a:spLocks noChangeArrowheads="1"/>
                              </wps:cNvSpPr>
                              <wps:spPr bwMode="auto">
                                <a:xfrm>
                                  <a:off x="1450857" y="121472"/>
                                  <a:ext cx="752475" cy="289560"/>
                                </a:xfrm>
                                <a:prstGeom prst="cloudCallout">
                                  <a:avLst>
                                    <a:gd name="adj1" fmla="val -45380"/>
                                    <a:gd name="adj2" fmla="val 80417"/>
                                  </a:avLst>
                                </a:prstGeom>
                                <a:noFill/>
                                <a:ln w="9525">
                                  <a:solidFill>
                                    <a:srgbClr val="000000"/>
                                  </a:solidFill>
                                  <a:round/>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sz w:val="21"/>
                                        <w:szCs w:val="21"/>
                                      </w:rPr>
                                      <w:t>0</w:t>
                                    </w:r>
                                    <w:r>
                                      <w:rPr>
                                        <w:rFonts w:hint="eastAsia"/>
                                        <w:sz w:val="21"/>
                                        <w:szCs w:val="21"/>
                                        <w:lang w:val="en-US" w:eastAsia="zh-CN"/>
                                      </w:rPr>
                                      <w:t>48</w:t>
                                    </w:r>
                                  </w:p>
                                </w:txbxContent>
                              </wps:txbx>
                              <wps:bodyPr rot="0" vert="horz" wrap="none" lIns="91440" tIns="0" rIns="91440" bIns="0" anchor="t" anchorCtr="0" upright="1">
                                <a:noAutofit/>
                              </wps:bodyPr>
                            </wps:wsp>
                            <wps:wsp>
                              <wps:cNvPr id="136" name="直接连接符 1032"/>
                              <wps:cNvCnPr/>
                              <wps:spPr>
                                <a:xfrm>
                                  <a:off x="2348230" y="656590"/>
                                  <a:ext cx="6985" cy="1208405"/>
                                </a:xfrm>
                                <a:prstGeom prst="line">
                                  <a:avLst/>
                                </a:prstGeom>
                                <a:noFill/>
                                <a:ln w="6350" cap="flat" cmpd="sng" algn="ctr">
                                  <a:solidFill>
                                    <a:sysClr val="windowText" lastClr="000000"/>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wps:wsp>
                              <wps:cNvPr id="137" name="Line 960"/>
                              <wps:cNvCnPr>
                                <a:cxnSpLocks noChangeShapeType="1"/>
                              </wps:cNvCnPr>
                              <wps:spPr bwMode="auto">
                                <a:xfrm>
                                  <a:off x="2358390" y="1276985"/>
                                  <a:ext cx="394335" cy="635"/>
                                </a:xfrm>
                                <a:prstGeom prst="line">
                                  <a:avLst/>
                                </a:prstGeom>
                                <a:noFill/>
                                <a:ln w="9525">
                                  <a:solidFill>
                                    <a:srgbClr val="000000"/>
                                  </a:solidFill>
                                  <a:round/>
                                  <a:tailEnd type="triangle" w="med" len="med"/>
                                </a:ln>
                              </wps:spPr>
                              <wps:bodyPr/>
                            </wps:wsp>
                            <wps:wsp>
                              <wps:cNvPr id="138" name="Line 960"/>
                              <wps:cNvCnPr>
                                <a:cxnSpLocks noChangeShapeType="1"/>
                              </wps:cNvCnPr>
                              <wps:spPr bwMode="auto">
                                <a:xfrm>
                                  <a:off x="3375660" y="1284605"/>
                                  <a:ext cx="394335" cy="635"/>
                                </a:xfrm>
                                <a:prstGeom prst="line">
                                  <a:avLst/>
                                </a:prstGeom>
                                <a:noFill/>
                                <a:ln w="9525">
                                  <a:solidFill>
                                    <a:srgbClr val="000000"/>
                                  </a:solidFill>
                                  <a:round/>
                                  <a:tailEnd type="triangle" w="med" len="med"/>
                                </a:ln>
                              </wps:spPr>
                              <wps:bodyPr/>
                            </wps:wsp>
                            <wps:wsp>
                              <wps:cNvPr id="139" name="Rectangle 966"/>
                              <wps:cNvSpPr>
                                <a:spLocks noChangeArrowheads="1"/>
                              </wps:cNvSpPr>
                              <wps:spPr bwMode="auto">
                                <a:xfrm>
                                  <a:off x="3337560" y="1040130"/>
                                  <a:ext cx="749300" cy="296545"/>
                                </a:xfrm>
                                <a:prstGeom prst="rect">
                                  <a:avLst/>
                                </a:prstGeom>
                                <a:noFill/>
                                <a:ln>
                                  <a:noFill/>
                                </a:ln>
                              </wps:spPr>
                              <wps:txbx>
                                <w:txbxContent>
                                  <w:p>
                                    <w:pPr>
                                      <w:widowControl/>
                                      <w:spacing w:before="0" w:beforeAutospacing="0" w:after="0" w:afterAutospacing="0"/>
                                      <w:jc w:val="both"/>
                                      <w:rPr>
                                        <w:rFonts w:hint="default" w:ascii="宋体" w:hAnsi="宋体" w:eastAsia="宋体" w:cs="宋体"/>
                                        <w:kern w:val="0"/>
                                        <w:sz w:val="24"/>
                                        <w:szCs w:val="24"/>
                                        <w:lang w:val="en-US" w:eastAsia="zh-CN" w:bidi="ar-SA"/>
                                      </w:rPr>
                                    </w:pPr>
                                    <w:r>
                                      <w:rPr>
                                        <w:rFonts w:ascii="Times New Roman" w:hAnsi="Times New Roman" w:eastAsia="宋体" w:cs="宋体"/>
                                        <w:kern w:val="2"/>
                                        <w:sz w:val="21"/>
                                        <w:szCs w:val="21"/>
                                        <w:lang w:val="en-US" w:eastAsia="zh-CN" w:bidi="ar-SA"/>
                                      </w:rPr>
                                      <w:t>0.</w:t>
                                    </w:r>
                                    <w:r>
                                      <w:rPr>
                                        <w:rFonts w:hint="eastAsia" w:ascii="Times New Roman" w:hAnsi="Times New Roman" w:eastAsia="宋体" w:cs="宋体"/>
                                        <w:kern w:val="2"/>
                                        <w:sz w:val="21"/>
                                        <w:szCs w:val="21"/>
                                        <w:lang w:val="en-US" w:eastAsia="zh-CN" w:bidi="ar-SA"/>
                                      </w:rPr>
                                      <w:t>528</w:t>
                                    </w:r>
                                  </w:p>
                                </w:txbxContent>
                              </wps:txbx>
                              <wps:bodyPr rot="0" vert="horz" wrap="none" lIns="91440" tIns="45720" rIns="91440" bIns="45720" anchor="t" anchorCtr="0" upright="1">
                                <a:noAutofit/>
                              </wps:bodyPr>
                            </wps:wsp>
                            <wps:wsp>
                              <wps:cNvPr id="140" name="直接连接符 2"/>
                              <wps:cNvCnPr/>
                              <wps:spPr>
                                <a:xfrm>
                                  <a:off x="570230" y="1365250"/>
                                  <a:ext cx="1270" cy="514350"/>
                                </a:xfrm>
                                <a:prstGeom prst="line">
                                  <a:avLst/>
                                </a:prstGeom>
                                <a:noFill/>
                                <a:ln w="6350" cap="flat" cmpd="sng" algn="ctr">
                                  <a:solidFill>
                                    <a:sysClr val="windowText" lastClr="000000"/>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wps:wsp>
                              <wps:cNvPr id="141" name="Rectangle 672"/>
                              <wps:cNvSpPr>
                                <a:spLocks noChangeArrowheads="1"/>
                              </wps:cNvSpPr>
                              <wps:spPr bwMode="auto">
                                <a:xfrm>
                                  <a:off x="3812540" y="1149985"/>
                                  <a:ext cx="1270000" cy="295275"/>
                                </a:xfrm>
                                <a:prstGeom prst="rect">
                                  <a:avLst/>
                                </a:prstGeom>
                                <a:noFill/>
                                <a:ln w="9525">
                                  <a:solidFill>
                                    <a:srgbClr val="000000"/>
                                  </a:solidFill>
                                  <a:miter lim="800000"/>
                                </a:ln>
                              </wps:spPr>
                              <wps:txbx>
                                <w:txbxContent>
                                  <w:p>
                                    <w:pPr>
                                      <w:widowControl/>
                                      <w:spacing w:before="0" w:beforeAutospacing="0" w:after="0" w:afterAutospacing="0"/>
                                      <w:jc w:val="both"/>
                                      <w:rPr>
                                        <w:rFonts w:ascii="宋体" w:hAnsi="宋体" w:eastAsia="宋体" w:cs="宋体"/>
                                        <w:kern w:val="0"/>
                                        <w:sz w:val="24"/>
                                        <w:szCs w:val="24"/>
                                        <w:lang w:val="en-US" w:eastAsia="zh-CN" w:bidi="ar-SA"/>
                                      </w:rPr>
                                    </w:pPr>
                                    <w:r>
                                      <w:rPr>
                                        <w:rFonts w:hint="eastAsia" w:ascii="Times New Roman" w:hAnsi="宋体" w:eastAsia="宋体" w:cs="宋体"/>
                                        <w:kern w:val="2"/>
                                        <w:sz w:val="21"/>
                                        <w:szCs w:val="21"/>
                                        <w:lang w:val="en-US" w:eastAsia="zh-CN" w:bidi="ar-SA"/>
                                      </w:rPr>
                                      <w:t>服务区污水处理站</w:t>
                                    </w:r>
                                  </w:p>
                                </w:txbxContent>
                              </wps:txbx>
                              <wps:bodyPr rot="0" vert="horz" wrap="square" lIns="91440" tIns="45720" rIns="91440" bIns="45720" anchor="t" anchorCtr="0" upright="1">
                                <a:noAutofit/>
                              </wps:bodyPr>
                            </wps:wsp>
                          </wpc:wpc>
                        </a:graphicData>
                      </a:graphic>
                    </wp:anchor>
                  </w:drawing>
                </mc:Choice>
                <mc:Fallback>
                  <w:pict>
                    <v:group id="_x0000_s1026" o:spid="_x0000_s1026" o:spt="203" style="position:absolute;left:0pt;margin-left:-19.35pt;margin-top:20.95pt;height:170.35pt;width:408.2pt;mso-position-horizontal-relative:char;mso-position-vertical-relative:line;z-index:-1675122688;mso-width-relative:page;mso-height-relative:page;" coordsize="5184140,2163445" editas="canvas" o:gfxdata="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">
                      <o:lock v:ext="edit" aspectratio="f"/>
                      <v:shape id="_x0000_s1026" o:spid="_x0000_s1026" style="position:absolute;left:0;top:0;height:2163445;width:5184140;" filled="f" stroked="f" coordsize="21600,21600" o:gfxdata="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">
                        <v:fill on="f" focussize="0,0"/>
                        <v:stroke on="f"/>
                        <v:imagedata o:title=""/>
                        <o:lock v:ext="edit" aspectratio="t"/>
                      </v:shape>
                      <v:rect id="Rectangle 662" o:spid="_x0000_s1026" o:spt="1" style="position:absolute;left:38100;top:1029630;height:288290;width:695325;" filled="f" stroked="f" coordsize="21600,21600" o:gfxdata="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ehm2NsAAAAKAQAADwAAAAAA&#10;AAABACAAAAAiAAAAZHJzL2Rvd25yZXYueG1sUEsBAhQAFAAAAAgAh07iQI9CqSAQAgAAGAQAAA4A&#10;AAAAAAAAAQAgAAAAKgEAAGRycy9lMm9Eb2MueG1sUEsFBgAAAAAGAAYAWQEAAKwFAAAAAA==&#10;">
                        <v:fill on="f" focussize="0,0"/>
                        <v:stroke on="f"/>
                        <v:imagedata o:title=""/>
                        <o:lock v:ext="edit" aspectratio="f"/>
                        <v:textbox>
                          <w:txbxContent>
                            <w:p>
                              <w:pPr>
                                <w:adjustRightInd w:val="0"/>
                                <w:snapToGrid w:val="0"/>
                                <w:spacing w:line="240" w:lineRule="auto"/>
                                <w:ind w:firstLine="0" w:firstLineChars="0"/>
                                <w:jc w:val="center"/>
                                <w:rPr>
                                  <w:sz w:val="21"/>
                                  <w:szCs w:val="21"/>
                                </w:rPr>
                              </w:pPr>
                              <w:r>
                                <w:rPr>
                                  <w:rFonts w:hint="eastAsia"/>
                                  <w:sz w:val="21"/>
                                  <w:szCs w:val="21"/>
                                </w:rPr>
                                <w:t>新鲜水</w:t>
                              </w:r>
                            </w:p>
                          </w:txbxContent>
                        </v:textbox>
                      </v:rect>
                      <v:line id="Line 664" o:spid="_x0000_s1026" o:spt="20" style="position:absolute;left:170815;top:1016000;height:635;width:381635;"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MZvsLbAAAACgEAAA8AAAAAAAAAAQAgAAAAIgAAAGRycy9kb3ducmV2LnhtbFBLAQIU&#10;ABQAAAAIAIdO4kDX76B38AEAAN0DAAAOAAAAAAAAAAEAIAAAACoBAABkcnMvZTJvRG9jLnhtbFBL&#10;BQYAAAAABgAGAFkBAACMBQAAAAA=&#10;">
                        <v:fill on="f" focussize="0,0"/>
                        <v:stroke color="#000000" joinstyle="round" endarrow="block"/>
                        <v:imagedata o:title=""/>
                        <o:lock v:ext="edit" aspectratio="f"/>
                      </v:line>
                      <v:rect id="Rectangle 665" o:spid="_x0000_s1026" o:spt="1" style="position:absolute;left:170815;top:777816;height:296545;width:415925;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SyoSNgAAAAKAQAADwAAAAAAAAABACAA&#10;AAAiAAAAZHJzL2Rvd25yZXYueG1sUEsBAhQAFAAAAAgAh07iQJOWyqENAgAAFgQAAA4AAAAAAAAA&#10;AQAgAAAAJwEAAGRycy9lMm9Eb2MueG1sUEsFBgAAAAAGAAYAWQEAAKY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74</w:t>
                              </w:r>
                            </w:p>
                          </w:txbxContent>
                        </v:textbox>
                      </v:rect>
                      <v:line id="Line 668" o:spid="_x0000_s1026" o:spt="20" style="position:absolute;left:573405;top:665140;height:720090;width:635;" filled="f" stroked="t" coordsize="21600,21600" o:gfxdata="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CBkoX7ZAAAACgEAAA8AAAAA&#10;AAAAAQAgAAAAIgAAAGRycy9kb3ducmV2LnhtbFBLAQIUABQAAAAIAIdO4kBexEQ82gEAAK4DAAAO&#10;AAAAAAAAAAEAIAAAACgBAABkcnMvZTJvRG9jLnhtbFBLBQYAAAAABgAGAFkBAAB0BQAAAAA=&#10;">
                        <v:fill on="f" focussize="0,0"/>
                        <v:stroke color="#000000" joinstyle="round"/>
                        <v:imagedata o:title=""/>
                        <o:lock v:ext="edit" aspectratio="f"/>
                      </v:line>
                      <v:line id="Line 669" o:spid="_x0000_s1026" o:spt="20" style="position:absolute;left:574040;top:667680;height:635;width:431800;"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MZvsLbAAAACgEAAA8AAAAAAAAAAQAgAAAAIgAAAGRycy9kb3ducmV2LnhtbFBL&#10;AQIUABQAAAAIAIdO4kAvh8gE8wEAANwDAAAOAAAAAAAAAAEAIAAAACoBAABkcnMvZTJvRG9jLnht&#10;bFBLBQYAAAAABgAGAFkBAACPBQAAAAA=&#10;">
                        <v:fill on="f" focussize="0,0"/>
                        <v:stroke color="#000000" joinstyle="round" endarrow="block"/>
                        <v:imagedata o:title=""/>
                        <o:lock v:ext="edit" aspectratio="f"/>
                      </v:line>
                      <v:rect id="Rectangle 670" o:spid="_x0000_s1026" o:spt="1" style="position:absolute;left:1007110;top:524170;height:297180;width:993140;mso-wrap-style:none;" filled="f" stroked="t" coordsize="21600,21600" o:gfxdata="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2VazXZAAAACgEAAA8AAAAAAAAAAQAgAAAAIgAAAGRycy9kb3ducmV2&#10;LnhtbFBLAQIUABQAAAAIAIdO4kA8jhH2NAIAAGAEAAAOAAAAAAAAAAEAIAAAACgBAABkcnMvZTJv&#10;RG9jLnhtbFBLBQYAAAAABgAGAFkBAADOBQAAAAA=&#10;">
                        <v:fill on="f" focussize="0,0"/>
                        <v:stroke color="#000000" miterlimit="8" joinstyle="miter"/>
                        <v:imagedata o:title=""/>
                        <o:lock v:ext="edit" aspectratio="f"/>
                        <v:textbox>
                          <w:txbxContent>
                            <w:p>
                              <w:pPr>
                                <w:spacing w:line="240" w:lineRule="auto"/>
                                <w:ind w:firstLine="0" w:firstLineChars="0"/>
                                <w:rPr>
                                  <w:sz w:val="21"/>
                                  <w:szCs w:val="21"/>
                                </w:rPr>
                              </w:pPr>
                              <w:r>
                                <w:rPr>
                                  <w:rFonts w:hint="eastAsia"/>
                                  <w:sz w:val="21"/>
                                  <w:szCs w:val="21"/>
                                </w:rPr>
                                <w:t>职工</w:t>
                              </w:r>
                              <w:r>
                                <w:rPr>
                                  <w:sz w:val="21"/>
                                  <w:szCs w:val="21"/>
                                </w:rPr>
                                <w:t>办公生活</w:t>
                              </w:r>
                            </w:p>
                          </w:txbxContent>
                        </v:textbox>
                      </v:rect>
                      <v:line id="Line 671" o:spid="_x0000_s1026" o:spt="20" style="position:absolute;left:575310;top:1875790;height:635;width:431800;"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MZvsLbAAAACgEAAA8AAAAAAAAAAQAgAAAAIgAAAGRycy9kb3ducmV2LnhtbFBL&#10;AQIUABQAAAAIAIdO4kCMe9yH8wEAAN0DAAAOAAAAAAAAAAEAIAAAACoBAABkcnMvZTJvRG9jLnht&#10;bFBLBQYAAAAABgAGAFkBAACPBQAAAAA=&#10;">
                        <v:fill on="f" focussize="0,0"/>
                        <v:stroke color="#000000" joinstyle="round" endarrow="block"/>
                        <v:imagedata o:title=""/>
                        <o:lock v:ext="edit" aspectratio="f"/>
                      </v:line>
                      <v:rect id="Rectangle 672" o:spid="_x0000_s1026" o:spt="1" style="position:absolute;left:999490;top:1716405;height:297180;width:963295;" filled="f" stroked="t" coordsize="21600,21600" o:gfxdata="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7ZuH22AAAAAoBAAAPAAAAAAAAAAEAIAAAACIAAABkcnMvZG93bnJl&#10;di54bWxQSwECFAAUAAAACACHTuJADazKTzYCAABiBAAADgAAAAAAAAABACAAAAAnAQAAZHJzL2Uy&#10;b0RvYy54bWxQSwUGAAAAAAYABgBZAQAAzwUAAAAA&#10;">
                        <v:fill on="f" focussize="0,0"/>
                        <v:stroke color="#000000" miterlimit="8" joinstyle="miter"/>
                        <v:imagedata o:title=""/>
                        <o:lock v:ext="edit" aspectratio="f"/>
                        <v:textbox>
                          <w:txbxContent>
                            <w:p>
                              <w:pPr>
                                <w:spacing w:line="240" w:lineRule="auto"/>
                                <w:ind w:firstLine="210" w:firstLineChars="100"/>
                                <w:rPr>
                                  <w:sz w:val="21"/>
                                  <w:szCs w:val="21"/>
                                </w:rPr>
                              </w:pPr>
                              <w:r>
                                <w:rPr>
                                  <w:rFonts w:hint="eastAsia"/>
                                  <w:sz w:val="21"/>
                                  <w:szCs w:val="21"/>
                                </w:rPr>
                                <w:t>客人用水</w:t>
                              </w:r>
                            </w:p>
                          </w:txbxContent>
                        </v:textbox>
                      </v:rect>
                      <v:rect id="Rectangle 673" o:spid="_x0000_s1026" o:spt="1" style="position:absolute;left:571500;top:434883;height:297180;width:415925;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SyoSNgAAAAKAQAADwAAAAAAAAAB&#10;ACAAAAAiAAAAZHJzL2Rvd25yZXYueG1sUEsBAhQAFAAAAAgAh07iQDev9rQQAgAAFgQAAA4AAAAA&#10;AAAAAQAgAAAAJwEAAGRycy9lMm9Eb2MueG1sUEsFBgAAAAAGAAYAWQEAAKk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24</w:t>
                              </w:r>
                            </w:p>
                          </w:txbxContent>
                        </v:textbox>
                      </v:rect>
                      <v:rect id="Rectangle 674" o:spid="_x0000_s1026" o:spt="1" style="position:absolute;left:560705;top:1584960;height:297180;width:349885;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LKhI2AAAAAoBAAAPAAAAAAAAAAEA&#10;IAAAACIAAABkcnMvZG93bnJldi54bWxQSwECFAAUAAAACACHTuJAiqCyZA8CAAAXBAAADgAAAAAA&#10;AAABACAAAAAnAQAAZHJzL2Uyb0RvYy54bWxQSwUGAAAAAAYABgBZAQAAqAUAAAAA&#10;">
                        <v:fill on="f" focussize="0,0"/>
                        <v:stroke on="f"/>
                        <v:imagedata o:title=""/>
                        <o:lock v:ext="edit" aspectratio="f"/>
                        <v:textbox>
                          <w:txbxContent>
                            <w:p>
                              <w:pPr>
                                <w:spacing w:line="240" w:lineRule="auto"/>
                                <w:ind w:firstLine="0" w:firstLineChars="0"/>
                                <w:rPr>
                                  <w:sz w:val="21"/>
                                  <w:szCs w:val="21"/>
                                </w:rPr>
                              </w:pPr>
                              <w:r>
                                <w:rPr>
                                  <w:sz w:val="21"/>
                                  <w:szCs w:val="21"/>
                                </w:rPr>
                                <w:t>0.5</w:t>
                              </w:r>
                            </w:p>
                          </w:txbxContent>
                        </v:textbox>
                      </v:rect>
                      <v:line id="Line 675" o:spid="_x0000_s1026" o:spt="20" style="position:absolute;left:2009140;top:670220;height:0;width:372745;"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MZvsLbAAAACgEAAA8AAAAAAAAAAQAgAAAAIgAAAGRycy9kb3ducmV2LnhtbFBL&#10;AQIUABQAAAAIAIdO4kAY4erX8wEAANsDAAAOAAAAAAAAAAEAIAAAACoBAABkcnMvZTJvRG9jLnht&#10;bFBLBQYAAAAABgAGAFkBAACPBQAAAAA=&#10;">
                        <v:fill on="f" focussize="0,0"/>
                        <v:stroke color="#000000" joinstyle="round" endarrow="block"/>
                        <v:imagedata o:title=""/>
                        <o:lock v:ext="edit" aspectratio="f"/>
                      </v:line>
                      <v:rect id="Rectangle 676" o:spid="_x0000_s1026" o:spt="1" style="position:absolute;left:1969770;top:460620;height:297180;width:482600;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UsqEjYAAAACgEAAA8AAAAAAAAAAQAg&#10;AAAAIgAAAGRycy9kb3ducmV2LnhtbFBLAQIUABQAAAAIAIdO4kCeyLPZDgIAABcEAAAOAAAAAAAA&#10;AAEAIAAAACcBAABkcnMvZTJvRG9jLnhtbFBLBQYAAAAABgAGAFkBAACnBQ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sz w:val="21"/>
                                  <w:szCs w:val="21"/>
                                </w:rPr>
                                <w:t>0</w:t>
                              </w:r>
                              <w:r>
                                <w:rPr>
                                  <w:rFonts w:hint="eastAsia"/>
                                  <w:sz w:val="21"/>
                                  <w:szCs w:val="21"/>
                                </w:rPr>
                                <w:t>.</w:t>
                              </w:r>
                              <w:r>
                                <w:rPr>
                                  <w:rFonts w:hint="eastAsia" w:ascii="Times New Roman" w:eastAsia="宋体"/>
                                  <w:sz w:val="21"/>
                                  <w:szCs w:val="21"/>
                                  <w:lang w:val="en-US" w:eastAsia="zh-CN"/>
                                </w:rPr>
                                <w:t>1</w:t>
                              </w:r>
                              <w:r>
                                <w:rPr>
                                  <w:rFonts w:hint="eastAsia"/>
                                  <w:sz w:val="21"/>
                                  <w:szCs w:val="21"/>
                                  <w:lang w:val="en-US" w:eastAsia="zh-CN"/>
                                </w:rPr>
                                <w:t>92</w:t>
                              </w:r>
                            </w:p>
                          </w:txbxContent>
                        </v:textbox>
                      </v:rect>
                      <v:shape id="AutoShape 677" o:spid="_x0000_s1026" o:spt="106" type="#_x0000_t106" style="position:absolute;left:1351280;top:1224280;height:391795;width:658495;" filled="f" stroked="t" coordsize="21600,21600" o:gfxdata="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rB0UHaAAAA&#10;CgEAAA8AAAAAAAAAAQAgAAAAIgAAAGRycy9kb3ducmV2LnhtbFBLAQIUABQAAAAIAIdO4kB5w5S7&#10;VAIAALAEAAAOAAAAAAAAAAEAIAAAACkBAABkcnMvZTJvRG9jLnhtbFBLBQYAAAAABgAGAFkBAADv&#10;BQAAAAA=&#10;" adj="769,25111">
                        <v:fill on="f" focussize="0,0"/>
                        <v:stroke color="#000000" joinstyle="round"/>
                        <v:imagedata o:title=""/>
                        <o:lock v:ext="edit" aspectratio="f"/>
                        <v:textbox>
                          <w:txbxContent>
                            <w:p>
                              <w:pPr>
                                <w:spacing w:line="240" w:lineRule="auto"/>
                                <w:ind w:firstLine="0" w:firstLineChars="0"/>
                                <w:rPr>
                                  <w:sz w:val="21"/>
                                  <w:szCs w:val="21"/>
                                </w:rPr>
                              </w:pPr>
                              <w:r>
                                <w:rPr>
                                  <w:sz w:val="21"/>
                                  <w:szCs w:val="21"/>
                                </w:rPr>
                                <w:t>0.1</w:t>
                              </w:r>
                            </w:p>
                          </w:txbxContent>
                        </v:textbox>
                      </v:shape>
                      <v:rect id="Rectangle 679" o:spid="_x0000_s1026" o:spt="1" style="position:absolute;left:2766695;top:1111885;height:297180;width:611505;" filled="f" stroked="t" coordsize="21600,21600" o:gfxdata="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2bh9tgAAAAKAQAADwAAAAAAAAABACAAAAAiAAAAZHJzL2Rvd25y&#10;ZXYueG1sUEsBAhQAFAAAAAgAh07iQDjcIeI3AgAAYwQAAA4AAAAAAAAAAQAgAAAAJwEAAGRycy9l&#10;Mm9Eb2MueG1sUEsFBgAAAAAGAAYAWQEAANAFAAAAAA==&#10;">
                        <v:fill on="f" focussize="0,0"/>
                        <v:stroke color="#000000" miterlimit="8" joinstyle="miter"/>
                        <v:imagedata o:title=""/>
                        <o:lock v:ext="edit" aspectratio="f"/>
                        <v:textbox>
                          <w:txbxContent>
                            <w:p>
                              <w:pPr>
                                <w:spacing w:line="240" w:lineRule="auto"/>
                                <w:ind w:firstLine="0" w:firstLineChars="0"/>
                                <w:rPr>
                                  <w:rFonts w:hint="eastAsia" w:eastAsia="宋体"/>
                                  <w:sz w:val="21"/>
                                  <w:szCs w:val="21"/>
                                  <w:lang w:eastAsia="zh-CN"/>
                                </w:rPr>
                              </w:pPr>
                              <w:r>
                                <w:rPr>
                                  <w:rFonts w:hint="eastAsia"/>
                                  <w:sz w:val="21"/>
                                  <w:szCs w:val="21"/>
                                  <w:lang w:eastAsia="zh-CN"/>
                                </w:rPr>
                                <w:t>排污管道</w:t>
                              </w:r>
                            </w:p>
                          </w:txbxContent>
                        </v:textbox>
                      </v:rect>
                      <v:line id="Line 960" o:spid="_x0000_s1026" o:spt="20" style="position:absolute;left:1959610;top:1868805;height:1270;width:394335;"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jGb7C2wAAAAoBAAAPAAAAAAAAAAEAIAAAACIAAABkcnMvZG93bnJldi54&#10;bWxQSwECFAAUAAAACACHTuJAqItIH/cBAADfAwAADgAAAAAAAAABACAAAAAqAQAAZHJzL2Uyb0Rv&#10;Yy54bWxQSwUGAAAAAAYABgBZAQAAkwUAAAAA&#10;">
                        <v:fill on="f" focussize="0,0"/>
                        <v:stroke color="#000000" joinstyle="round" endarrow="block"/>
                        <v:imagedata o:title=""/>
                        <o:lock v:ext="edit" aspectratio="f"/>
                      </v:line>
                      <v:rect id="Rectangle 965" o:spid="_x0000_s1026" o:spt="1" style="position:absolute;left:1973580;top:1564005;height:297180;width:349885;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LKhI2AAAAAoBAAAPAAAAAAAAAAEA&#10;IAAAACIAAABkcnMvZG93bnJldi54bWxQSwECFAAUAAAACACHTuJACJD0Zw8CAAAYBAAADgAAAAAA&#10;AAABACAAAAAnAQAAZHJzL2Uyb0RvYy54bWxQSwUGAAAAAAYABgBZAQAAqAUAAAAA&#10;">
                        <v:fill on="f" focussize="0,0"/>
                        <v:stroke on="f"/>
                        <v:imagedata o:title=""/>
                        <o:lock v:ext="edit" aspectratio="f"/>
                        <v:textbox>
                          <w:txbxContent>
                            <w:p>
                              <w:pPr>
                                <w:spacing w:line="240" w:lineRule="auto"/>
                                <w:ind w:firstLine="0" w:firstLineChars="0"/>
                                <w:rPr>
                                  <w:sz w:val="21"/>
                                  <w:szCs w:val="21"/>
                                </w:rPr>
                              </w:pPr>
                              <w:r>
                                <w:rPr>
                                  <w:sz w:val="21"/>
                                  <w:szCs w:val="21"/>
                                </w:rPr>
                                <w:t>0.4</w:t>
                              </w:r>
                            </w:p>
                          </w:txbxContent>
                        </v:textbox>
                      </v:rect>
                      <v:rect id="Rectangle 966" o:spid="_x0000_s1026" o:spt="1" style="position:absolute;left:2306955;top:1012190;height:297180;width:482600;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SyoSNgAAAAKAQAADwAAAAAAAAAB&#10;ACAAAAAiAAAAZHJzL2Rvd25yZXYueG1sUEsBAhQAFAAAAAgAh07iQOq7WosQAgAAGAQAAA4AAAAA&#10;AAAAAQAgAAAAJwEAAGRycy9lMm9Eb2MueG1sUEsFBgAAAAAGAAYAWQEAAKk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sz w:val="21"/>
                                  <w:szCs w:val="21"/>
                                </w:rPr>
                                <w:t>0.</w:t>
                              </w:r>
                              <w:r>
                                <w:rPr>
                                  <w:rFonts w:hint="eastAsia" w:ascii="Times New Roman" w:eastAsia="宋体"/>
                                  <w:sz w:val="21"/>
                                  <w:szCs w:val="21"/>
                                  <w:lang w:val="en-US" w:eastAsia="zh-CN"/>
                                </w:rPr>
                                <w:t>5</w:t>
                              </w:r>
                              <w:r>
                                <w:rPr>
                                  <w:rFonts w:hint="eastAsia"/>
                                  <w:sz w:val="21"/>
                                  <w:szCs w:val="21"/>
                                  <w:lang w:val="en-US" w:eastAsia="zh-CN"/>
                                </w:rPr>
                                <w:t>92</w:t>
                              </w:r>
                            </w:p>
                          </w:txbxContent>
                        </v:textbox>
                      </v:rect>
                      <v:shape id="AutoShape 666" o:spid="_x0000_s1026" o:spt="106" type="#_x0000_t106" style="position:absolute;left:1450857;top:121472;height:289560;width:752475;mso-wrap-style:none;" filled="f" stroked="t" coordsize="21600,21600" o:gfxdata="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nI4Jd9kAAAAK&#10;AQAADwAAAAAAAAABACAAAAAiAAAAZHJzL2Rvd25yZXYueG1sUEsBAhQAFAAAAAgAh07iQIGYSBdU&#10;AgAApQQAAA4AAAAAAAAAAQAgAAAAKAEAAGRycy9lMm9Eb2MueG1sUEsFBgAAAAAGAAYAWQEAAO4F&#10;AAAAAA==&#10;" adj="998,28170">
                        <v:fill on="f" focussize="0,0"/>
                        <v:stroke color="#000000" joinstyle="round"/>
                        <v:imagedata o:title=""/>
                        <o:lock v:ext="edit" aspectratio="f"/>
                        <v:textbox inset="2.54mm,0mm,2.54mm,0mm">
                          <w:txbxContent>
                            <w:p>
                              <w:pPr>
                                <w:spacing w:line="240" w:lineRule="auto"/>
                                <w:ind w:firstLine="0" w:firstLineChars="0"/>
                                <w:rPr>
                                  <w:rFonts w:hint="default" w:eastAsia="宋体"/>
                                  <w:sz w:val="21"/>
                                  <w:szCs w:val="21"/>
                                  <w:lang w:val="en-US" w:eastAsia="zh-CN"/>
                                </w:rPr>
                              </w:pPr>
                              <w:r>
                                <w:rPr>
                                  <w:rFonts w:hint="eastAsia"/>
                                  <w:sz w:val="21"/>
                                  <w:szCs w:val="21"/>
                                </w:rPr>
                                <w:t>0.</w:t>
                              </w:r>
                              <w:r>
                                <w:rPr>
                                  <w:sz w:val="21"/>
                                  <w:szCs w:val="21"/>
                                </w:rPr>
                                <w:t>0</w:t>
                              </w:r>
                              <w:r>
                                <w:rPr>
                                  <w:rFonts w:hint="eastAsia"/>
                                  <w:sz w:val="21"/>
                                  <w:szCs w:val="21"/>
                                  <w:lang w:val="en-US" w:eastAsia="zh-CN"/>
                                </w:rPr>
                                <w:t>48</w:t>
                              </w:r>
                            </w:p>
                          </w:txbxContent>
                        </v:textbox>
                      </v:shape>
                      <v:line id="直接连接符 1032" o:spid="_x0000_s1026" o:spt="20" style="position:absolute;left:2348230;top:656590;height:1208405;width:6985;" filled="f" stroked="t" coordsize="21600,21600" o:gfxdata="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KQHw7YAAAACgEAAA8AAAAAAAAAAQAgAAAAIgAA&#10;AGRycy9kb3ducmV2LnhtbFBLAQIUABQAAAAIAIdO4kAPfWWlCAIAAOYDAAAOAAAAAAAAAAEAIAAA&#10;ACcBAABkcnMvZTJvRG9jLnhtbFBLBQYAAAAABgAGAFkBAAChBQAAAAA=&#10;">
                        <v:fill on="f" focussize="0,0"/>
                        <v:stroke weight="0.5pt" color="#000000 [3204]" miterlimit="8" joinstyle="miter"/>
                        <v:imagedata o:title=""/>
                        <o:lock v:ext="edit" aspectratio="f"/>
                      </v:line>
                      <v:line id="Line 960" o:spid="_x0000_s1026" o:spt="20" style="position:absolute;left:2358390;top:1276985;height:635;width:394335;"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xm+wtsAAAAKAQAADwAAAAAAAAABACAAAAAiAAAAZHJzL2Rvd25yZXYueG1s&#10;UEsBAhQAFAAAAAgAh07iQI2NEG/1AQAA3gMAAA4AAAAAAAAAAQAgAAAAKgEAAGRycy9lMm9Eb2Mu&#10;eG1sUEsFBgAAAAAGAAYAWQEAAJEFAAAAAA==&#10;">
                        <v:fill on="f" focussize="0,0"/>
                        <v:stroke color="#000000" joinstyle="round" endarrow="block"/>
                        <v:imagedata o:title=""/>
                        <o:lock v:ext="edit" aspectratio="f"/>
                      </v:line>
                      <v:line id="Line 960" o:spid="_x0000_s1026" o:spt="20" style="position:absolute;left:3375660;top:1284605;height:635;width:394335;" filled="f" stroked="t" coordsize="21600,21600" o:gfxdata="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jGb7C2wAAAAoBAAAPAAAAAAAAAAEAIAAAACIAAABkcnMvZG93bnJldi54bWxQ&#10;SwECFAAUAAAACACHTuJAdTO/LvQBAADeAwAADgAAAAAAAAABACAAAAAqAQAAZHJzL2Uyb0RvYy54&#10;bWxQSwUGAAAAAAYABgBZAQAAkAUAAAAA&#10;">
                        <v:fill on="f" focussize="0,0"/>
                        <v:stroke color="#000000" joinstyle="round" endarrow="block"/>
                        <v:imagedata o:title=""/>
                        <o:lock v:ext="edit" aspectratio="f"/>
                      </v:line>
                      <v:rect id="Rectangle 966" o:spid="_x0000_s1026" o:spt="1" style="position:absolute;left:3337560;top:1040130;height:296545;width:749300;mso-wrap-style:none;" filled="f" stroked="f" coordsize="21600,21600" o:gfxdata="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SyoSNgAAAAKAQAADwAAAAAAAAAB&#10;ACAAAAAiAAAAZHJzL2Rvd25yZXYueG1sUEsBAhQAFAAAAAgAh07iQJeSnG4QAgAAGAQAAA4AAAAA&#10;AAAAAQAgAAAAJwEAAGRycy9lMm9Eb2MueG1sUEsFBgAAAAAGAAYAWQEAAKkFAAAAAA==&#10;">
                        <v:fill on="f" focussize="0,0"/>
                        <v:stroke on="f"/>
                        <v:imagedata o:title=""/>
                        <o:lock v:ext="edit" aspectratio="f"/>
                        <v:textbox>
                          <w:txbxContent>
                            <w:p>
                              <w:pPr>
                                <w:widowControl/>
                                <w:spacing w:before="0" w:beforeAutospacing="0" w:after="0" w:afterAutospacing="0"/>
                                <w:jc w:val="both"/>
                                <w:rPr>
                                  <w:rFonts w:hint="default" w:ascii="宋体" w:hAnsi="宋体" w:eastAsia="宋体" w:cs="宋体"/>
                                  <w:kern w:val="0"/>
                                  <w:sz w:val="24"/>
                                  <w:szCs w:val="24"/>
                                  <w:lang w:val="en-US" w:eastAsia="zh-CN" w:bidi="ar-SA"/>
                                </w:rPr>
                              </w:pPr>
                              <w:r>
                                <w:rPr>
                                  <w:rFonts w:ascii="Times New Roman" w:hAnsi="Times New Roman" w:eastAsia="宋体" w:cs="宋体"/>
                                  <w:kern w:val="2"/>
                                  <w:sz w:val="21"/>
                                  <w:szCs w:val="21"/>
                                  <w:lang w:val="en-US" w:eastAsia="zh-CN" w:bidi="ar-SA"/>
                                </w:rPr>
                                <w:t>0.</w:t>
                              </w:r>
                              <w:r>
                                <w:rPr>
                                  <w:rFonts w:hint="eastAsia" w:ascii="Times New Roman" w:hAnsi="Times New Roman" w:eastAsia="宋体" w:cs="宋体"/>
                                  <w:kern w:val="2"/>
                                  <w:sz w:val="21"/>
                                  <w:szCs w:val="21"/>
                                  <w:lang w:val="en-US" w:eastAsia="zh-CN" w:bidi="ar-SA"/>
                                </w:rPr>
                                <w:t>528</w:t>
                              </w:r>
                            </w:p>
                          </w:txbxContent>
                        </v:textbox>
                      </v:rect>
                      <v:line id="直接连接符 2" o:spid="_x0000_s1026" o:spt="20" style="position:absolute;left:570230;top:1365250;height:514350;width:1270;" filled="f" stroked="t" coordsize="21600,21600" o:gfxdata="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KQHw7YAAAACgEAAA8AAAAAAAAAAQAgAAAAIgAAAGRycy9k&#10;b3ducmV2LnhtbFBLAQIUABQAAAAIAIdO4kC4pC6OAgIAAOIDAAAOAAAAAAAAAAEAIAAAACcBAABk&#10;cnMvZTJvRG9jLnhtbFBLBQYAAAAABgAGAFkBAACbBQAAAAA=&#10;">
                        <v:fill on="f" focussize="0,0"/>
                        <v:stroke weight="0.5pt" color="#000000 [3204]" miterlimit="8" joinstyle="miter"/>
                        <v:imagedata o:title=""/>
                        <o:lock v:ext="edit" aspectratio="f"/>
                      </v:line>
                      <v:rect id="Rectangle 672" o:spid="_x0000_s1026" o:spt="1" style="position:absolute;left:3812540;top:1149985;height:295275;width:1270000;" filled="f" stroked="t" coordsize="21600,21600" o:gfxdata="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2bh9tgAAAAKAQAADwAAAAAAAAABACAAAAAiAAAAZHJzL2Rvd25y&#10;ZXYueG1sUEsBAhQAFAAAAAgAh07iQLJrg503AgAAZAQAAA4AAAAAAAAAAQAgAAAAJwEAAGRycy9l&#10;Mm9Eb2MueG1sUEsFBgAAAAAGAAYAWQEAANAFAAAAAA==&#10;">
                        <v:fill on="f" focussize="0,0"/>
                        <v:stroke color="#000000" miterlimit="8" joinstyle="miter"/>
                        <v:imagedata o:title=""/>
                        <o:lock v:ext="edit" aspectratio="f"/>
                        <v:textbox>
                          <w:txbxContent>
                            <w:p>
                              <w:pPr>
                                <w:widowControl/>
                                <w:spacing w:before="0" w:beforeAutospacing="0" w:after="0" w:afterAutospacing="0"/>
                                <w:jc w:val="both"/>
                                <w:rPr>
                                  <w:rFonts w:ascii="宋体" w:hAnsi="宋体" w:eastAsia="宋体" w:cs="宋体"/>
                                  <w:kern w:val="0"/>
                                  <w:sz w:val="24"/>
                                  <w:szCs w:val="24"/>
                                  <w:lang w:val="en-US" w:eastAsia="zh-CN" w:bidi="ar-SA"/>
                                </w:rPr>
                              </w:pPr>
                              <w:r>
                                <w:rPr>
                                  <w:rFonts w:hint="eastAsia" w:ascii="Times New Roman" w:hAnsi="宋体" w:eastAsia="宋体" w:cs="宋体"/>
                                  <w:kern w:val="2"/>
                                  <w:sz w:val="21"/>
                                  <w:szCs w:val="21"/>
                                  <w:lang w:val="en-US" w:eastAsia="zh-CN" w:bidi="ar-SA"/>
                                </w:rPr>
                                <w:t>服务区污水处理站</w:t>
                              </w:r>
                            </w:p>
                          </w:txbxContent>
                        </v:textbox>
                      </v:rect>
                    </v:group>
                  </w:pict>
                </mc:Fallback>
              </mc:AlternateContent>
            </w:r>
            <w:r>
              <w:rPr>
                <w:rFonts w:hint="eastAsia"/>
                <w:b/>
                <w:bCs w:val="0"/>
                <w:sz w:val="24"/>
                <w:szCs w:val="24"/>
                <w:u w:val="single"/>
              </w:rPr>
              <w:t>项目</w:t>
            </w:r>
            <w:r>
              <w:rPr>
                <w:b/>
                <w:bCs w:val="0"/>
                <w:sz w:val="24"/>
                <w:szCs w:val="24"/>
                <w:u w:val="single"/>
              </w:rPr>
              <w:t>营运</w:t>
            </w:r>
            <w:r>
              <w:rPr>
                <w:rFonts w:hint="eastAsia"/>
                <w:b/>
                <w:bCs w:val="0"/>
                <w:sz w:val="24"/>
                <w:szCs w:val="24"/>
                <w:u w:val="single"/>
              </w:rPr>
              <w:t>期</w:t>
            </w:r>
            <w:r>
              <w:rPr>
                <w:b/>
                <w:bCs w:val="0"/>
                <w:sz w:val="24"/>
                <w:szCs w:val="24"/>
                <w:u w:val="single"/>
              </w:rPr>
              <w:t>水平衡</w:t>
            </w:r>
            <w:r>
              <w:rPr>
                <w:rFonts w:hint="eastAsia"/>
                <w:b/>
                <w:bCs w:val="0"/>
                <w:sz w:val="24"/>
                <w:szCs w:val="24"/>
                <w:u w:val="single"/>
              </w:rPr>
              <w:t>图</w:t>
            </w:r>
            <w:r>
              <w:rPr>
                <w:b/>
                <w:bCs w:val="0"/>
                <w:sz w:val="24"/>
                <w:szCs w:val="24"/>
                <w:u w:val="single"/>
              </w:rPr>
              <w:t>见图</w:t>
            </w:r>
            <w:r>
              <w:rPr>
                <w:rFonts w:hint="eastAsia"/>
                <w:b/>
                <w:bCs w:val="0"/>
                <w:sz w:val="24"/>
                <w:szCs w:val="24"/>
                <w:u w:val="single"/>
                <w:lang w:val="en-US" w:eastAsia="zh-CN"/>
              </w:rPr>
              <w:t>7</w:t>
            </w:r>
            <w:r>
              <w:rPr>
                <w:rFonts w:hint="eastAsia"/>
                <w:b/>
                <w:bCs w:val="0"/>
                <w:sz w:val="24"/>
                <w:szCs w:val="24"/>
                <w:u w:val="single"/>
              </w:rPr>
              <w:t>。</w:t>
            </w:r>
          </w:p>
          <w:p>
            <w:pPr>
              <w:adjustRightInd w:val="0"/>
              <w:snapToGrid w:val="0"/>
              <w:spacing w:line="500" w:lineRule="exact"/>
              <w:ind w:firstLine="0" w:firstLineChars="0"/>
              <w:rPr>
                <w:bCs/>
                <w:sz w:val="24"/>
                <w:szCs w:val="24"/>
              </w:rPr>
            </w:pPr>
          </w:p>
          <w:p>
            <w:pPr>
              <w:tabs>
                <w:tab w:val="left" w:pos="6460"/>
              </w:tabs>
              <w:spacing w:line="240" w:lineRule="auto"/>
              <w:ind w:firstLine="0" w:firstLineChars="0"/>
              <w:jc w:val="center"/>
              <w:rPr>
                <w:b/>
                <w:sz w:val="21"/>
                <w:szCs w:val="21"/>
              </w:rPr>
            </w:pPr>
            <w:r>
              <w:rPr>
                <w:b/>
                <w:sz w:val="21"/>
                <w:szCs w:val="21"/>
              </w:rPr>
              <mc:AlternateContent>
                <mc:Choice Requires="wps">
                  <w:drawing>
                    <wp:inline distT="0" distB="0" distL="0" distR="0">
                      <wp:extent cx="4181475" cy="1733550"/>
                      <wp:effectExtent l="0" t="0" r="0" b="0"/>
                      <wp:docPr id="14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81475" cy="1733550"/>
                              </a:xfrm>
                              <a:prstGeom prst="rect">
                                <a:avLst/>
                              </a:prstGeom>
                              <a:noFill/>
                              <a:ln>
                                <a:noFill/>
                              </a:ln>
                            </wps:spPr>
                            <wps:txbx>
                              <w:txbxContent>
                                <w:p>
                                  <w:pPr>
                                    <w:spacing w:line="240" w:lineRule="auto"/>
                                    <w:ind w:firstLine="0" w:firstLineChars="0"/>
                                    <w:jc w:val="center"/>
                                    <w:rPr>
                                      <w:sz w:val="28"/>
                                      <w:szCs w:val="20"/>
                                    </w:rPr>
                                  </w:pPr>
                                </w:p>
                              </w:txbxContent>
                            </wps:txbx>
                            <wps:bodyPr rot="0" vert="horz" wrap="square" lIns="91440" tIns="45720" rIns="91440" bIns="45720" anchor="t" anchorCtr="0" upright="1">
                              <a:noAutofit/>
                            </wps:bodyPr>
                          </wps:wsp>
                        </a:graphicData>
                      </a:graphic>
                    </wp:inline>
                  </w:drawing>
                </mc:Choice>
                <mc:Fallback>
                  <w:pict>
                    <v:rect id="AutoShape 3" o:spid="_x0000_s1026" o:spt="1" style="height:136.5pt;width:329.25pt;" filled="f" stroked="f" coordsize="21600,21600" o:gfxdata="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gnAs9gAAAAFAQAADwAAAAAAAAABACAAAAAi&#10;AAAAZHJzL2Rvd25yZXYueG1sUEsBAhQAFAAAAAgAh07iQBWhxgUKAgAAIQQAAA4AAAAAAAAAAQAg&#10;AAAAJwEAAGRycy9lMm9Eb2MueG1sUEsFBgAAAAAGAAYAWQEAAKMFAAAAAA==&#10;">
                      <v:fill on="f" focussize="0,0"/>
                      <v:stroke on="f"/>
                      <v:imagedata o:title=""/>
                      <o:lock v:ext="edit" aspectratio="t"/>
                      <v:textbox>
                        <w:txbxContent>
                          <w:p>
                            <w:pPr>
                              <w:spacing w:line="240" w:lineRule="auto"/>
                              <w:ind w:firstLine="0" w:firstLineChars="0"/>
                              <w:jc w:val="center"/>
                              <w:rPr>
                                <w:sz w:val="28"/>
                                <w:szCs w:val="20"/>
                              </w:rPr>
                            </w:pPr>
                          </w:p>
                        </w:txbxContent>
                      </v:textbox>
                      <w10:wrap type="none"/>
                      <w10:anchorlock/>
                    </v:rect>
                  </w:pict>
                </mc:Fallback>
              </mc:AlternateContent>
            </w:r>
          </w:p>
          <w:p>
            <w:pPr>
              <w:pStyle w:val="2"/>
              <w:jc w:val="center"/>
              <w:rPr>
                <w:u w:val="single"/>
              </w:rPr>
            </w:pPr>
            <w:r>
              <w:rPr>
                <w:b/>
                <w:sz w:val="24"/>
                <w:szCs w:val="24"/>
                <w:u w:val="single"/>
              </w:rPr>
              <w:t>图</w:t>
            </w:r>
            <w:r>
              <w:rPr>
                <w:rFonts w:hint="eastAsia"/>
                <w:b/>
                <w:sz w:val="24"/>
                <w:szCs w:val="24"/>
                <w:u w:val="single"/>
                <w:lang w:val="en-US" w:eastAsia="zh-CN"/>
              </w:rPr>
              <w:t>7</w:t>
            </w:r>
            <w:r>
              <w:rPr>
                <w:b/>
                <w:sz w:val="24"/>
                <w:szCs w:val="24"/>
                <w:u w:val="single"/>
              </w:rPr>
              <w:t xml:space="preserve">  项目营运</w:t>
            </w:r>
            <w:r>
              <w:rPr>
                <w:rFonts w:hint="eastAsia"/>
                <w:b/>
                <w:sz w:val="24"/>
                <w:szCs w:val="24"/>
                <w:u w:val="single"/>
              </w:rPr>
              <w:t>期</w:t>
            </w:r>
            <w:r>
              <w:rPr>
                <w:b/>
                <w:sz w:val="24"/>
                <w:szCs w:val="24"/>
                <w:u w:val="single"/>
              </w:rPr>
              <w:t>用水平衡示意图</w:t>
            </w:r>
            <w:r>
              <w:rPr>
                <w:rFonts w:hint="eastAsia"/>
                <w:b/>
                <w:sz w:val="24"/>
                <w:szCs w:val="24"/>
                <w:u w:val="single"/>
              </w:rPr>
              <w:t xml:space="preserve">   单位：m</w:t>
            </w:r>
            <w:r>
              <w:rPr>
                <w:rFonts w:hint="eastAsia"/>
                <w:b/>
                <w:sz w:val="24"/>
                <w:szCs w:val="24"/>
                <w:u w:val="single"/>
                <w:vertAlign w:val="superscript"/>
              </w:rPr>
              <w:t>3</w:t>
            </w:r>
            <w:r>
              <w:rPr>
                <w:rFonts w:hint="eastAsia"/>
                <w:b/>
                <w:sz w:val="24"/>
                <w:szCs w:val="24"/>
                <w:u w:val="single"/>
              </w:rPr>
              <w:t>/d</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rPr>
            </w:pPr>
            <w:r>
              <w:rPr>
                <w:rFonts w:hint="eastAsia"/>
                <w:b/>
                <w:bCs/>
                <w:u w:val="single"/>
                <w:lang w:eastAsia="zh-CN"/>
              </w:rPr>
              <w:t>服务区污水处理站采用的是</w:t>
            </w:r>
            <w:r>
              <w:rPr>
                <w:rFonts w:hint="eastAsia"/>
                <w:b/>
                <w:bCs/>
                <w:u w:val="single"/>
                <w:lang w:val="en-US" w:eastAsia="zh-CN"/>
              </w:rPr>
              <w:t>A</w:t>
            </w:r>
            <w:r>
              <w:rPr>
                <w:rFonts w:hint="eastAsia"/>
                <w:b/>
                <w:bCs/>
                <w:u w:val="single"/>
                <w:vertAlign w:val="superscript"/>
                <w:lang w:val="en-US" w:eastAsia="zh-CN"/>
              </w:rPr>
              <w:t>2</w:t>
            </w:r>
            <w:r>
              <w:rPr>
                <w:rFonts w:hint="eastAsia"/>
                <w:b/>
                <w:bCs/>
                <w:u w:val="single"/>
                <w:lang w:val="en-US" w:eastAsia="zh-CN"/>
              </w:rPr>
              <w:t>/O工艺，加油站生活污水经过管道运至服务区污水处理站后经过厌氧池、缺氧池、好氧池二沉池处理，经过处理后的生活污水回用于服务区洒水降尘。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综上，本项目对地表水环境影响较小。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241" w:firstLineChars="100"/>
              <w:textAlignment w:val="baseline"/>
              <w:outlineLvl w:val="3"/>
              <w:rPr>
                <w:b/>
                <w:bCs/>
              </w:rPr>
            </w:pPr>
            <w:r>
              <w:rPr>
                <w:rFonts w:hint="eastAsia"/>
                <w:b/>
                <w:bCs/>
              </w:rPr>
              <w:t>（二）地下水</w:t>
            </w:r>
            <w:r>
              <w:rPr>
                <w:b/>
                <w:bCs/>
              </w:rPr>
              <w:t>环境影响分析</w:t>
            </w:r>
          </w:p>
          <w:p>
            <w:pPr>
              <w:bidi w:val="0"/>
              <w:rPr>
                <w:b/>
                <w:bCs w:val="0"/>
                <w:u w:val="single"/>
              </w:rPr>
            </w:pPr>
            <w:r>
              <w:rPr>
                <w:rFonts w:ascii="Times New Roman" w:hAnsi="Times New Roman"/>
                <w:b/>
                <w:bCs w:val="0"/>
                <w:color w:val="000000"/>
                <w:u w:val="single"/>
              </w:rPr>
              <w:t>（</w:t>
            </w:r>
            <w:r>
              <w:rPr>
                <w:b/>
                <w:bCs w:val="0"/>
                <w:u w:val="single"/>
              </w:rPr>
              <w:t>1）区域水文地质</w:t>
            </w:r>
          </w:p>
          <w:p>
            <w:pPr>
              <w:bidi w:val="0"/>
              <w:rPr>
                <w:b/>
                <w:bCs w:val="0"/>
                <w:u w:val="single"/>
              </w:rPr>
            </w:pPr>
            <w:r>
              <w:rPr>
                <w:b/>
                <w:bCs w:val="0"/>
                <w:u w:val="single"/>
              </w:rPr>
              <w:t>鲁山县区含水介质类型属于松散岩类孔隙水，埋藏条件为潜水。主要岩性为褐红色、褐黄色粘土、亚粘土角砾；主要含水层为更新统和全新统砂性土、砂砾石层。地下水分布广、水量大、埋藏浅，属于HCO3-Ca型水。</w:t>
            </w:r>
            <w:r>
              <w:rPr>
                <w:rFonts w:hint="eastAsia"/>
                <w:b/>
                <w:bCs w:val="0"/>
                <w:u w:val="single"/>
              </w:rPr>
              <w:t>城</w:t>
            </w:r>
            <w:r>
              <w:rPr>
                <w:b/>
                <w:bCs w:val="0"/>
                <w:u w:val="single"/>
              </w:rPr>
              <w:t>区地下水埋深在22～60m左右。</w:t>
            </w:r>
          </w:p>
          <w:p>
            <w:pPr>
              <w:bidi w:val="0"/>
              <w:rPr>
                <w:b/>
                <w:bCs w:val="0"/>
                <w:u w:val="single"/>
              </w:rPr>
            </w:pPr>
            <w:r>
              <w:rPr>
                <w:b/>
                <w:bCs w:val="0"/>
                <w:u w:val="single"/>
              </w:rPr>
              <w:t>地下水的补排条件和径流特征为：补给以大气降水、河流侧渗、灌溉水回渗为主；排泄主要以开发、蒸发、径流为主。该区地下水的径流方向为从</w:t>
            </w:r>
            <w:r>
              <w:rPr>
                <w:rFonts w:hint="eastAsia"/>
                <w:b/>
                <w:bCs w:val="0"/>
                <w:u w:val="single"/>
                <w:lang w:eastAsia="zh-CN"/>
              </w:rPr>
              <w:t>西</w:t>
            </w:r>
            <w:r>
              <w:rPr>
                <w:b/>
                <w:bCs w:val="0"/>
                <w:u w:val="single"/>
              </w:rPr>
              <w:t>到</w:t>
            </w:r>
            <w:r>
              <w:rPr>
                <w:rFonts w:hint="eastAsia"/>
                <w:b/>
                <w:bCs w:val="0"/>
                <w:u w:val="single"/>
                <w:lang w:eastAsia="zh-CN"/>
              </w:rPr>
              <w:t>东</w:t>
            </w:r>
            <w:r>
              <w:rPr>
                <w:b/>
                <w:bCs w:val="0"/>
                <w:u w:val="single"/>
              </w:rPr>
              <w:t>，水力坡度在2‰左右。</w:t>
            </w:r>
          </w:p>
          <w:p>
            <w:pPr>
              <w:bidi w:val="0"/>
              <w:rPr>
                <w:b/>
                <w:bCs w:val="0"/>
                <w:u w:val="single"/>
              </w:rPr>
            </w:pPr>
            <w:r>
              <w:rPr>
                <w:b/>
                <w:bCs w:val="0"/>
                <w:u w:val="single"/>
              </w:rPr>
              <w:t>项目所在区的含水层为粉质粘土含水层，粉质粘土含水层渗透系数为</w:t>
            </w:r>
            <w:r>
              <w:rPr>
                <w:rFonts w:hint="eastAsia"/>
                <w:b/>
                <w:bCs w:val="0"/>
                <w:u w:val="single"/>
              </w:rPr>
              <w:t>30</w:t>
            </w:r>
            <w:r>
              <w:rPr>
                <w:b/>
                <w:bCs w:val="0"/>
                <w:u w:val="single"/>
              </w:rPr>
              <w:t>m/d，地下水水力坡度为</w:t>
            </w:r>
            <w:r>
              <w:rPr>
                <w:rFonts w:hint="eastAsia"/>
                <w:b/>
                <w:bCs w:val="0"/>
                <w:u w:val="single"/>
              </w:rPr>
              <w:t>3.6</w:t>
            </w:r>
            <w:r>
              <w:rPr>
                <w:b/>
                <w:bCs w:val="0"/>
                <w:u w:val="single"/>
              </w:rPr>
              <w:t>‰，有效孔隙度为</w:t>
            </w:r>
            <w:r>
              <w:rPr>
                <w:rFonts w:hint="eastAsia"/>
                <w:b/>
                <w:bCs w:val="0"/>
                <w:u w:val="single"/>
              </w:rPr>
              <w:t>45</w:t>
            </w:r>
            <w:r>
              <w:rPr>
                <w:b/>
                <w:bCs w:val="0"/>
                <w:u w:val="single"/>
              </w:rPr>
              <w:t>%；地下水流速0.08m/d，纵向弥散系数取值为0.2m</w:t>
            </w:r>
            <w:r>
              <w:rPr>
                <w:b/>
                <w:bCs w:val="0"/>
                <w:u w:val="single"/>
                <w:vertAlign w:val="superscript"/>
              </w:rPr>
              <w:t>2</w:t>
            </w:r>
            <w:r>
              <w:rPr>
                <w:b/>
                <w:bCs w:val="0"/>
                <w:u w:val="single"/>
              </w:rPr>
              <w:t>/d。</w:t>
            </w:r>
          </w:p>
          <w:p>
            <w:pPr>
              <w:pStyle w:val="2"/>
              <w:rPr>
                <w:rFonts w:hint="eastAsia"/>
                <w:b/>
                <w:bCs w:val="0"/>
                <w:sz w:val="24"/>
                <w:szCs w:val="24"/>
                <w:u w:val="single"/>
                <w:lang w:val="en-US" w:eastAsia="zh-CN"/>
              </w:rPr>
            </w:pPr>
            <w:r>
              <w:rPr>
                <w:rFonts w:hint="eastAsia"/>
                <w:b/>
                <w:bCs w:val="0"/>
                <w:sz w:val="24"/>
                <w:szCs w:val="24"/>
                <w:u w:val="single"/>
                <w:lang w:eastAsia="zh-CN"/>
              </w:rPr>
              <w:t>鲁山县地热温泉群位于车村</w:t>
            </w:r>
            <w:r>
              <w:rPr>
                <w:rFonts w:hint="eastAsia"/>
                <w:b/>
                <w:bCs w:val="0"/>
                <w:sz w:val="24"/>
                <w:szCs w:val="24"/>
                <w:u w:val="single"/>
                <w:lang w:val="en-US" w:eastAsia="zh-CN"/>
              </w:rPr>
              <w:t>-下汤深大断裂中段，附近山脉总体走向NW向，主要赋存于燕山期花岗岩内。处于东西向断裂与NE-SW向扭性断裂的交汇部位，导致温泉呈泉群排泄，主要泉眼有六处分别为上汤泉，中汤泉，温汤泉，下汤泉，婆娑街泉，碱厂泉。</w:t>
            </w:r>
          </w:p>
          <w:p>
            <w:pPr>
              <w:pStyle w:val="2"/>
              <w:rPr>
                <w:rFonts w:hint="default" w:ascii="Times New Roman" w:hAnsi="Times New Roman"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（2）地下水开发利用现状</w:t>
            </w:r>
          </w:p>
          <w:p>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rFonts w:hint="default" w:ascii="Times New Roman" w:hAnsi="Times New Roman" w:cs="Times New Roman"/>
                <w:b/>
                <w:bCs/>
                <w:sz w:val="24"/>
                <w:szCs w:val="24"/>
                <w:u w:val="single"/>
                <w:lang w:val="zh-CN"/>
              </w:rPr>
            </w:pPr>
            <w:r>
              <w:rPr>
                <w:rFonts w:hint="default" w:ascii="Times New Roman" w:hAnsi="Times New Roman" w:cs="Times New Roman"/>
                <w:b/>
                <w:bCs w:val="0"/>
                <w:sz w:val="24"/>
                <w:szCs w:val="24"/>
                <w:u w:val="single"/>
                <w:lang w:val="en-US" w:eastAsia="zh-CN"/>
              </w:rPr>
              <w:t>根据2018年平顶山市水资源公报，</w:t>
            </w:r>
            <w:r>
              <w:rPr>
                <w:rFonts w:hint="default" w:ascii="Times New Roman" w:hAnsi="Times New Roman" w:cs="Times New Roman"/>
                <w:b/>
                <w:bCs/>
                <w:sz w:val="24"/>
                <w:szCs w:val="24"/>
                <w:u w:val="single"/>
              </w:rPr>
              <w:t>2018年全市平均用水指标：城镇居民人均用水量93L/(人</w:t>
            </w:r>
            <w:r>
              <w:rPr>
                <w:rFonts w:hint="default" w:ascii="Times New Roman" w:hAnsi="Times New Roman" w:eastAsia="微软雅黑" w:cs="Times New Roman"/>
                <w:b/>
                <w:bCs/>
                <w:sz w:val="24"/>
                <w:szCs w:val="24"/>
                <w:u w:val="single"/>
              </w:rPr>
              <w:t>∙</w:t>
            </w:r>
            <w:r>
              <w:rPr>
                <w:rFonts w:hint="default" w:ascii="Times New Roman" w:hAnsi="Times New Roman" w:cs="Times New Roman"/>
                <w:b/>
                <w:bCs/>
                <w:sz w:val="24"/>
                <w:szCs w:val="24"/>
                <w:u w:val="single"/>
              </w:rPr>
              <w:t>d)，与上年相比有所增加；农田灌溉亩均用水量136m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(其中水田亩均用水量400m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，水浇地亩均用水量135m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，菜田亩均用水量190m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)，比上年(159m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)减少11.3%；万元工业增加值(当年价)用水量含火电是33.0m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，与上年(34.0m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)相比有所减小；不含火电是30.0m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，比上年(30.0m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)没有变化；全市农村居民生活用水平均61L/(人</w:t>
            </w:r>
            <w:r>
              <w:rPr>
                <w:rFonts w:hint="default" w:ascii="Times New Roman" w:hAnsi="Times New Roman" w:eastAsia="微软雅黑" w:cs="Times New Roman"/>
                <w:b/>
                <w:bCs/>
                <w:sz w:val="24"/>
                <w:szCs w:val="24"/>
                <w:u w:val="single"/>
              </w:rPr>
              <w:t>∙</w:t>
            </w:r>
            <w:r>
              <w:rPr>
                <w:rFonts w:hint="default" w:ascii="Times New Roman" w:hAnsi="Times New Roman" w:cs="Times New Roman"/>
                <w:b/>
                <w:bCs/>
                <w:sz w:val="24"/>
                <w:szCs w:val="24"/>
                <w:u w:val="single"/>
              </w:rPr>
              <w:t>d)。</w:t>
            </w:r>
          </w:p>
          <w:p>
            <w:pPr>
              <w:pStyle w:val="2"/>
              <w:keepNext w:val="0"/>
              <w:keepLines w:val="0"/>
              <w:pageBreakBefore w:val="0"/>
              <w:widowControl w:val="0"/>
              <w:kinsoku/>
              <w:wordWrap/>
              <w:overflowPunct/>
              <w:topLinePunct w:val="0"/>
              <w:bidi w:val="0"/>
              <w:adjustRightInd w:val="0"/>
              <w:spacing w:before="0" w:line="360" w:lineRule="auto"/>
              <w:textAlignment w:val="auto"/>
              <w:rPr>
                <w:rFonts w:hint="default"/>
                <w:b/>
                <w:bCs w:val="0"/>
                <w:sz w:val="24"/>
                <w:szCs w:val="24"/>
                <w:u w:val="single"/>
                <w:lang w:val="en-US" w:eastAsia="zh-CN"/>
              </w:rPr>
            </w:pPr>
            <w:r>
              <w:rPr>
                <w:rFonts w:hint="default" w:ascii="Times New Roman" w:hAnsi="Times New Roman" w:cs="Times New Roman"/>
                <w:b/>
                <w:bCs/>
                <w:sz w:val="24"/>
                <w:szCs w:val="24"/>
                <w:u w:val="single"/>
              </w:rPr>
              <w:t>城镇居民人均用水量大于等于93L/（人·d）的县(市)只有市区，其他县（市）都小于或等于93L/（人·d），叶县、宝丰县为82L/（人·d），郏县71L/（人·d），舞钢市为77L/（人·d），鲁山县为79L/（人·d）；万元工业增加值用水量(含火电)的县(区)，鲁山县达到56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，其次为市区、舞钢市、郏县、叶县、宝丰县最；农灌亩均用水量最大的县(市)为市区，达到240m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，其次为舞钢、鲁山县、郏县、叶县、宝丰县。</w:t>
            </w:r>
          </w:p>
          <w:p>
            <w:pPr>
              <w:bidi w:val="0"/>
            </w:pPr>
            <w:r>
              <w:rPr>
                <w:rFonts w:hint="eastAsia"/>
                <w:b/>
                <w:bCs/>
                <w:lang w:eastAsia="zh-CN"/>
              </w:rPr>
              <w:t>（</w:t>
            </w:r>
            <w:r>
              <w:rPr>
                <w:rFonts w:hint="eastAsia"/>
                <w:b/>
                <w:bCs/>
                <w:lang w:val="en-US" w:eastAsia="zh-CN"/>
              </w:rPr>
              <w:t>3</w:t>
            </w:r>
            <w:r>
              <w:rPr>
                <w:rFonts w:hint="eastAsia"/>
                <w:b/>
                <w:bCs/>
                <w:lang w:eastAsia="zh-CN"/>
              </w:rPr>
              <w:t>）</w:t>
            </w:r>
            <w:r>
              <w:rPr>
                <w:b/>
                <w:bCs/>
              </w:rPr>
              <w:t>评价等级</w:t>
            </w:r>
          </w:p>
          <w:p>
            <w:pPr>
              <w:adjustRightInd w:val="0"/>
              <w:snapToGrid w:val="0"/>
              <w:spacing w:line="360" w:lineRule="auto"/>
              <w:ind w:firstLine="480" w:firstLineChars="200"/>
            </w:pPr>
            <w:r>
              <w:t>依据</w:t>
            </w:r>
            <w:r>
              <w:rPr>
                <w:lang w:val="en-GB"/>
              </w:rPr>
              <w:t>《环境影响评价技术导则 地下水环境》</w:t>
            </w:r>
            <w:r>
              <w:t>(HJ 610-2016)，根据建设项目对地下水环境影响的程度，结合《建设项目环境影响评价分类管理名录》，将建设项目分为四类，本项目属于</w:t>
            </w:r>
            <w:r>
              <w:rPr>
                <w:rFonts w:hint="eastAsia"/>
              </w:rPr>
              <w:t>Ⅱ</w:t>
            </w:r>
            <w:r>
              <w:t>类项目。</w:t>
            </w:r>
          </w:p>
          <w:p>
            <w:pPr>
              <w:adjustRightInd w:val="0"/>
              <w:snapToGrid w:val="0"/>
              <w:spacing w:line="360" w:lineRule="auto"/>
              <w:ind w:firstLine="480" w:firstLineChars="200"/>
            </w:pPr>
            <w:r>
              <w:t>建设项目的地下水环境敏感程度可分为敏感、较敏感、不敏感三级，分级原则见表3</w:t>
            </w:r>
            <w:r>
              <w:rPr>
                <w:rFonts w:hint="eastAsia"/>
                <w:lang w:val="en-US" w:eastAsia="zh-CN"/>
              </w:rPr>
              <w:t>0</w:t>
            </w:r>
            <w:r>
              <w:t>。</w:t>
            </w:r>
          </w:p>
          <w:p>
            <w:pPr>
              <w:bidi w:val="0"/>
              <w:jc w:val="center"/>
            </w:pPr>
            <w:r>
              <w:rPr>
                <w:b/>
                <w:bCs/>
              </w:rPr>
              <w:t xml:space="preserve">表 </w:t>
            </w:r>
            <w:r>
              <w:rPr>
                <w:rFonts w:hint="eastAsia"/>
                <w:b/>
                <w:bCs/>
                <w:lang w:val="en-US" w:eastAsia="zh-CN"/>
              </w:rPr>
              <w:t>30</w:t>
            </w:r>
            <w:r>
              <w:rPr>
                <w:b/>
                <w:bCs/>
              </w:rPr>
              <w:t xml:space="preserve">   地下水环境敏感程度分级表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6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敏感程度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地下水环境敏感特征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集中式饮用水水源（包括已建成的在用、备用、应急水源，在建和规划的饮用水水源）准保护区；除集中式饮用水水源以外的国家或地方政府设定的与地下水环境相关的其它保护区，如热水、矿泉水、温泉等特殊地下水资源保护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较敏感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不敏感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上述地区之外的其它地区。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65" w:type="dxa"/>
                  <w:gridSpan w:val="2"/>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注：a“环境敏感区”是指《建设项目环境影响评价分类管理名录》中所界定的涉及地下水的环境敏感区。 </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rPr>
            </w:pPr>
            <w:r>
              <w:rPr>
                <w:rFonts w:hint="eastAsia"/>
                <w:lang w:eastAsia="zh-CN"/>
              </w:rPr>
              <w:t>根据</w:t>
            </w:r>
            <w:r>
              <w:t>2009年4月13日，河南省环境保护厅签发了文号为豫环函【2009】57号的《关于进一步明确平顶山地表饮用水源保护区范围的函》，同意平顶山市提出的地表水饮用水源保护区范围</w:t>
            </w:r>
            <w:r>
              <w:rPr>
                <w:rFonts w:hint="eastAsia"/>
                <w:lang w:eastAsia="zh-CN"/>
              </w:rPr>
              <w:t>，</w:t>
            </w:r>
            <w:r>
              <w:rPr>
                <w:rFonts w:hint="eastAsia"/>
              </w:rPr>
              <w:t>本项目位于平顶山市</w:t>
            </w:r>
            <w:r>
              <w:rPr>
                <w:rFonts w:hint="eastAsia"/>
                <w:lang w:eastAsia="zh-CN"/>
              </w:rPr>
              <w:t>鲁山县郑石高速石人山服务区南侧</w:t>
            </w:r>
            <w:r>
              <w:rPr>
                <w:rFonts w:hint="eastAsia"/>
              </w:rPr>
              <w:t>，</w:t>
            </w:r>
            <w:r>
              <w:rPr>
                <w:rFonts w:hint="eastAsia"/>
                <w:lang w:eastAsia="zh-CN"/>
              </w:rPr>
              <w:t>位于昭平台水库准保护区，本项目属于较敏感。</w:t>
            </w:r>
          </w:p>
          <w:p>
            <w:pPr>
              <w:bidi w:val="0"/>
            </w:pPr>
            <w:r>
              <w:t>建设项目地下水环境影响评价工作等级划分见表3</w:t>
            </w:r>
            <w:r>
              <w:rPr>
                <w:rFonts w:hint="eastAsia"/>
                <w:lang w:val="en-US" w:eastAsia="zh-CN"/>
              </w:rPr>
              <w:t>1</w:t>
            </w:r>
            <w:r>
              <w:t>。</w:t>
            </w:r>
          </w:p>
          <w:p>
            <w:pPr>
              <w:bidi w:val="0"/>
              <w:jc w:val="center"/>
            </w:pPr>
            <w:r>
              <w:rPr>
                <w:b/>
                <w:bCs/>
              </w:rPr>
              <w:t xml:space="preserve">表 </w:t>
            </w:r>
            <w:r>
              <w:rPr>
                <w:rFonts w:hint="eastAsia"/>
                <w:b/>
                <w:bCs/>
                <w:lang w:val="en-US" w:eastAsia="zh-CN"/>
              </w:rPr>
              <w:t>31</w:t>
            </w:r>
            <w:r>
              <w:rPr>
                <w:b/>
                <w:bCs/>
              </w:rPr>
              <w:t xml:space="preserve"> </w:t>
            </w:r>
            <w:r>
              <w:rPr>
                <w:rFonts w:hint="eastAsia"/>
                <w:b/>
                <w:bCs/>
                <w:lang w:val="en-US" w:eastAsia="zh-CN"/>
              </w:rPr>
              <w:t xml:space="preserve">  </w:t>
            </w:r>
            <w:r>
              <w:rPr>
                <w:b/>
                <w:bCs/>
              </w:rPr>
              <w:t xml:space="preserve">  评价工作等级分级表</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2033"/>
              <w:gridCol w:w="2033"/>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341" w:type="dxa"/>
                  <w:tcBorders>
                    <w:top w:val="single" w:color="auto" w:sz="4" w:space="0"/>
                    <w:left w:val="single" w:color="auto" w:sz="4" w:space="0"/>
                    <w:bottom w:val="single" w:color="auto" w:sz="4" w:space="0"/>
                    <w:tl2br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        项目类别</w:t>
                  </w:r>
                </w:p>
                <w:p>
                  <w:pPr>
                    <w:widowControl w:val="0"/>
                    <w:bidi w:val="0"/>
                    <w:spacing w:line="240" w:lineRule="auto"/>
                    <w:ind w:firstLine="0" w:firstLineChars="0"/>
                    <w:jc w:val="left"/>
                    <w:rPr>
                      <w:lang w:val="en-US" w:eastAsia="zh-CN"/>
                    </w:rPr>
                  </w:pPr>
                  <w:r>
                    <w:rPr>
                      <w:lang w:val="en-US" w:eastAsia="zh-CN"/>
                    </w:rPr>
                    <w:t xml:space="preserve">环境敏感程度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Ⅰ</w:t>
                  </w:r>
                  <w:r>
                    <w:rPr>
                      <w:lang w:val="en-US" w:eastAsia="zh-CN"/>
                    </w:rPr>
                    <w:t xml:space="preserve">类项目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Ⅱ</w:t>
                  </w:r>
                  <w:r>
                    <w:rPr>
                      <w:lang w:val="en-US" w:eastAsia="zh-CN"/>
                    </w:rPr>
                    <w:t>类项目</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Ⅲ</w:t>
                  </w:r>
                  <w:r>
                    <w:rPr>
                      <w:lang w:val="en-US" w:eastAsia="zh-CN"/>
                    </w:rPr>
                    <w:t xml:space="preserve">类项目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一</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二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bl>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本项目属于</w:t>
            </w:r>
            <w:r>
              <w:rPr>
                <w:rFonts w:hint="eastAsia"/>
                <w:lang w:val="en-US" w:eastAsia="zh-CN"/>
              </w:rPr>
              <w:t>Ⅱ</w:t>
            </w:r>
            <w:r>
              <w:rPr>
                <w:lang w:val="en-US" w:eastAsia="zh-CN"/>
              </w:rPr>
              <w:t>类项目，区域地下水环境</w:t>
            </w:r>
            <w:r>
              <w:rPr>
                <w:rFonts w:hint="eastAsia"/>
                <w:lang w:val="en-US" w:eastAsia="zh-CN"/>
              </w:rPr>
              <w:t>较敏感区</w:t>
            </w:r>
            <w:r>
              <w:rPr>
                <w:lang w:val="en-US" w:eastAsia="zh-CN"/>
              </w:rPr>
              <w:t>，由上表地下水评价工作等级分级表可知，本项目地下水评价等级为</w:t>
            </w:r>
            <w:r>
              <w:rPr>
                <w:rFonts w:hint="eastAsia"/>
                <w:lang w:val="en-US" w:eastAsia="zh-CN"/>
              </w:rPr>
              <w:t>二</w:t>
            </w:r>
            <w:r>
              <w:rPr>
                <w:lang w:val="en-US" w:eastAsia="zh-CN"/>
              </w:rPr>
              <w:t>级。</w:t>
            </w:r>
          </w:p>
          <w:p>
            <w:pPr>
              <w:adjustRightInd w:val="0"/>
              <w:snapToGrid w:val="0"/>
              <w:spacing w:line="360" w:lineRule="auto"/>
            </w:pPr>
            <w:r>
              <w:rPr>
                <w:b/>
                <w:bCs/>
              </w:rPr>
              <w:t xml:space="preserve"> </w:t>
            </w:r>
            <w:r>
              <w:rPr>
                <w:rFonts w:hint="eastAsia"/>
                <w:b/>
                <w:bCs/>
                <w:lang w:eastAsia="zh-CN"/>
              </w:rPr>
              <w:t>（</w:t>
            </w:r>
            <w:r>
              <w:rPr>
                <w:rFonts w:hint="eastAsia"/>
                <w:b/>
                <w:bCs/>
                <w:lang w:val="en-US" w:eastAsia="zh-CN"/>
              </w:rPr>
              <w:t>4</w:t>
            </w:r>
            <w:r>
              <w:rPr>
                <w:rFonts w:hint="eastAsia"/>
                <w:b/>
                <w:bCs/>
                <w:lang w:eastAsia="zh-CN"/>
              </w:rPr>
              <w:t>）</w:t>
            </w:r>
            <w:r>
              <w:rPr>
                <w:b/>
                <w:bCs/>
              </w:rPr>
              <w:t>评价范围</w:t>
            </w:r>
          </w:p>
          <w:p>
            <w:pPr>
              <w:adjustRightInd w:val="0"/>
              <w:snapToGrid w:val="0"/>
              <w:spacing w:line="360" w:lineRule="auto"/>
              <w:ind w:firstLine="480" w:firstLineChars="200"/>
            </w:pPr>
            <w:r>
              <w:t>本项目厂址位于冲洪积平原，地质水文条件相对简单。本次评价范围确定先根据导则推荐公式计算出理论范围值，然后根据厂址区域地下水环境保护目标分布情况调整理论范围值。</w:t>
            </w:r>
          </w:p>
          <w:p>
            <w:pPr>
              <w:adjustRightInd w:val="0"/>
              <w:snapToGrid w:val="0"/>
              <w:spacing w:line="360" w:lineRule="auto"/>
              <w:ind w:firstLine="480" w:firstLineChars="200"/>
            </w:pPr>
            <w:r>
              <w:t>L=α×K×I×T/ne</w:t>
            </w:r>
          </w:p>
          <w:p>
            <w:pPr>
              <w:adjustRightInd w:val="0"/>
              <w:snapToGrid w:val="0"/>
              <w:spacing w:line="360" w:lineRule="auto"/>
              <w:ind w:firstLine="480" w:firstLineChars="200"/>
            </w:pPr>
            <w:r>
              <w:t>式中：L—下游迁移距离，m；</w:t>
            </w:r>
          </w:p>
          <w:p>
            <w:pPr>
              <w:adjustRightInd w:val="0"/>
              <w:snapToGrid w:val="0"/>
              <w:spacing w:line="360" w:lineRule="auto"/>
              <w:ind w:firstLine="1200" w:firstLineChars="500"/>
            </w:pPr>
            <w:r>
              <w:t>α—变化系数，α≥1，一般取2；</w:t>
            </w:r>
          </w:p>
          <w:p>
            <w:pPr>
              <w:adjustRightInd w:val="0"/>
              <w:snapToGrid w:val="0"/>
              <w:spacing w:line="360" w:lineRule="auto"/>
              <w:ind w:firstLine="1200" w:firstLineChars="500"/>
            </w:pPr>
            <w:r>
              <w:t>K—渗透系数，本项目地下水稳定水位埋深约8.0~8.3m，含水层主要为第</w:t>
            </w:r>
            <w:r>
              <w:rPr>
                <w:rFonts w:hint="eastAsia"/>
              </w:rPr>
              <w:t>④</w:t>
            </w:r>
            <w:r>
              <w:t>层粉质粘土，参考《</w:t>
            </w:r>
            <w:r>
              <w:fldChar w:fldCharType="begin"/>
            </w:r>
            <w:r>
              <w:instrText xml:space="preserve"> HYPERLINK "http://kjs.mep.gov.cn/hjbhbz/bzwb/other/pjjsdz/201601/W020160401590165763311.pdf" </w:instrText>
            </w:r>
            <w:r>
              <w:fldChar w:fldCharType="separate"/>
            </w:r>
            <w:r>
              <w:t>环境影响评价技术导则-地下水环境(HJ 610-2016)</w:t>
            </w:r>
            <w:r>
              <w:fldChar w:fldCharType="end"/>
            </w:r>
            <w:r>
              <w:t>》常见渗透系数表见附录B.1，本项目取轻亚粘土渗透系数值0.1m/d；</w:t>
            </w:r>
          </w:p>
          <w:p>
            <w:pPr>
              <w:adjustRightInd w:val="0"/>
              <w:snapToGrid w:val="0"/>
              <w:spacing w:line="360" w:lineRule="auto"/>
              <w:ind w:firstLine="1200" w:firstLineChars="500"/>
            </w:pPr>
            <w:r>
              <w:t>I—水力坡度，无量纲；由本项目监测报告监测数据计算，本项目水力坡度取0.003。</w:t>
            </w:r>
          </w:p>
          <w:p>
            <w:pPr>
              <w:adjustRightInd w:val="0"/>
              <w:snapToGrid w:val="0"/>
              <w:spacing w:line="360" w:lineRule="auto"/>
              <w:ind w:firstLine="960" w:firstLineChars="400"/>
            </w:pPr>
            <w:r>
              <w:t>T—质点迁移天数，取值不小于5000d；</w:t>
            </w:r>
          </w:p>
          <w:p>
            <w:pPr>
              <w:adjustRightInd w:val="0"/>
              <w:snapToGrid w:val="0"/>
              <w:spacing w:line="360" w:lineRule="auto"/>
              <w:ind w:firstLine="960" w:firstLineChars="400"/>
            </w:pPr>
            <w:r>
              <w:t>ne—有效孔隙度，无量纲。根据《环境影响评价技术方法》（环境保护部环境工程评估中心编2012年版）不同地质材料的孔隙度，评价区域潜水含水介质以粉质粘土为主，孔隙度为0.34~0.6，有效孔隙度比孔隙度少5~10％，因此评价区域有效孔隙度取平均值0.45。</w:t>
            </w:r>
          </w:p>
          <w:p>
            <w:pPr>
              <w:adjustRightInd w:val="0"/>
              <w:snapToGrid w:val="0"/>
              <w:spacing w:line="360" w:lineRule="auto"/>
              <w:ind w:firstLine="480" w:firstLineChars="200"/>
            </w:pPr>
            <w:r>
              <w:t>经计算，L=6.67m，综合考虑《</w:t>
            </w:r>
            <w:r>
              <w:fldChar w:fldCharType="begin"/>
            </w:r>
            <w:r>
              <w:instrText xml:space="preserve"> HYPERLINK "http://kjs.mep.gov.cn/hjbhbz/bzwb/other/pjjsdz/201601/W020160401590165763311.pdf" </w:instrText>
            </w:r>
            <w:r>
              <w:fldChar w:fldCharType="separate"/>
            </w:r>
            <w:r>
              <w:t>环境影响评价技术导则-地下水环境</w:t>
            </w:r>
            <w:r>
              <w:fldChar w:fldCharType="end"/>
            </w:r>
            <w:r>
              <w:t>》(HJ 610-2016)中表3地下水环境现状调查评价范围参考表，确定本项目评价范围为6km</w:t>
            </w:r>
            <w:r>
              <w:rPr>
                <w:vertAlign w:val="superscript"/>
              </w:rPr>
              <w:t>2</w:t>
            </w:r>
            <w:r>
              <w:t>。由于地表水和中深层含水层间无明显的水力联系，中深层含水层和深层含水层无明显的水力联系，因此本次预测层位定为预测评价区域的潜水层。</w:t>
            </w:r>
          </w:p>
          <w:p>
            <w:pPr>
              <w:bidi w:val="0"/>
            </w:pPr>
            <w:r>
              <w:rPr>
                <w:rFonts w:hint="eastAsia"/>
                <w:b/>
                <w:bCs/>
                <w:lang w:eastAsia="zh-CN"/>
              </w:rPr>
              <w:t>（</w:t>
            </w:r>
            <w:r>
              <w:rPr>
                <w:rFonts w:hint="eastAsia"/>
                <w:b/>
                <w:bCs/>
                <w:lang w:val="en-US" w:eastAsia="zh-CN"/>
              </w:rPr>
              <w:t>5</w:t>
            </w:r>
            <w:r>
              <w:rPr>
                <w:rFonts w:hint="eastAsia"/>
                <w:b/>
                <w:bCs/>
                <w:lang w:eastAsia="zh-CN"/>
              </w:rPr>
              <w:t>）</w:t>
            </w:r>
            <w:r>
              <w:rPr>
                <w:b/>
                <w:bCs/>
              </w:rPr>
              <w:t>预测时段及情景设置</w:t>
            </w:r>
          </w:p>
          <w:p>
            <w:pPr>
              <w:bidi w:val="0"/>
            </w:pPr>
            <w:r>
              <w:rPr>
                <w:rFonts w:hint="eastAsia"/>
              </w:rPr>
              <w:t>①</w:t>
            </w:r>
            <w:r>
              <w:t>预测时段</w:t>
            </w:r>
          </w:p>
          <w:p>
            <w:pPr>
              <w:adjustRightInd w:val="0"/>
              <w:snapToGrid w:val="0"/>
              <w:spacing w:line="360" w:lineRule="auto"/>
              <w:ind w:firstLine="480" w:firstLineChars="200"/>
            </w:pPr>
            <w:r>
              <w:t>地下水环境影响预测时段为污染发生后100d、1000d，服务年限（20年，即7300d）或能反映特征因子迁移规律的其他时间节点。</w:t>
            </w:r>
          </w:p>
          <w:p>
            <w:pPr>
              <w:adjustRightInd w:val="0"/>
              <w:snapToGrid w:val="0"/>
              <w:spacing w:line="360" w:lineRule="auto"/>
            </w:pPr>
            <w:r>
              <w:rPr>
                <w:rFonts w:hint="eastAsia"/>
              </w:rPr>
              <w:t>②</w:t>
            </w:r>
            <w:r>
              <w:t>情景设置</w:t>
            </w:r>
          </w:p>
          <w:p>
            <w:pPr>
              <w:adjustRightInd w:val="0"/>
              <w:snapToGrid w:val="0"/>
              <w:spacing w:line="360" w:lineRule="auto"/>
              <w:ind w:firstLine="480" w:firstLineChars="200"/>
            </w:pPr>
            <w:r>
              <w:t>项目营运期站区已依据《石油化工工程防渗技术规范》（GB/T50934-2013）设计地下水污染防渗措施，对地下水的影响较小。因此仅预测非正常状况情景下的影响结果。非正常状况通常为工艺设备、地下水环保措施因老化、腐蚀等原因不能正常运行或保护效果达不到设计要求。</w:t>
            </w:r>
          </w:p>
          <w:p>
            <w:pPr>
              <w:adjustRightInd w:val="0"/>
              <w:snapToGrid w:val="0"/>
              <w:spacing w:line="360" w:lineRule="auto"/>
              <w:ind w:firstLine="480" w:firstLineChars="200"/>
            </w:pPr>
            <w:r>
              <w:t>本项目主要涉及成品油的储存，特征污染因子为石油类。鉴于行业特性，设定本次非正常状况设定为设备老化破损，油品泄漏，经包气带进入地下潜水层。本次对主要污染物石油类进入地下水后的运移情况进行预测。根据预测结果，分析评价渗漏事故对评价区地下水环境的影响范围和程度。</w:t>
            </w:r>
          </w:p>
          <w:p>
            <w:pPr>
              <w:adjustRightInd w:val="0"/>
              <w:snapToGrid w:val="0"/>
              <w:spacing w:line="360" w:lineRule="auto"/>
            </w:pPr>
            <w:r>
              <w:rPr>
                <w:rFonts w:hint="eastAsia"/>
                <w:b/>
                <w:bCs/>
                <w:lang w:eastAsia="zh-CN"/>
              </w:rPr>
              <w:t>（</w:t>
            </w:r>
            <w:r>
              <w:rPr>
                <w:rFonts w:hint="eastAsia"/>
                <w:b/>
                <w:bCs/>
                <w:lang w:val="en-US" w:eastAsia="zh-CN"/>
              </w:rPr>
              <w:t>6</w:t>
            </w:r>
            <w:r>
              <w:rPr>
                <w:rFonts w:hint="eastAsia"/>
                <w:b/>
                <w:bCs/>
                <w:lang w:eastAsia="zh-CN"/>
              </w:rPr>
              <w:t>）</w:t>
            </w:r>
            <w:r>
              <w:rPr>
                <w:b/>
                <w:bCs/>
              </w:rPr>
              <w:t>预测模型及源强</w:t>
            </w:r>
          </w:p>
          <w:p>
            <w:pPr>
              <w:adjustRightInd w:val="0"/>
              <w:snapToGrid w:val="0"/>
              <w:spacing w:line="360" w:lineRule="auto"/>
              <w:ind w:firstLine="480" w:firstLineChars="200"/>
              <w:rPr>
                <w:rFonts w:hint="eastAsia"/>
              </w:rPr>
            </w:pPr>
            <w:r>
              <w:rPr>
                <w:rFonts w:hint="eastAsia"/>
              </w:rPr>
              <w:t>①预测</w:t>
            </w:r>
            <w:r>
              <w:t>模型</w:t>
            </w:r>
          </w:p>
          <w:p>
            <w:pPr>
              <w:adjustRightInd w:val="0"/>
              <w:snapToGrid w:val="0"/>
              <w:spacing w:line="360" w:lineRule="auto"/>
              <w:ind w:firstLine="480" w:firstLineChars="200"/>
            </w:pPr>
            <w:r>
              <w:t>本项目所在区域水文地质条件简单，污染物的下渗对区域地下水流场无明显的影响，评价区内含水层的基本参数变化很小，因此预测模型采用解析法预测污染物在含水层中的扩散。</w:t>
            </w:r>
          </w:p>
          <w:p>
            <w:pPr>
              <w:adjustRightInd w:val="0"/>
              <w:snapToGrid w:val="0"/>
              <w:spacing w:line="360" w:lineRule="auto"/>
              <w:ind w:firstLine="480" w:firstLineChars="200"/>
            </w:pPr>
            <w:r>
              <w:t>预测模型采用地下水溶质运移解析法——一维无限长多孔介质柱体，</w:t>
            </w:r>
            <w:r>
              <w:rPr>
                <w:rFonts w:hint="eastAsia"/>
              </w:rPr>
              <w:t>示踪剂瞬时注入</w:t>
            </w:r>
            <w:r>
              <w:t>模型：</w:t>
            </w:r>
          </w:p>
          <w:p>
            <w:pPr>
              <w:adjustRightInd w:val="0"/>
              <w:snapToGrid w:val="0"/>
              <w:spacing w:line="360" w:lineRule="auto"/>
              <w:ind w:firstLine="480" w:firstLineChars="200"/>
              <w:jc w:val="center"/>
            </w:pPr>
            <w:r>
              <mc:AlternateContent>
                <mc:Choice Requires="wps">
                  <w:drawing>
                    <wp:anchor distT="0" distB="0" distL="114300" distR="114300" simplePos="0" relativeHeight="898734080" behindDoc="0" locked="0" layoutInCell="1" allowOverlap="1">
                      <wp:simplePos x="0" y="0"/>
                      <wp:positionH relativeFrom="column">
                        <wp:posOffset>4191635</wp:posOffset>
                      </wp:positionH>
                      <wp:positionV relativeFrom="paragraph">
                        <wp:posOffset>204470</wp:posOffset>
                      </wp:positionV>
                      <wp:extent cx="741680" cy="137795"/>
                      <wp:effectExtent l="0" t="0" r="1270" b="14605"/>
                      <wp:wrapNone/>
                      <wp:docPr id="101" name="文本框 101"/>
                      <wp:cNvGraphicFramePr/>
                      <a:graphic xmlns:a="http://schemas.openxmlformats.org/drawingml/2006/main">
                        <a:graphicData uri="http://schemas.microsoft.com/office/word/2010/wordprocessingShape">
                          <wps:wsp>
                            <wps:cNvSpPr txBox="1"/>
                            <wps:spPr>
                              <a:xfrm>
                                <a:off x="0" y="0"/>
                                <a:ext cx="741680" cy="137795"/>
                              </a:xfrm>
                              <a:prstGeom prst="rect">
                                <a:avLst/>
                              </a:prstGeom>
                              <a:solidFill>
                                <a:srgbClr val="FFFFFF"/>
                              </a:solidFill>
                              <a:ln>
                                <a:noFill/>
                              </a:ln>
                            </wps:spPr>
                            <wps:txbx>
                              <w:txbxContent>
                                <w:p/>
                              </w:txbxContent>
                            </wps:txbx>
                            <wps:bodyPr upright="1"/>
                          </wps:wsp>
                        </a:graphicData>
                      </a:graphic>
                    </wp:anchor>
                  </w:drawing>
                </mc:Choice>
                <mc:Fallback>
                  <w:pict>
                    <v:shape id="_x0000_s1026" o:spid="_x0000_s1026" o:spt="202" type="#_x0000_t202" style="position:absolute;left:0pt;margin-left:330.05pt;margin-top:16.1pt;height:10.85pt;width:58.4pt;z-index:898734080;mso-width-relative:page;mso-height-relative:page;" fillcolor="#FFFFFF" filled="t" stroked="f" coordsize="21600,21600" o:gfxdata="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R645jXAAAACQEAAA8AAAAAAAAAAQAgAAAAIgAAAGRycy9kb3ducmV2Lnht&#10;bFBLAQIUABQAAAAIAIdO4kACKvyZwQEAAHoDAAAOAAAAAAAAAAEAIAAAACYBAABkcnMvZTJvRG9j&#10;LnhtbFBLBQYAAAAABgAGAFkBAABZBQAAAAA=&#10;">
                      <v:fill on="t" focussize="0,0"/>
                      <v:stroke on="f"/>
                      <v:imagedata o:title=""/>
                      <o:lock v:ext="edit" aspectratio="f"/>
                      <v:textbox>
                        <w:txbxContent>
                          <w:p/>
                        </w:txbxContent>
                      </v:textbox>
                    </v:shape>
                  </w:pict>
                </mc:Fallback>
              </mc:AlternateContent>
            </w:r>
            <w:r>
              <w:drawing>
                <wp:inline distT="0" distB="0" distL="114300" distR="114300">
                  <wp:extent cx="3972560" cy="2319655"/>
                  <wp:effectExtent l="0" t="0" r="8890" b="444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21"/>
                          <a:stretch>
                            <a:fillRect/>
                          </a:stretch>
                        </pic:blipFill>
                        <pic:spPr>
                          <a:xfrm>
                            <a:off x="0" y="0"/>
                            <a:ext cx="3972560" cy="2319655"/>
                          </a:xfrm>
                          <a:prstGeom prst="rect">
                            <a:avLst/>
                          </a:prstGeom>
                          <a:noFill/>
                          <a:ln>
                            <a:noFill/>
                          </a:ln>
                        </pic:spPr>
                      </pic:pic>
                    </a:graphicData>
                  </a:graphic>
                </wp:inline>
              </w:drawing>
            </w:r>
          </w:p>
          <w:p>
            <w:pPr>
              <w:adjustRightInd w:val="0"/>
              <w:snapToGrid w:val="0"/>
              <w:spacing w:line="360" w:lineRule="auto"/>
              <w:ind w:firstLine="480" w:firstLineChars="200"/>
            </w:pPr>
            <w:r>
              <w:rPr>
                <w:rFonts w:hint="eastAsia"/>
              </w:rPr>
              <w:t>②参数确定</w:t>
            </w:r>
          </w:p>
          <w:p>
            <w:pPr>
              <w:adjustRightInd w:val="0"/>
              <w:snapToGrid w:val="0"/>
              <w:spacing w:line="360" w:lineRule="auto"/>
              <w:ind w:firstLine="480" w:firstLineChars="200"/>
            </w:pPr>
            <w:r>
              <w:t>汽油和柴油储罐泄漏量参照《建设项目环境风险评价技术导则》（HJ169-2018）计算，汽油和柴油泄漏速度QL用伯努利方程计算。</w:t>
            </w:r>
          </w:p>
          <w:p>
            <w:pPr>
              <w:adjustRightInd w:val="0"/>
              <w:snapToGrid w:val="0"/>
              <w:spacing w:line="500" w:lineRule="exact"/>
              <w:ind w:firstLine="480" w:firstLineChars="200"/>
            </w:pPr>
            <w:r>
              <w:drawing>
                <wp:anchor distT="0" distB="0" distL="114300" distR="114300" simplePos="0" relativeHeight="898759680" behindDoc="0" locked="0" layoutInCell="1" allowOverlap="1">
                  <wp:simplePos x="0" y="0"/>
                  <wp:positionH relativeFrom="column">
                    <wp:posOffset>1611630</wp:posOffset>
                  </wp:positionH>
                  <wp:positionV relativeFrom="paragraph">
                    <wp:posOffset>133350</wp:posOffset>
                  </wp:positionV>
                  <wp:extent cx="2512695" cy="586740"/>
                  <wp:effectExtent l="0" t="0" r="1905" b="3810"/>
                  <wp:wrapNone/>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22"/>
                          <a:srcRect r="-43" b="-172"/>
                          <a:stretch>
                            <a:fillRect/>
                          </a:stretch>
                        </pic:blipFill>
                        <pic:spPr>
                          <a:xfrm>
                            <a:off x="0" y="0"/>
                            <a:ext cx="2512695" cy="586740"/>
                          </a:xfrm>
                          <a:prstGeom prst="rect">
                            <a:avLst/>
                          </a:prstGeom>
                          <a:noFill/>
                          <a:ln>
                            <a:noFill/>
                          </a:ln>
                        </pic:spPr>
                      </pic:pic>
                    </a:graphicData>
                  </a:graphic>
                </wp:anchor>
              </w:drawing>
            </w:r>
          </w:p>
          <w:p>
            <w:pPr>
              <w:adjustRightInd w:val="0"/>
              <w:snapToGrid w:val="0"/>
              <w:spacing w:line="500" w:lineRule="exact"/>
              <w:ind w:firstLine="480" w:firstLineChars="200"/>
            </w:pPr>
          </w:p>
          <w:p>
            <w:pPr>
              <w:adjustRightInd w:val="0"/>
              <w:snapToGrid w:val="0"/>
              <w:spacing w:line="360" w:lineRule="auto"/>
              <w:ind w:firstLine="480" w:firstLineChars="200"/>
            </w:pPr>
            <w:r>
              <w:t>式中：</w:t>
            </w:r>
          </w:p>
          <w:p>
            <w:pPr>
              <w:adjustRightInd w:val="0"/>
              <w:snapToGrid w:val="0"/>
              <w:spacing w:line="360" w:lineRule="auto"/>
              <w:ind w:firstLine="960" w:firstLineChars="400"/>
            </w:pPr>
            <w:r>
              <w:t>QL—液体泄漏速度，kg/s；</w:t>
            </w:r>
          </w:p>
          <w:p>
            <w:pPr>
              <w:adjustRightInd w:val="0"/>
              <w:snapToGrid w:val="0"/>
              <w:spacing w:line="360" w:lineRule="auto"/>
              <w:ind w:firstLine="960" w:firstLineChars="400"/>
            </w:pPr>
            <w:r>
              <w:t>Cd—液体泄漏系数，此值常用0.6～0.64，取0.62；</w:t>
            </w:r>
          </w:p>
          <w:p>
            <w:pPr>
              <w:adjustRightInd w:val="0"/>
              <w:snapToGrid w:val="0"/>
              <w:spacing w:line="360" w:lineRule="auto"/>
              <w:ind w:firstLine="960" w:firstLineChars="400"/>
            </w:pPr>
            <w:r>
              <w:t>A—裂口面积，m2，取0.25cm2；</w:t>
            </w:r>
          </w:p>
          <w:p>
            <w:pPr>
              <w:adjustRightInd w:val="0"/>
              <w:snapToGrid w:val="0"/>
              <w:spacing w:line="360" w:lineRule="auto"/>
              <w:ind w:firstLine="960" w:firstLineChars="400"/>
            </w:pPr>
            <w:r>
              <w:t>P—容器内介质压力，82040Pa；</w:t>
            </w:r>
          </w:p>
          <w:p>
            <w:pPr>
              <w:adjustRightInd w:val="0"/>
              <w:snapToGrid w:val="0"/>
              <w:spacing w:line="360" w:lineRule="auto"/>
              <w:ind w:firstLine="960" w:firstLineChars="400"/>
            </w:pPr>
            <w:r>
              <w:t>P0—环境压力，82040Pa；</w:t>
            </w:r>
          </w:p>
          <w:p>
            <w:pPr>
              <w:adjustRightInd w:val="0"/>
              <w:snapToGrid w:val="0"/>
              <w:spacing w:line="360" w:lineRule="auto"/>
              <w:ind w:firstLine="960" w:firstLineChars="400"/>
            </w:pPr>
            <w:r>
              <w:t>g—重力加速度，9.81m/s2；</w:t>
            </w:r>
          </w:p>
          <w:p>
            <w:pPr>
              <w:adjustRightInd w:val="0"/>
              <w:snapToGrid w:val="0"/>
              <w:spacing w:line="360" w:lineRule="auto"/>
              <w:ind w:firstLine="960" w:firstLineChars="400"/>
            </w:pPr>
            <w:r>
              <w:t>h—裂口之上液位高度，取1m；</w:t>
            </w:r>
          </w:p>
          <w:p>
            <w:pPr>
              <w:adjustRightInd w:val="0"/>
              <w:snapToGrid w:val="0"/>
              <w:spacing w:line="360" w:lineRule="auto"/>
              <w:ind w:firstLine="960" w:firstLineChars="400"/>
            </w:pPr>
            <w:r>
              <w:t>ρ—液体的密度，kg/m3；汽油密度=725kg/m</w:t>
            </w:r>
            <w:r>
              <w:rPr>
                <w:vertAlign w:val="superscript"/>
              </w:rPr>
              <w:t>3</w:t>
            </w:r>
            <w:r>
              <w:t>，柴油密度=835kg/m</w:t>
            </w:r>
            <w:r>
              <w:rPr>
                <w:vertAlign w:val="superscript"/>
              </w:rPr>
              <w:t>3</w:t>
            </w:r>
            <w:r>
              <w:t>。</w:t>
            </w:r>
          </w:p>
          <w:p>
            <w:pPr>
              <w:adjustRightInd w:val="0"/>
              <w:snapToGrid w:val="0"/>
              <w:spacing w:line="360" w:lineRule="auto"/>
              <w:ind w:firstLine="480" w:firstLineChars="200"/>
            </w:pPr>
            <w:r>
              <w:rPr>
                <w:rFonts w:hint="default"/>
              </w:rPr>
              <w:t>本项目加油站储罐区汽</w:t>
            </w:r>
            <w:r>
              <w:rPr>
                <w:rFonts w:hint="eastAsia"/>
                <w:lang w:eastAsia="zh-CN"/>
              </w:rPr>
              <w:t>油罐</w:t>
            </w:r>
            <w:r>
              <w:rPr>
                <w:rFonts w:hint="default"/>
              </w:rPr>
              <w:t>单罐容量为</w:t>
            </w:r>
            <w:r>
              <w:rPr>
                <w:rFonts w:hint="eastAsia"/>
                <w:lang w:val="en-US" w:eastAsia="zh-CN"/>
              </w:rPr>
              <w:t xml:space="preserve">30 </w:t>
            </w:r>
            <w:r>
              <w:rPr>
                <w:rFonts w:hint="default"/>
              </w:rPr>
              <w:t>m</w:t>
            </w:r>
            <w:r>
              <w:rPr>
                <w:rFonts w:hint="default"/>
                <w:vertAlign w:val="superscript"/>
              </w:rPr>
              <w:t>3</w:t>
            </w:r>
            <w:r>
              <w:rPr>
                <w:rFonts w:hint="default"/>
              </w:rPr>
              <w:t>，</w:t>
            </w:r>
            <w:r>
              <w:rPr>
                <w:rFonts w:hint="eastAsia"/>
                <w:lang w:eastAsia="zh-CN"/>
              </w:rPr>
              <w:t>，柴油罐</w:t>
            </w:r>
            <w:r>
              <w:rPr>
                <w:rFonts w:hint="default"/>
              </w:rPr>
              <w:t>单罐容量为</w:t>
            </w:r>
            <w:r>
              <w:rPr>
                <w:rFonts w:hint="eastAsia"/>
                <w:lang w:val="en-US" w:eastAsia="zh-CN"/>
              </w:rPr>
              <w:t xml:space="preserve">50 </w:t>
            </w:r>
            <w:r>
              <w:rPr>
                <w:rFonts w:hint="default"/>
              </w:rPr>
              <w:t>m</w:t>
            </w:r>
            <w:r>
              <w:rPr>
                <w:rFonts w:hint="default"/>
                <w:vertAlign w:val="superscript"/>
              </w:rPr>
              <w:t>3</w:t>
            </w:r>
            <w:r>
              <w:rPr>
                <w:rFonts w:hint="eastAsia"/>
                <w:vertAlign w:val="baseline"/>
                <w:lang w:eastAsia="zh-CN"/>
              </w:rPr>
              <w:t>，</w:t>
            </w:r>
            <w:r>
              <w:rPr>
                <w:rFonts w:hint="default"/>
              </w:rPr>
              <w:t>项目使用</w:t>
            </w:r>
            <w:r>
              <w:rPr>
                <w:rFonts w:hint="eastAsia"/>
                <w:lang w:val="en-US" w:eastAsia="zh-CN"/>
              </w:rPr>
              <w:t>3</w:t>
            </w:r>
            <w:r>
              <w:rPr>
                <w:rFonts w:hint="default"/>
              </w:rPr>
              <w:t>个汽油罐和</w:t>
            </w:r>
            <w:r>
              <w:rPr>
                <w:rFonts w:hint="eastAsia"/>
                <w:lang w:val="en-US" w:eastAsia="zh-CN"/>
              </w:rPr>
              <w:t>3</w:t>
            </w:r>
            <w:r>
              <w:rPr>
                <w:rFonts w:hint="default"/>
              </w:rPr>
              <w:t>个柴油罐，汽油密度0.70～0.7</w:t>
            </w:r>
            <w:r>
              <w:rPr>
                <w:rFonts w:hint="eastAsia"/>
                <w:lang w:val="en-US" w:eastAsia="zh-CN"/>
              </w:rPr>
              <w:t>8</w:t>
            </w:r>
            <w:r>
              <w:rPr>
                <w:rFonts w:hint="default"/>
              </w:rPr>
              <w:t>，本次取0.75</w:t>
            </w:r>
            <w:r>
              <w:rPr>
                <w:rFonts w:hint="eastAsia"/>
                <w:lang w:val="en-US" w:eastAsia="zh-CN"/>
              </w:rPr>
              <w:t xml:space="preserve"> </w:t>
            </w:r>
            <w:r>
              <w:rPr>
                <w:rFonts w:hint="default"/>
              </w:rPr>
              <w:t>t/m</w:t>
            </w:r>
            <w:r>
              <w:rPr>
                <w:rFonts w:hint="default"/>
                <w:vertAlign w:val="superscript"/>
              </w:rPr>
              <w:t>3</w:t>
            </w:r>
            <w:r>
              <w:rPr>
                <w:rFonts w:hint="default"/>
              </w:rPr>
              <w:t>，柴油密度0.8</w:t>
            </w:r>
            <w:r>
              <w:rPr>
                <w:rFonts w:hint="eastAsia"/>
                <w:lang w:val="en-US" w:eastAsia="zh-CN"/>
              </w:rPr>
              <w:t>3</w:t>
            </w:r>
            <w:r>
              <w:rPr>
                <w:rFonts w:hint="default"/>
              </w:rPr>
              <w:t>～</w:t>
            </w:r>
            <w:r>
              <w:rPr>
                <w:rFonts w:hint="eastAsia"/>
                <w:lang w:val="en-US" w:eastAsia="zh-CN"/>
              </w:rPr>
              <w:t>0.855</w:t>
            </w:r>
            <w:r>
              <w:rPr>
                <w:rFonts w:hint="default"/>
              </w:rPr>
              <w:t>，本项目取0.</w:t>
            </w:r>
            <w:r>
              <w:rPr>
                <w:rFonts w:hint="eastAsia"/>
                <w:lang w:val="en-US" w:eastAsia="zh-CN"/>
              </w:rPr>
              <w:t>84</w:t>
            </w:r>
            <w:r>
              <w:rPr>
                <w:rFonts w:hint="default"/>
              </w:rPr>
              <w:t>，最大储量按储油罐</w:t>
            </w:r>
            <w:r>
              <w:rPr>
                <w:rFonts w:hint="eastAsia"/>
                <w:lang w:eastAsia="zh-CN"/>
              </w:rPr>
              <w:t>的</w:t>
            </w:r>
            <w:r>
              <w:rPr>
                <w:rFonts w:hint="default"/>
              </w:rPr>
              <w:t>90%，则汽油的最大存储量为</w:t>
            </w:r>
            <w:r>
              <w:rPr>
                <w:rFonts w:hint="eastAsia"/>
                <w:lang w:val="en-US" w:eastAsia="zh-CN"/>
              </w:rPr>
              <w:t>60.75</w:t>
            </w:r>
            <w:r>
              <w:rPr>
                <w:rFonts w:hint="default"/>
              </w:rPr>
              <w:t>t，柴油最大存储量为</w:t>
            </w:r>
            <w:r>
              <w:rPr>
                <w:rFonts w:hint="eastAsia"/>
                <w:lang w:val="en-US" w:eastAsia="zh-CN"/>
              </w:rPr>
              <w:t>113.4</w:t>
            </w:r>
            <w:r>
              <w:rPr>
                <w:rFonts w:hint="default"/>
              </w:rPr>
              <w:t>t。</w:t>
            </w:r>
            <w:r>
              <w:t>经计算，汽油和柴油泄漏速度分别为0.</w:t>
            </w:r>
            <w:r>
              <w:rPr>
                <w:rFonts w:hint="eastAsia"/>
                <w:lang w:val="en-US" w:eastAsia="zh-CN"/>
              </w:rPr>
              <w:t>152</w:t>
            </w:r>
            <w:r>
              <w:t>kg/s、0.</w:t>
            </w:r>
            <w:r>
              <w:rPr>
                <w:rFonts w:hint="eastAsia"/>
                <w:lang w:val="en-US" w:eastAsia="zh-CN"/>
              </w:rPr>
              <w:t>94</w:t>
            </w:r>
            <w:r>
              <w:t>kg/s。假设所有的储油罐同时泄漏（最不利条件），则10min汽油泄露量为</w:t>
            </w:r>
            <w:r>
              <w:rPr>
                <w:rFonts w:hint="eastAsia"/>
                <w:lang w:val="en-US" w:eastAsia="zh-CN"/>
              </w:rPr>
              <w:t>91.2</w:t>
            </w:r>
            <w:r>
              <w:t>kg，柴油泄漏量为</w:t>
            </w:r>
            <w:r>
              <w:rPr>
                <w:rFonts w:hint="eastAsia"/>
                <w:lang w:val="en-US" w:eastAsia="zh-CN"/>
              </w:rPr>
              <w:t>55.8</w:t>
            </w:r>
            <w:r>
              <w:t>kg，合计</w:t>
            </w:r>
            <w:r>
              <w:rPr>
                <w:rFonts w:hint="eastAsia"/>
                <w:lang w:val="en-US" w:eastAsia="zh-CN"/>
              </w:rPr>
              <w:t>147</w:t>
            </w:r>
            <w:r>
              <w:t>kg。</w:t>
            </w:r>
          </w:p>
          <w:p>
            <w:pPr>
              <w:adjustRightInd w:val="0"/>
              <w:snapToGrid w:val="0"/>
              <w:spacing w:line="360" w:lineRule="auto"/>
              <w:ind w:firstLine="480" w:firstLineChars="200"/>
            </w:pPr>
            <w:r>
              <w:t>水流速度根据地下水流经验公式计算：</w:t>
            </w:r>
          </w:p>
          <w:p>
            <w:pPr>
              <w:adjustRightInd w:val="0"/>
              <w:snapToGrid w:val="0"/>
              <w:spacing w:line="360" w:lineRule="auto"/>
              <w:ind w:firstLine="480" w:firstLineChars="200"/>
            </w:pPr>
            <w:r>
              <w:t>V=KI/n</w:t>
            </w:r>
          </w:p>
          <w:p>
            <w:pPr>
              <w:adjustRightInd w:val="0"/>
              <w:snapToGrid w:val="0"/>
              <w:spacing w:line="360" w:lineRule="auto"/>
              <w:ind w:firstLine="480" w:firstLineChars="200"/>
            </w:pPr>
            <w:r>
              <w:t>式中：V——水流速度；</w:t>
            </w:r>
          </w:p>
          <w:p>
            <w:pPr>
              <w:adjustRightInd w:val="0"/>
              <w:snapToGrid w:val="0"/>
              <w:spacing w:line="360" w:lineRule="auto"/>
              <w:ind w:firstLine="1200" w:firstLineChars="500"/>
            </w:pPr>
            <w:r>
              <w:t>K——渗透系数，m/d；本项目取轻亚粘土渗透系数值0.1m/d。</w:t>
            </w:r>
          </w:p>
          <w:p>
            <w:pPr>
              <w:adjustRightInd w:val="0"/>
              <w:snapToGrid w:val="0"/>
              <w:spacing w:line="360" w:lineRule="auto"/>
              <w:ind w:firstLine="1200" w:firstLineChars="500"/>
            </w:pPr>
            <w:r>
              <w:t>I——水力坡度；由本项目监测报告监测数据计算，本项目水力坡度取0.003。</w:t>
            </w:r>
          </w:p>
          <w:p>
            <w:pPr>
              <w:adjustRightInd w:val="0"/>
              <w:snapToGrid w:val="0"/>
              <w:spacing w:line="360" w:lineRule="auto"/>
              <w:ind w:firstLine="1200" w:firstLineChars="500"/>
              <w:rPr>
                <w:rFonts w:hint="eastAsia"/>
              </w:rPr>
            </w:pPr>
            <w:r>
              <w:t>n——有效孔隙度。根据《环境影响评价技术方法》（环境保护部环境工程评估中心编2012年版）不同地质材料的孔隙度，评价区域潜水含水介质以粉质粘土为主，孔隙度为0.34~0.6，有效孔隙度比孔隙度少5~10％，因此评价区域有效孔隙度取平均值0.45。由上式计算可得，本项目所在区域地下水流速为0.0007m/d</w:t>
            </w:r>
            <w:r>
              <w:rPr>
                <w:rFonts w:hint="eastAsia"/>
              </w:rPr>
              <w:t>。</w:t>
            </w:r>
          </w:p>
          <w:p>
            <w:pPr>
              <w:adjustRightInd w:val="0"/>
              <w:snapToGrid w:val="0"/>
              <w:spacing w:line="360" w:lineRule="auto"/>
              <w:ind w:firstLine="480" w:firstLineChars="200"/>
              <w:rPr>
                <w:rFonts w:hint="eastAsia"/>
              </w:rPr>
            </w:pPr>
            <w:r>
              <w:rPr>
                <w:rFonts w:hint="eastAsia"/>
              </w:rPr>
              <w:t>横截面面积：</w:t>
            </w:r>
            <w:r>
              <w:t>本评价</w:t>
            </w:r>
            <w:r>
              <w:rPr>
                <w:rFonts w:hint="eastAsia"/>
              </w:rPr>
              <w:t>横</w:t>
            </w:r>
            <w:r>
              <w:t>截面积</w:t>
            </w:r>
            <w:r>
              <w:rPr>
                <w:rFonts w:hint="eastAsia"/>
              </w:rPr>
              <w:t>为</w:t>
            </w:r>
            <w:r>
              <w:t>80m</w:t>
            </w:r>
            <w:r>
              <w:rPr>
                <w:vertAlign w:val="superscript"/>
              </w:rPr>
              <w:t>2</w:t>
            </w:r>
            <w:r>
              <w:rPr>
                <w:rFonts w:hint="eastAsia"/>
              </w:rPr>
              <w:t>。</w:t>
            </w:r>
          </w:p>
          <w:p>
            <w:pPr>
              <w:adjustRightInd w:val="0"/>
              <w:snapToGrid w:val="0"/>
              <w:spacing w:line="360" w:lineRule="auto"/>
              <w:ind w:firstLine="480" w:firstLineChars="200"/>
              <w:rPr>
                <w:rFonts w:hint="eastAsia"/>
              </w:rPr>
            </w:pPr>
            <w:r>
              <w:rPr>
                <w:rFonts w:hint="eastAsia"/>
              </w:rPr>
              <w:t>纵向弥散系数：纵向弥散度</w:t>
            </w:r>
            <w:r>
              <w:t>αL</w:t>
            </w:r>
            <w:r>
              <w:rPr>
                <w:rFonts w:hint="eastAsia"/>
              </w:rPr>
              <w:t>：纵向弥散度</w:t>
            </w:r>
            <w:r>
              <w:t>αL</w:t>
            </w:r>
            <w:r>
              <w:rPr>
                <w:rFonts w:hint="eastAsia"/>
              </w:rPr>
              <w:t>可以由图</w:t>
            </w:r>
            <w:r>
              <w:t>10</w:t>
            </w:r>
            <w:r>
              <w:rPr>
                <w:rFonts w:hint="eastAsia"/>
              </w:rPr>
              <w:t>确定。图</w:t>
            </w:r>
            <w:r>
              <w:t>10</w:t>
            </w:r>
            <w:r>
              <w:rPr>
                <w:rFonts w:hint="eastAsia"/>
              </w:rPr>
              <w:t>为根据世界范围内所收集到的百余个水质模型中所计算出的孔隙介质的纵向弥散度</w:t>
            </w:r>
            <w:r>
              <w:t>αL</w:t>
            </w:r>
            <w:r>
              <w:rPr>
                <w:rFonts w:hint="eastAsia"/>
              </w:rPr>
              <w:t>及有关资料与参数作出的</w:t>
            </w:r>
            <w:r>
              <w:t>lgαL—lgLs</w:t>
            </w:r>
            <w:r>
              <w:rPr>
                <w:rFonts w:hint="eastAsia"/>
              </w:rPr>
              <w:t>。基准尺度</w:t>
            </w:r>
            <w:r>
              <w:t>Ls</w:t>
            </w:r>
            <w:r>
              <w:rPr>
                <w:rFonts w:hint="eastAsia"/>
              </w:rPr>
              <w:t>是指研究区大小的度量，一般用溶质运移到观测孔的最大距离表示。本项目从保守角度考虑</w:t>
            </w:r>
            <w:r>
              <w:t>Ls</w:t>
            </w:r>
            <w:r>
              <w:rPr>
                <w:rFonts w:hint="eastAsia"/>
              </w:rPr>
              <w:t>选</w:t>
            </w:r>
            <w:r>
              <w:t>1000m</w:t>
            </w:r>
            <w:r>
              <w:rPr>
                <w:rFonts w:hint="eastAsia"/>
              </w:rPr>
              <w:t>，则</w:t>
            </w:r>
            <w:r>
              <w:t>αL=10</w:t>
            </w:r>
            <w:r>
              <w:rPr>
                <w:rFonts w:hint="eastAsia"/>
              </w:rPr>
              <w:t>。</w:t>
            </w:r>
          </w:p>
          <w:p>
            <w:pPr>
              <w:adjustRightInd w:val="0"/>
              <w:snapToGrid w:val="0"/>
              <w:spacing w:line="360" w:lineRule="auto"/>
              <w:jc w:val="center"/>
            </w:pPr>
            <w:r>
              <w:drawing>
                <wp:inline distT="0" distB="0" distL="114300" distR="114300">
                  <wp:extent cx="3086735" cy="2368550"/>
                  <wp:effectExtent l="0" t="0" r="18415" b="1270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23"/>
                          <a:srcRect r="-90" b="134"/>
                          <a:stretch>
                            <a:fillRect/>
                          </a:stretch>
                        </pic:blipFill>
                        <pic:spPr>
                          <a:xfrm>
                            <a:off x="0" y="0"/>
                            <a:ext cx="3086735" cy="2368550"/>
                          </a:xfrm>
                          <a:prstGeom prst="rect">
                            <a:avLst/>
                          </a:prstGeom>
                          <a:noFill/>
                          <a:ln>
                            <a:noFill/>
                          </a:ln>
                        </pic:spPr>
                      </pic:pic>
                    </a:graphicData>
                  </a:graphic>
                </wp:inline>
              </w:drawing>
            </w:r>
          </w:p>
          <w:p>
            <w:pPr>
              <w:adjustRightInd w:val="0"/>
              <w:snapToGrid w:val="0"/>
              <w:spacing w:line="360" w:lineRule="auto"/>
              <w:jc w:val="center"/>
            </w:pPr>
            <w:r>
              <w:rPr>
                <w:b/>
                <w:bCs/>
              </w:rPr>
              <w:t>图</w:t>
            </w:r>
            <w:r>
              <w:rPr>
                <w:rFonts w:hint="eastAsia"/>
                <w:b/>
                <w:bCs/>
                <w:lang w:val="en-US" w:eastAsia="zh-CN"/>
              </w:rPr>
              <w:t>6</w:t>
            </w:r>
            <w:r>
              <w:rPr>
                <w:b/>
                <w:bCs/>
              </w:rPr>
              <w:t xml:space="preserve">    孔隙介质数值模型的lgαL—lgLs</w:t>
            </w:r>
          </w:p>
          <w:p>
            <w:pPr>
              <w:adjustRightInd w:val="0"/>
              <w:snapToGrid w:val="0"/>
              <w:spacing w:line="360" w:lineRule="auto"/>
              <w:ind w:firstLine="480" w:firstLineChars="200"/>
            </w:pPr>
            <w:r>
              <w:rPr>
                <w:rFonts w:hint="eastAsia"/>
              </w:rPr>
              <w:t>纵向弥散系数</w:t>
            </w:r>
            <w:r>
              <w:t>DL=αL×u=10×0.0007=0.007m</w:t>
            </w:r>
            <w:r>
              <w:rPr>
                <w:vertAlign w:val="superscript"/>
              </w:rPr>
              <w:t>2</w:t>
            </w:r>
            <w:r>
              <w:t>/d</w:t>
            </w:r>
          </w:p>
          <w:p>
            <w:pPr>
              <w:adjustRightInd w:val="0"/>
              <w:snapToGrid w:val="0"/>
              <w:spacing w:line="360" w:lineRule="auto"/>
              <w:ind w:firstLine="480" w:firstLineChars="200"/>
              <w:rPr>
                <w:rFonts w:hint="eastAsia"/>
              </w:rPr>
            </w:pPr>
            <w:r>
              <w:rPr>
                <w:rFonts w:hint="eastAsia"/>
              </w:rPr>
              <w:t>根据</w:t>
            </w:r>
            <w:r>
              <w:t>以上结论，确定本次地下水预测参数，详见表</w:t>
            </w:r>
            <w:r>
              <w:rPr>
                <w:rFonts w:hint="eastAsia"/>
              </w:rPr>
              <w:t>3</w:t>
            </w:r>
            <w:r>
              <w:rPr>
                <w:rFonts w:hint="eastAsia"/>
                <w:lang w:val="en-US" w:eastAsia="zh-CN"/>
              </w:rPr>
              <w:t>2</w:t>
            </w:r>
            <w:r>
              <w:rPr>
                <w:rFonts w:hint="eastAsia"/>
              </w:rPr>
              <w:t>。</w:t>
            </w:r>
          </w:p>
          <w:p>
            <w:pPr>
              <w:bidi w:val="0"/>
              <w:jc w:val="center"/>
              <w:rPr>
                <w:rFonts w:hint="eastAsia"/>
              </w:rPr>
            </w:pPr>
            <w:r>
              <w:rPr>
                <w:rFonts w:hint="eastAsia"/>
                <w:b/>
                <w:bCs/>
              </w:rPr>
              <w:t xml:space="preserve">表 </w:t>
            </w:r>
            <w:r>
              <w:rPr>
                <w:rFonts w:hint="eastAsia"/>
                <w:b/>
                <w:bCs/>
                <w:lang w:val="en-US" w:eastAsia="zh-CN"/>
              </w:rPr>
              <w:t>32</w:t>
            </w:r>
            <w:r>
              <w:rPr>
                <w:b/>
                <w:bCs/>
              </w:rPr>
              <w:t xml:space="preserve">   </w:t>
            </w:r>
            <w:r>
              <w:rPr>
                <w:rFonts w:hint="eastAsia"/>
                <w:b/>
                <w:bCs/>
              </w:rPr>
              <w:t>地下水</w:t>
            </w:r>
            <w:r>
              <w:rPr>
                <w:b/>
                <w:bCs/>
              </w:rPr>
              <w:t>预测参数选取一览表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1396"/>
              <w:gridCol w:w="1419"/>
              <w:gridCol w:w="1390"/>
              <w:gridCol w:w="1383"/>
              <w:gridCol w:w="1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参数</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m（kg）</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DL(m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/d)</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u(m/d)</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w(m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取值</w:t>
                  </w:r>
                </w:p>
              </w:tc>
              <w:tc>
                <w:tcPr>
                  <w:tcW w:w="1474" w:type="dxa"/>
                  <w:noWrap w:val="0"/>
                  <w:vAlign w:val="center"/>
                </w:tcPr>
                <w:p>
                  <w:pPr>
                    <w:pStyle w:val="31"/>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147</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0.007</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0.0007</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80</w:t>
                  </w:r>
                </w:p>
              </w:tc>
              <w:tc>
                <w:tcPr>
                  <w:tcW w:w="1474" w:type="dxa"/>
                  <w:noWrap w:val="0"/>
                  <w:vAlign w:val="center"/>
                </w:tcPr>
                <w:p>
                  <w:pPr>
                    <w:pStyle w:val="31"/>
                    <w:jc w:val="center"/>
                    <w:rPr>
                      <w:rFonts w:hint="default" w:ascii="Times New Roman" w:hAnsi="Times New Roman" w:cs="Times New Roman"/>
                      <w:sz w:val="21"/>
                      <w:szCs w:val="21"/>
                    </w:rPr>
                  </w:pPr>
                  <w:r>
                    <w:rPr>
                      <w:rFonts w:hint="default" w:ascii="Times New Roman" w:hAnsi="Times New Roman" w:cs="Times New Roman"/>
                      <w:sz w:val="21"/>
                      <w:szCs w:val="21"/>
                    </w:rPr>
                    <w:t>0.45</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b/>
                <w:bCs/>
                <w:lang w:eastAsia="zh-CN"/>
              </w:rPr>
              <w:t>（</w:t>
            </w:r>
            <w:r>
              <w:rPr>
                <w:rFonts w:hint="eastAsia"/>
                <w:b/>
                <w:bCs/>
                <w:lang w:val="en-US" w:eastAsia="zh-CN"/>
              </w:rPr>
              <w:t>7</w:t>
            </w:r>
            <w:r>
              <w:rPr>
                <w:rFonts w:hint="eastAsia"/>
                <w:b/>
                <w:bCs/>
                <w:lang w:eastAsia="zh-CN"/>
              </w:rPr>
              <w:t>）</w:t>
            </w:r>
            <w:r>
              <w:rPr>
                <w:b/>
                <w:bCs/>
              </w:rPr>
              <w:t>预测结果</w:t>
            </w:r>
          </w:p>
          <w:p>
            <w:pPr>
              <w:adjustRightInd w:val="0"/>
              <w:snapToGrid w:val="0"/>
              <w:spacing w:line="360" w:lineRule="auto"/>
              <w:ind w:firstLine="480" w:firstLineChars="200"/>
              <w:rPr>
                <w:rFonts w:hint="eastAsia"/>
              </w:rPr>
            </w:pPr>
            <w:r>
              <w:rPr>
                <w:rFonts w:hint="eastAsia"/>
              </w:rPr>
              <w:t>本次评价过程中，对油污连续泄露至裸土壤100d、</w:t>
            </w:r>
            <w:r>
              <w:t>100</w:t>
            </w:r>
            <w:r>
              <w:rPr>
                <w:rFonts w:hint="eastAsia"/>
              </w:rPr>
              <w:t>0d和</w:t>
            </w:r>
            <w:r>
              <w:t>服务年限（20年，即7300d</w:t>
            </w:r>
            <w:r>
              <w:rPr>
                <w:rFonts w:hint="eastAsia"/>
              </w:rPr>
              <w:t>。预测结果</w:t>
            </w:r>
            <w:r>
              <w:t>见表</w:t>
            </w:r>
            <w:r>
              <w:rPr>
                <w:rFonts w:hint="eastAsia"/>
              </w:rPr>
              <w:t>3</w:t>
            </w:r>
            <w:r>
              <w:rPr>
                <w:rFonts w:hint="eastAsia"/>
                <w:lang w:val="en-US" w:eastAsia="zh-CN"/>
              </w:rPr>
              <w:t>3</w:t>
            </w:r>
            <w:r>
              <w:rPr>
                <w:rFonts w:hint="eastAsia"/>
              </w:rPr>
              <w:t>。</w:t>
            </w:r>
          </w:p>
          <w:p>
            <w:pPr>
              <w:bidi w:val="0"/>
              <w:jc w:val="center"/>
            </w:pPr>
            <w:r>
              <w:rPr>
                <w:b/>
                <w:bCs/>
              </w:rPr>
              <w:t xml:space="preserve">表 </w:t>
            </w:r>
            <w:r>
              <w:rPr>
                <w:rFonts w:hint="eastAsia"/>
                <w:b/>
                <w:bCs/>
                <w:lang w:val="en-US" w:eastAsia="zh-CN"/>
              </w:rPr>
              <w:t>33</w:t>
            </w:r>
            <w:r>
              <w:rPr>
                <w:b/>
                <w:bCs/>
              </w:rPr>
              <w:t xml:space="preserve">    下游地下水石油类预测结果一览表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3"/>
              <w:gridCol w:w="2979"/>
              <w:gridCol w:w="2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pStyle w:val="11"/>
                    <w:bidi w:val="0"/>
                    <w:jc w:val="center"/>
                    <w:rPr>
                      <w:lang w:val="en-US" w:eastAsia="zh-CN"/>
                    </w:rPr>
                  </w:pPr>
                  <w:r>
                    <w:rPr>
                      <w:rFonts w:hint="eastAsia"/>
                      <w:lang w:val="en-US" w:eastAsia="zh-CN"/>
                    </w:rPr>
                    <w:t>时间</w:t>
                  </w:r>
                </w:p>
              </w:tc>
              <w:tc>
                <w:tcPr>
                  <w:tcW w:w="6314" w:type="dxa"/>
                  <w:gridSpan w:val="2"/>
                  <w:noWrap w:val="0"/>
                  <w:vAlign w:val="center"/>
                </w:tcPr>
                <w:p>
                  <w:pPr>
                    <w:pStyle w:val="11"/>
                    <w:bidi w:val="0"/>
                    <w:jc w:val="center"/>
                    <w:rPr>
                      <w:lang w:val="en-US" w:eastAsia="zh-CN"/>
                    </w:rPr>
                  </w:pPr>
                  <w:r>
                    <w:rPr>
                      <w:rFonts w:hint="eastAsia"/>
                      <w:lang w:val="en-US" w:eastAsia="zh-CN"/>
                    </w:rPr>
                    <w:t>预测因子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pStyle w:val="11"/>
                    <w:bidi w:val="0"/>
                    <w:jc w:val="center"/>
                    <w:rPr>
                      <w:rFonts w:hint="eastAsia"/>
                      <w:lang w:val="en-US" w:eastAsia="zh-CN"/>
                    </w:rPr>
                  </w:pPr>
                </w:p>
              </w:tc>
              <w:tc>
                <w:tcPr>
                  <w:tcW w:w="6314" w:type="dxa"/>
                  <w:gridSpan w:val="2"/>
                  <w:noWrap w:val="0"/>
                  <w:vAlign w:val="center"/>
                </w:tcPr>
                <w:p>
                  <w:pPr>
                    <w:pStyle w:val="11"/>
                    <w:bidi w:val="0"/>
                    <w:jc w:val="center"/>
                    <w:rPr>
                      <w:lang w:val="en-US" w:eastAsia="zh-CN"/>
                    </w:rPr>
                  </w:pPr>
                  <w:r>
                    <w:rPr>
                      <w:rFonts w:hint="eastAsia"/>
                      <w:lang w:val="en-US" w:eastAsia="zh-CN"/>
                    </w:rPr>
                    <w:t>石油类（标准值0.05</w:t>
                  </w:r>
                  <w:r>
                    <w:rPr>
                      <w:lang w:val="en-US" w:eastAsia="zh-CN"/>
                    </w:rPr>
                    <w:t>mg/L</w:t>
                  </w: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pStyle w:val="11"/>
                    <w:bidi w:val="0"/>
                    <w:jc w:val="center"/>
                    <w:rPr>
                      <w:lang w:val="en-US" w:eastAsia="zh-CN"/>
                    </w:rPr>
                  </w:pPr>
                  <w:r>
                    <w:rPr>
                      <w:lang w:val="en-US" w:eastAsia="zh-CN"/>
                    </w:rPr>
                    <w:t>100d</w:t>
                  </w:r>
                </w:p>
              </w:tc>
              <w:tc>
                <w:tcPr>
                  <w:tcW w:w="3157" w:type="dxa"/>
                  <w:noWrap w:val="0"/>
                  <w:vAlign w:val="center"/>
                </w:tcPr>
                <w:p>
                  <w:pPr>
                    <w:pStyle w:val="11"/>
                    <w:bidi w:val="0"/>
                    <w:jc w:val="center"/>
                    <w:rPr>
                      <w:lang w:val="en-US" w:eastAsia="zh-CN"/>
                    </w:rPr>
                  </w:pPr>
                  <w:r>
                    <w:rPr>
                      <w:lang w:val="en-US" w:eastAsia="zh-CN"/>
                    </w:rPr>
                    <w:t>最远迁移距离（m）</w:t>
                  </w:r>
                </w:p>
              </w:tc>
              <w:tc>
                <w:tcPr>
                  <w:tcW w:w="3157" w:type="dxa"/>
                  <w:noWrap w:val="0"/>
                  <w:vAlign w:val="center"/>
                </w:tcPr>
                <w:p>
                  <w:pPr>
                    <w:pStyle w:val="11"/>
                    <w:bidi w:val="0"/>
                    <w:jc w:val="center"/>
                    <w:rPr>
                      <w:lang w:val="en-US" w:eastAsia="zh-CN"/>
                    </w:rPr>
                  </w:pPr>
                  <w:r>
                    <w:rPr>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pStyle w:val="11"/>
                    <w:bidi w:val="0"/>
                    <w:jc w:val="center"/>
                    <w:rPr>
                      <w:lang w:val="en-US" w:eastAsia="zh-CN"/>
                    </w:rPr>
                  </w:pPr>
                </w:p>
              </w:tc>
              <w:tc>
                <w:tcPr>
                  <w:tcW w:w="3157" w:type="dxa"/>
                  <w:noWrap w:val="0"/>
                  <w:vAlign w:val="center"/>
                </w:tcPr>
                <w:p>
                  <w:pPr>
                    <w:pStyle w:val="11"/>
                    <w:bidi w:val="0"/>
                    <w:jc w:val="center"/>
                    <w:rPr>
                      <w:lang w:val="en-US" w:eastAsia="zh-CN"/>
                    </w:rPr>
                  </w:pPr>
                  <w:r>
                    <w:rPr>
                      <w:lang w:val="en-US" w:eastAsia="zh-CN"/>
                    </w:rPr>
                    <w:t>浓度（mg/L）</w:t>
                  </w:r>
                </w:p>
              </w:tc>
              <w:tc>
                <w:tcPr>
                  <w:tcW w:w="3157" w:type="dxa"/>
                  <w:noWrap w:val="0"/>
                  <w:vAlign w:val="center"/>
                </w:tcPr>
                <w:p>
                  <w:pPr>
                    <w:pStyle w:val="11"/>
                    <w:bidi w:val="0"/>
                    <w:jc w:val="center"/>
                    <w:rPr>
                      <w:rFonts w:hint="default"/>
                      <w:lang w:val="en-US" w:eastAsia="zh-CN"/>
                    </w:rPr>
                  </w:pPr>
                  <w:r>
                    <w:rPr>
                      <w:lang w:val="en-US" w:eastAsia="zh-CN"/>
                    </w:rPr>
                    <w:t>0.02</w:t>
                  </w:r>
                  <w:r>
                    <w:rPr>
                      <w:rFonts w:hint="eastAsia"/>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pStyle w:val="11"/>
                    <w:bidi w:val="0"/>
                    <w:jc w:val="center"/>
                    <w:rPr>
                      <w:lang w:val="en-US" w:eastAsia="zh-CN"/>
                    </w:rPr>
                  </w:pPr>
                  <w:r>
                    <w:rPr>
                      <w:lang w:val="en-US" w:eastAsia="zh-CN"/>
                    </w:rPr>
                    <w:t>1000d</w:t>
                  </w:r>
                </w:p>
              </w:tc>
              <w:tc>
                <w:tcPr>
                  <w:tcW w:w="3157" w:type="dxa"/>
                  <w:noWrap w:val="0"/>
                  <w:vAlign w:val="center"/>
                </w:tcPr>
                <w:p>
                  <w:pPr>
                    <w:pStyle w:val="11"/>
                    <w:bidi w:val="0"/>
                    <w:jc w:val="center"/>
                    <w:rPr>
                      <w:lang w:val="en-US" w:eastAsia="zh-CN"/>
                    </w:rPr>
                  </w:pPr>
                  <w:r>
                    <w:rPr>
                      <w:lang w:val="en-US" w:eastAsia="zh-CN"/>
                    </w:rPr>
                    <w:t>最远迁移距离（m）</w:t>
                  </w:r>
                </w:p>
              </w:tc>
              <w:tc>
                <w:tcPr>
                  <w:tcW w:w="3157" w:type="dxa"/>
                  <w:noWrap w:val="0"/>
                  <w:vAlign w:val="center"/>
                </w:tcPr>
                <w:p>
                  <w:pPr>
                    <w:pStyle w:val="11"/>
                    <w:bidi w:val="0"/>
                    <w:jc w:val="center"/>
                    <w:rPr>
                      <w:lang w:val="en-US" w:eastAsia="zh-CN"/>
                    </w:rPr>
                  </w:pPr>
                  <w:r>
                    <w:rPr>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pStyle w:val="11"/>
                    <w:bidi w:val="0"/>
                    <w:jc w:val="center"/>
                    <w:rPr>
                      <w:lang w:val="en-US" w:eastAsia="zh-CN"/>
                    </w:rPr>
                  </w:pPr>
                </w:p>
              </w:tc>
              <w:tc>
                <w:tcPr>
                  <w:tcW w:w="3157" w:type="dxa"/>
                  <w:noWrap w:val="0"/>
                  <w:vAlign w:val="center"/>
                </w:tcPr>
                <w:p>
                  <w:pPr>
                    <w:pStyle w:val="11"/>
                    <w:bidi w:val="0"/>
                    <w:jc w:val="center"/>
                    <w:rPr>
                      <w:lang w:val="en-US" w:eastAsia="zh-CN"/>
                    </w:rPr>
                  </w:pPr>
                  <w:r>
                    <w:rPr>
                      <w:lang w:val="en-US" w:eastAsia="zh-CN"/>
                    </w:rPr>
                    <w:t>浓度（mg/L）</w:t>
                  </w:r>
                </w:p>
              </w:tc>
              <w:tc>
                <w:tcPr>
                  <w:tcW w:w="3157" w:type="dxa"/>
                  <w:noWrap w:val="0"/>
                  <w:vAlign w:val="center"/>
                </w:tcPr>
                <w:p>
                  <w:pPr>
                    <w:pStyle w:val="11"/>
                    <w:bidi w:val="0"/>
                    <w:jc w:val="center"/>
                    <w:rPr>
                      <w:rFonts w:hint="default"/>
                      <w:lang w:val="en-US" w:eastAsia="zh-CN"/>
                    </w:rPr>
                  </w:pPr>
                  <w:r>
                    <w:rPr>
                      <w:lang w:val="en-US" w:eastAsia="zh-CN"/>
                    </w:rPr>
                    <w:t>0.02</w:t>
                  </w:r>
                  <w:r>
                    <w:rPr>
                      <w:rFonts w:hint="eastAsia"/>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pStyle w:val="11"/>
                    <w:bidi w:val="0"/>
                    <w:jc w:val="center"/>
                    <w:rPr>
                      <w:lang w:val="en-US" w:eastAsia="zh-CN"/>
                    </w:rPr>
                  </w:pPr>
                  <w:r>
                    <w:rPr>
                      <w:lang w:val="en-US" w:eastAsia="zh-CN"/>
                    </w:rPr>
                    <w:t>7300d</w:t>
                  </w:r>
                </w:p>
              </w:tc>
              <w:tc>
                <w:tcPr>
                  <w:tcW w:w="3157" w:type="dxa"/>
                  <w:noWrap w:val="0"/>
                  <w:vAlign w:val="center"/>
                </w:tcPr>
                <w:p>
                  <w:pPr>
                    <w:pStyle w:val="11"/>
                    <w:bidi w:val="0"/>
                    <w:jc w:val="center"/>
                    <w:rPr>
                      <w:lang w:val="en-US" w:eastAsia="zh-CN"/>
                    </w:rPr>
                  </w:pPr>
                  <w:r>
                    <w:rPr>
                      <w:lang w:val="en-US" w:eastAsia="zh-CN"/>
                    </w:rPr>
                    <w:t>最远迁移距离（m）</w:t>
                  </w:r>
                </w:p>
              </w:tc>
              <w:tc>
                <w:tcPr>
                  <w:tcW w:w="3157" w:type="dxa"/>
                  <w:noWrap w:val="0"/>
                  <w:vAlign w:val="center"/>
                </w:tcPr>
                <w:p>
                  <w:pPr>
                    <w:pStyle w:val="11"/>
                    <w:bidi w:val="0"/>
                    <w:jc w:val="center"/>
                    <w:rPr>
                      <w:rFonts w:hint="eastAsia"/>
                      <w:lang w:val="en-US" w:eastAsia="zh-CN"/>
                    </w:rPr>
                  </w:pPr>
                  <w:r>
                    <w:rPr>
                      <w:lang w:val="en-US" w:eastAsia="zh-CN"/>
                    </w:rPr>
                    <w:t>4</w:t>
                  </w: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pStyle w:val="11"/>
                    <w:bidi w:val="0"/>
                    <w:jc w:val="center"/>
                    <w:rPr>
                      <w:lang w:val="en-US" w:eastAsia="zh-CN"/>
                    </w:rPr>
                  </w:pPr>
                </w:p>
              </w:tc>
              <w:tc>
                <w:tcPr>
                  <w:tcW w:w="3157" w:type="dxa"/>
                  <w:noWrap w:val="0"/>
                  <w:vAlign w:val="center"/>
                </w:tcPr>
                <w:p>
                  <w:pPr>
                    <w:pStyle w:val="11"/>
                    <w:bidi w:val="0"/>
                    <w:jc w:val="center"/>
                    <w:rPr>
                      <w:lang w:val="en-US" w:eastAsia="zh-CN"/>
                    </w:rPr>
                  </w:pPr>
                  <w:r>
                    <w:rPr>
                      <w:lang w:val="en-US" w:eastAsia="zh-CN"/>
                    </w:rPr>
                    <w:t>浓度（mg/L）</w:t>
                  </w:r>
                </w:p>
              </w:tc>
              <w:tc>
                <w:tcPr>
                  <w:tcW w:w="3157" w:type="dxa"/>
                  <w:noWrap w:val="0"/>
                  <w:vAlign w:val="center"/>
                </w:tcPr>
                <w:p>
                  <w:pPr>
                    <w:pStyle w:val="11"/>
                    <w:bidi w:val="0"/>
                    <w:jc w:val="center"/>
                    <w:rPr>
                      <w:rFonts w:hint="default"/>
                      <w:lang w:val="en-US" w:eastAsia="zh-CN"/>
                    </w:rPr>
                  </w:pPr>
                  <w:r>
                    <w:rPr>
                      <w:lang w:val="en-US" w:eastAsia="zh-CN"/>
                    </w:rPr>
                    <w:t>0.0</w:t>
                  </w:r>
                  <w:r>
                    <w:rPr>
                      <w:rFonts w:hint="eastAsia"/>
                      <w:lang w:val="en-US" w:eastAsia="zh-CN"/>
                    </w:rPr>
                    <w:t>132</w:t>
                  </w:r>
                </w:p>
              </w:tc>
            </w:tr>
          </w:tbl>
          <w:p>
            <w:pPr>
              <w:bidi w:val="0"/>
              <w:rPr>
                <w:rFonts w:hint="eastAsia"/>
              </w:rPr>
            </w:pPr>
            <w:r>
              <w:t>有以上分析可知：可以看出，非正常工况下，油罐泄露连续泄露至裸露土壤情况下，100d、1000d和7300d时，石油类污染物最远迁移距离分别为5m、15m和4</w:t>
            </w:r>
            <w:r>
              <w:rPr>
                <w:rFonts w:hint="eastAsia"/>
                <w:lang w:val="en-US" w:eastAsia="zh-CN"/>
              </w:rPr>
              <w:t>4</w:t>
            </w:r>
            <w:r>
              <w:t>m，相对应的浓度分别为0.0</w:t>
            </w:r>
            <w:r>
              <w:rPr>
                <w:rFonts w:hint="eastAsia"/>
                <w:lang w:val="en-US" w:eastAsia="zh-CN"/>
              </w:rPr>
              <w:t>247</w:t>
            </w:r>
            <w:r>
              <w:t>mg/L、0.0</w:t>
            </w:r>
            <w:r>
              <w:rPr>
                <w:rFonts w:hint="eastAsia"/>
                <w:lang w:val="en-US" w:eastAsia="zh-CN"/>
              </w:rPr>
              <w:t>279</w:t>
            </w:r>
            <w:r>
              <w:t>mg/L、</w:t>
            </w:r>
            <w:r>
              <w:rPr>
                <w:rFonts w:hint="eastAsia"/>
                <w:lang w:val="en-US" w:eastAsia="zh-CN"/>
              </w:rPr>
              <w:t>0.132</w:t>
            </w:r>
            <w:r>
              <w:t>mg/L。叠加本项目站址处地下水石油类监测数据后亦可满足《地下水质量标准》（GB/T14848-2017）表1 III类标准要求。</w:t>
            </w:r>
          </w:p>
          <w:p>
            <w:pPr>
              <w:pStyle w:val="2"/>
              <w:rPr>
                <w:rFonts w:hint="eastAsia"/>
                <w:lang w:eastAsia="zh-CN"/>
              </w:rPr>
            </w:pPr>
            <w:r>
              <w:rPr>
                <w:rFonts w:ascii="Times New Roman" w:hAnsi="Times New Roman"/>
                <w:b/>
                <w:bCs w:val="0"/>
                <w:color w:val="auto"/>
                <w:sz w:val="24"/>
                <w:highlight w:val="none"/>
                <w:u w:val="single"/>
              </w:rPr>
              <w:t>根据调查，本地区地下水流向为自</w:t>
            </w:r>
            <w:r>
              <w:rPr>
                <w:rFonts w:hint="eastAsia" w:ascii="Times New Roman" w:hAnsi="Times New Roman"/>
                <w:b/>
                <w:bCs w:val="0"/>
                <w:color w:val="auto"/>
                <w:sz w:val="24"/>
                <w:highlight w:val="none"/>
                <w:u w:val="single"/>
                <w:lang w:eastAsia="zh-CN"/>
              </w:rPr>
              <w:t>西</w:t>
            </w:r>
            <w:r>
              <w:rPr>
                <w:rFonts w:ascii="Times New Roman" w:hAnsi="Times New Roman"/>
                <w:b/>
                <w:bCs w:val="0"/>
                <w:color w:val="auto"/>
                <w:sz w:val="24"/>
                <w:highlight w:val="none"/>
                <w:u w:val="single"/>
              </w:rPr>
              <w:t>向</w:t>
            </w:r>
            <w:r>
              <w:rPr>
                <w:rFonts w:hint="eastAsia" w:ascii="Times New Roman" w:hAnsi="Times New Roman"/>
                <w:b/>
                <w:bCs w:val="0"/>
                <w:color w:val="auto"/>
                <w:sz w:val="24"/>
                <w:highlight w:val="none"/>
                <w:u w:val="single"/>
                <w:lang w:eastAsia="zh-CN"/>
              </w:rPr>
              <w:t>东</w:t>
            </w:r>
            <w:r>
              <w:rPr>
                <w:rFonts w:ascii="Times New Roman" w:hAnsi="Times New Roman"/>
                <w:b/>
                <w:bCs w:val="0"/>
                <w:color w:val="auto"/>
                <w:sz w:val="24"/>
                <w:highlight w:val="none"/>
                <w:u w:val="single"/>
              </w:rPr>
              <w:t>，本项目位于</w:t>
            </w:r>
            <w:r>
              <w:rPr>
                <w:rFonts w:hint="eastAsia"/>
                <w:b/>
                <w:bCs w:val="0"/>
                <w:color w:val="auto"/>
                <w:sz w:val="24"/>
                <w:highlight w:val="none"/>
                <w:u w:val="single"/>
                <w:lang w:eastAsia="zh-CN"/>
              </w:rPr>
              <w:t>赵村镇西</w:t>
            </w:r>
            <w:r>
              <w:rPr>
                <w:rFonts w:hint="eastAsia" w:ascii="Times New Roman" w:hAnsi="Times New Roman"/>
                <w:b/>
                <w:bCs w:val="0"/>
                <w:color w:val="auto"/>
                <w:sz w:val="24"/>
                <w:highlight w:val="none"/>
                <w:u w:val="single"/>
                <w:lang w:eastAsia="zh-CN"/>
              </w:rPr>
              <w:t>北</w:t>
            </w:r>
            <w:r>
              <w:rPr>
                <w:rFonts w:ascii="Times New Roman" w:hAnsi="Times New Roman"/>
                <w:b/>
                <w:bCs w:val="0"/>
                <w:color w:val="auto"/>
                <w:sz w:val="24"/>
                <w:highlight w:val="none"/>
                <w:u w:val="single"/>
              </w:rPr>
              <w:t>侧</w:t>
            </w:r>
            <w:r>
              <w:rPr>
                <w:rFonts w:hint="eastAsia"/>
                <w:b/>
                <w:bCs w:val="0"/>
                <w:color w:val="auto"/>
                <w:sz w:val="24"/>
                <w:highlight w:val="none"/>
                <w:u w:val="single"/>
                <w:lang w:val="en-US" w:eastAsia="zh-CN"/>
              </w:rPr>
              <w:t>330米</w:t>
            </w:r>
            <w:r>
              <w:rPr>
                <w:rFonts w:hint="eastAsia" w:ascii="Times New Roman" w:hAnsi="Times New Roman"/>
                <w:b/>
                <w:bCs w:val="0"/>
                <w:color w:val="auto"/>
                <w:sz w:val="24"/>
                <w:highlight w:val="none"/>
                <w:u w:val="single"/>
                <w:lang w:eastAsia="zh-CN"/>
              </w:rPr>
              <w:t>；</w:t>
            </w:r>
            <w:r>
              <w:rPr>
                <w:rFonts w:hint="eastAsia" w:ascii="Times New Roman" w:hAnsi="Times New Roman"/>
                <w:b/>
                <w:bCs w:val="0"/>
                <w:color w:val="auto"/>
                <w:sz w:val="24"/>
                <w:highlight w:val="none"/>
                <w:u w:val="single"/>
                <w:lang w:val="en-US" w:eastAsia="zh-CN"/>
              </w:rPr>
              <w:t>位于本项目下游</w:t>
            </w:r>
            <w:r>
              <w:rPr>
                <w:rFonts w:ascii="Times New Roman" w:hAnsi="Times New Roman"/>
                <w:b/>
                <w:bCs w:val="0"/>
                <w:color w:val="auto"/>
                <w:sz w:val="24"/>
                <w:highlight w:val="none"/>
                <w:u w:val="single"/>
              </w:rPr>
              <w:t>。</w:t>
            </w:r>
            <w:r>
              <w:rPr>
                <w:rFonts w:ascii="Times New Roman" w:hAnsi="Times New Roman"/>
                <w:b/>
                <w:bCs w:val="0"/>
                <w:color w:val="auto"/>
                <w:sz w:val="24"/>
                <w:u w:val="single"/>
              </w:rPr>
              <w:t>为防止储油罐发生泄漏对附近水体造成影响，本项目储油罐采用储油罐双层罐，同时罐体中间夹空层配有时刻监测泄漏的自动监测仪，当内层储油罐发生泄漏时，自动监测仪及时报警</w:t>
            </w:r>
            <w:r>
              <w:rPr>
                <w:rFonts w:ascii="Times New Roman" w:hAnsi="Times New Roman"/>
                <w:b/>
                <w:bCs w:val="0"/>
                <w:color w:val="auto"/>
                <w:sz w:val="24"/>
                <w:szCs w:val="24"/>
                <w:u w:val="single"/>
              </w:rPr>
              <w:t>，加油站一旦发生溢出与渗漏事故，将会被及时发现，且油品将由于双层罐防渗层的保护作用，积聚在双层油罐内，对地下水不会造成影响。</w:t>
            </w:r>
            <w:r>
              <w:rPr>
                <w:rFonts w:ascii="Times New Roman" w:hAnsi="Times New Roman"/>
                <w:b/>
                <w:bCs w:val="0"/>
                <w:color w:val="auto"/>
                <w:sz w:val="24"/>
                <w:u w:val="single"/>
              </w:rPr>
              <w:t>本项目通过采用双层罐、自动监测仪防渗漏措施，造成污染地下水的几率较小。项目采取防渗措施可行。由于油液实际理化性质比较粘稠不易下渗，同时本地区包气带主要为粘土，根据《河南省鲁山县集中式饮用水水源保护区划分技术报告（报批版）》可知，鲁山县地质结构较为简单，地表均有10m以上的粘土层，具有较好的防渗性能，石油类污染物对地下水影响不大。</w:t>
            </w:r>
          </w:p>
          <w:p>
            <w:pPr>
              <w:adjustRightInd w:val="0"/>
              <w:snapToGrid w:val="0"/>
              <w:spacing w:line="360" w:lineRule="auto"/>
            </w:pPr>
            <w:r>
              <w:rPr>
                <w:rFonts w:hint="eastAsia"/>
                <w:b/>
                <w:bCs/>
                <w:lang w:eastAsia="zh-CN"/>
              </w:rPr>
              <w:t>（</w:t>
            </w:r>
            <w:r>
              <w:rPr>
                <w:rFonts w:hint="eastAsia"/>
                <w:b/>
                <w:bCs/>
                <w:lang w:val="en-US" w:eastAsia="zh-CN"/>
              </w:rPr>
              <w:t>8</w:t>
            </w:r>
            <w:r>
              <w:rPr>
                <w:rFonts w:hint="eastAsia"/>
                <w:b/>
                <w:bCs/>
                <w:lang w:eastAsia="zh-CN"/>
              </w:rPr>
              <w:t>）</w:t>
            </w:r>
            <w:r>
              <w:rPr>
                <w:b/>
                <w:bCs/>
              </w:rPr>
              <w:t>地下水污染防治措施</w:t>
            </w:r>
          </w:p>
          <w:p>
            <w:pPr>
              <w:adjustRightInd w:val="0"/>
              <w:snapToGrid w:val="0"/>
              <w:spacing w:line="360" w:lineRule="auto"/>
              <w:ind w:firstLine="480" w:firstLineChars="200"/>
            </w:pPr>
            <w:r>
              <w:t>本项目污染物从污染源进入地下水所经过路径称为地下水污染途径，地下水污染途径是多种多样的。本项目运营期环境影响因素主要涉及成品油的储存，设备老化破损，油品泄漏引起污染物下渗，存在污染地下水的隐患。</w:t>
            </w:r>
          </w:p>
          <w:p>
            <w:pPr>
              <w:adjustRightInd w:val="0"/>
              <w:snapToGrid w:val="0"/>
              <w:spacing w:line="360" w:lineRule="auto"/>
              <w:ind w:firstLine="480" w:firstLineChars="200"/>
            </w:pPr>
            <w:r>
              <w:t>根据《加油站地下水污染防治技术指南（试行）》，为防止加油站油品泄漏，污染土壤和地下水，加油站需要采取防渗漏和防渗漏检测措施。所有加油站的油罐需要设置为双层罐或者设置防渗池。</w:t>
            </w:r>
          </w:p>
          <w:p>
            <w:pPr>
              <w:adjustRightInd w:val="0"/>
              <w:snapToGrid w:val="0"/>
              <w:spacing w:line="360" w:lineRule="auto"/>
              <w:ind w:firstLine="480" w:firstLineChars="200"/>
            </w:pPr>
            <w:r>
              <w:t>（1）双层罐设置</w:t>
            </w:r>
          </w:p>
          <w:p>
            <w:pPr>
              <w:adjustRightInd w:val="0"/>
              <w:snapToGrid w:val="0"/>
              <w:spacing w:line="360" w:lineRule="auto"/>
              <w:ind w:firstLine="480" w:firstLineChars="200"/>
            </w:pPr>
            <w:r>
              <w:t>埋地油罐可采用双层钢制油罐、双层玻璃纤维增强塑料油罐、内钢外玻璃纤维增强塑料双层油罐。双层钢制油罐和内钢外玻璃纤维增强塑料双层油罐的内层罐的罐体结构设计，按现行行业标准《钢制常压储罐 第一部分：储存对水有污染的易燃和不易燃液体的埋地卧式圆筒形单层和双层储罐》（AQ 3020）的有关规定执行，并应符合《汽车加油加气站设计与施工规范》（GB 50156）的其他规定。与土壤接触的钢制油罐外表面，其防腐设计应符合现行行业标准《石油化工设备和管道涂料防腐蚀技术规范》（SH 3022）的有关规定，且防腐等级不应低于加强级。</w:t>
            </w:r>
          </w:p>
          <w:p>
            <w:pPr>
              <w:adjustRightInd w:val="0"/>
              <w:snapToGrid w:val="0"/>
              <w:spacing w:line="360" w:lineRule="auto"/>
              <w:ind w:firstLine="480" w:firstLineChars="200"/>
            </w:pPr>
            <w:r>
              <w:t>（2）防渗池设置</w:t>
            </w:r>
          </w:p>
          <w:p>
            <w:pPr>
              <w:adjustRightInd w:val="0"/>
              <w:snapToGrid w:val="0"/>
              <w:spacing w:line="360" w:lineRule="auto"/>
              <w:ind w:firstLine="480" w:firstLineChars="200"/>
            </w:pPr>
            <w:r>
              <w:t>防渗池的设计应符合下列规定：</w:t>
            </w:r>
          </w:p>
          <w:p>
            <w:pPr>
              <w:adjustRightInd w:val="0"/>
              <w:snapToGrid w:val="0"/>
              <w:spacing w:line="360" w:lineRule="auto"/>
              <w:ind w:firstLine="480" w:firstLineChars="200"/>
            </w:pPr>
            <w:r>
              <w:rPr>
                <w:rFonts w:hint="eastAsia"/>
              </w:rPr>
              <w:t>①</w:t>
            </w:r>
            <w:r>
              <w:t>防渗池应采用防渗钢筋混凝土整体浇筑，并应符合现行国家标准《地下工程防水技术规范》（GB 50108）的有关规定。</w:t>
            </w:r>
          </w:p>
          <w:p>
            <w:pPr>
              <w:adjustRightInd w:val="0"/>
              <w:snapToGrid w:val="0"/>
              <w:spacing w:line="360" w:lineRule="auto"/>
              <w:ind w:firstLine="480" w:firstLineChars="200"/>
            </w:pPr>
            <w:r>
              <w:rPr>
                <w:rFonts w:hint="eastAsia"/>
              </w:rPr>
              <w:t>②</w:t>
            </w:r>
            <w:r>
              <w:t>防渗池应设置隔池。一个隔池内的油罐不应多于两座。</w:t>
            </w:r>
          </w:p>
          <w:p>
            <w:pPr>
              <w:adjustRightInd w:val="0"/>
              <w:snapToGrid w:val="0"/>
              <w:spacing w:line="360" w:lineRule="auto"/>
              <w:ind w:firstLine="480" w:firstLineChars="200"/>
            </w:pPr>
            <w:r>
              <w:rPr>
                <w:rFonts w:hint="eastAsia"/>
              </w:rPr>
              <w:t>③</w:t>
            </w:r>
            <w:r>
              <w:t>防渗池的池壁顶应高于池内罐顶标高，池底宜低于罐底设计标高200mm，墙面与罐壁之间的间距不应小于500mm。</w:t>
            </w:r>
          </w:p>
          <w:p>
            <w:pPr>
              <w:adjustRightInd w:val="0"/>
              <w:snapToGrid w:val="0"/>
              <w:spacing w:line="360" w:lineRule="auto"/>
              <w:ind w:firstLine="480" w:firstLineChars="200"/>
            </w:pPr>
            <w:r>
              <w:rPr>
                <w:rFonts w:hint="eastAsia"/>
              </w:rPr>
              <w:t>④</w:t>
            </w:r>
            <w:r>
              <w:t>防渗池的内表面应衬玻璃钢或其他材料防渗层。</w:t>
            </w:r>
          </w:p>
          <w:p>
            <w:pPr>
              <w:adjustRightInd w:val="0"/>
              <w:snapToGrid w:val="0"/>
              <w:spacing w:line="360" w:lineRule="auto"/>
              <w:ind w:firstLine="480" w:firstLineChars="200"/>
            </w:pPr>
            <w:r>
              <w:rPr>
                <w:rFonts w:hint="eastAsia"/>
              </w:rPr>
              <w:t>⑤</w:t>
            </w:r>
            <w:r>
              <w:t>防渗池内的空间，应采用中性沙回填。</w:t>
            </w:r>
          </w:p>
          <w:p>
            <w:pPr>
              <w:adjustRightInd w:val="0"/>
              <w:snapToGrid w:val="0"/>
              <w:spacing w:line="360" w:lineRule="auto"/>
              <w:ind w:firstLine="480" w:firstLineChars="200"/>
            </w:pPr>
            <w:r>
              <w:rPr>
                <w:rFonts w:hint="eastAsia"/>
              </w:rPr>
              <w:t>⑥</w:t>
            </w:r>
            <w:r>
              <w:t>防渗池的上部，应采取防止雨水、地表水和外部泄漏油品渗入池内的措施。</w:t>
            </w:r>
          </w:p>
          <w:p>
            <w:pPr>
              <w:adjustRightInd w:val="0"/>
              <w:snapToGrid w:val="0"/>
              <w:spacing w:line="360" w:lineRule="auto"/>
              <w:ind w:firstLine="480" w:firstLineChars="200"/>
            </w:pPr>
            <w:r>
              <w:rPr>
                <w:rFonts w:hint="eastAsia"/>
              </w:rPr>
              <w:t>⑦</w:t>
            </w:r>
            <w:r>
              <w:t>防渗池的各隔池内应设检测立管，检测立管的设置应符合下列规定：</w:t>
            </w:r>
          </w:p>
          <w:p>
            <w:pPr>
              <w:adjustRightInd w:val="0"/>
              <w:snapToGrid w:val="0"/>
              <w:spacing w:line="360" w:lineRule="auto"/>
              <w:ind w:firstLine="480" w:firstLineChars="200"/>
            </w:pPr>
            <w:r>
              <w:t>1）检测立管应采用耐油、耐腐蚀的管材制作，直径宜为100mm，壁厚不应小于4mm。</w:t>
            </w:r>
          </w:p>
          <w:p>
            <w:pPr>
              <w:adjustRightInd w:val="0"/>
              <w:snapToGrid w:val="0"/>
              <w:spacing w:line="360" w:lineRule="auto"/>
              <w:ind w:firstLine="480" w:firstLineChars="200"/>
            </w:pPr>
            <w:r>
              <w:t>2）检测立管的下端应置于防渗池的最低处，上部管口应高出罐区设计地面200mm。</w:t>
            </w:r>
          </w:p>
          <w:p>
            <w:pPr>
              <w:adjustRightInd w:val="0"/>
              <w:snapToGrid w:val="0"/>
              <w:spacing w:line="360" w:lineRule="auto"/>
              <w:ind w:firstLine="480" w:firstLineChars="200"/>
            </w:pPr>
            <w:r>
              <w:t>3）检测立管与池内罐顶标高以下范围应为过滤管段。过滤管段应能允许池内任何层面的渗漏液体（油或水）进入检测管，并应能阻止泥沙侵入。</w:t>
            </w:r>
          </w:p>
          <w:p>
            <w:pPr>
              <w:adjustRightInd w:val="0"/>
              <w:snapToGrid w:val="0"/>
              <w:spacing w:line="360" w:lineRule="auto"/>
              <w:ind w:firstLine="480" w:firstLineChars="200"/>
            </w:pPr>
            <w:r>
              <w:t>4）检测立管周围应回填粒径为10～30mm 的砾石。</w:t>
            </w:r>
          </w:p>
          <w:p>
            <w:pPr>
              <w:adjustRightInd w:val="0"/>
              <w:snapToGrid w:val="0"/>
              <w:spacing w:line="360" w:lineRule="auto"/>
              <w:ind w:firstLine="480" w:firstLineChars="200"/>
            </w:pPr>
            <w:r>
              <w:t>5）检测口应有防止雨水、油污、杂物侵入的保护盖和标识。</w:t>
            </w:r>
          </w:p>
          <w:p>
            <w:pPr>
              <w:adjustRightInd w:val="0"/>
              <w:snapToGrid w:val="0"/>
              <w:spacing w:line="360" w:lineRule="auto"/>
              <w:ind w:firstLine="480" w:firstLineChars="200"/>
            </w:pPr>
            <w:r>
              <w:rPr>
                <w:rFonts w:hint="eastAsia"/>
              </w:rPr>
              <w:t>⑧</w:t>
            </w:r>
            <w:r>
              <w:t>若项目存在装有潜油泵的油罐人孔操作井、卸油口井、加油机底槽等可能发生油品渗漏的部位，也应采取相应的防渗措施。采取防渗漏措施，埋地加油管道应采用双层管道。双层油罐、防渗池和管道系统的渗漏检测宜采用在线监测系统。采用液体传感器监测时，传感器的检测精度不应大于3.5mm。</w:t>
            </w:r>
          </w:p>
          <w:p>
            <w:pPr>
              <w:adjustRightInd w:val="0"/>
              <w:snapToGrid w:val="0"/>
              <w:spacing w:line="360" w:lineRule="auto"/>
              <w:ind w:firstLine="480" w:firstLineChars="200"/>
            </w:pPr>
            <w:r>
              <w:rPr>
                <w:rFonts w:hint="eastAsia"/>
              </w:rPr>
              <w:t>（3）</w:t>
            </w:r>
            <w:r>
              <w:t>分区防渗</w:t>
            </w:r>
          </w:p>
          <w:p>
            <w:pPr>
              <w:adjustRightInd w:val="0"/>
              <w:snapToGrid w:val="0"/>
              <w:spacing w:line="360" w:lineRule="auto"/>
              <w:ind w:firstLine="480" w:firstLineChars="200"/>
            </w:pPr>
            <w:r>
              <w:t>参照（HJ610-2016）中地下水污染防渗分区参照表见表3</w:t>
            </w:r>
            <w:r>
              <w:rPr>
                <w:rFonts w:hint="eastAsia"/>
                <w:lang w:val="en-US" w:eastAsia="zh-CN"/>
              </w:rPr>
              <w:t>4</w:t>
            </w:r>
            <w:r>
              <w:t>，企业将场区划分为重点防渗区、一般防渗区和简单防渗区，本项目污染地下水途径及防治措施一览表见表3</w:t>
            </w:r>
            <w:r>
              <w:rPr>
                <w:rFonts w:hint="eastAsia"/>
                <w:lang w:val="en-US" w:eastAsia="zh-CN"/>
              </w:rPr>
              <w:t>5</w:t>
            </w:r>
            <w:r>
              <w:t>，项目分区防渗示意图见附图四。</w:t>
            </w:r>
          </w:p>
          <w:p>
            <w:pPr>
              <w:bidi w:val="0"/>
              <w:jc w:val="center"/>
              <w:rPr>
                <w:rFonts w:hint="eastAsia" w:eastAsia="黑体"/>
                <w:lang w:eastAsia="zh-CN"/>
              </w:rPr>
            </w:pPr>
            <w:r>
              <w:rPr>
                <w:b/>
                <w:bCs/>
              </w:rPr>
              <w:t xml:space="preserve">表 </w:t>
            </w:r>
            <w:r>
              <w:rPr>
                <w:rFonts w:hint="eastAsia"/>
                <w:b/>
                <w:bCs/>
                <w:lang w:val="en-US" w:eastAsia="zh-CN"/>
              </w:rPr>
              <w:t>34</w:t>
            </w:r>
            <w:r>
              <w:rPr>
                <w:b/>
                <w:bCs/>
              </w:rPr>
              <w:t xml:space="preserve">   污染地下水途径及防治措施</w:t>
            </w:r>
            <w:r>
              <w:rPr>
                <w:rFonts w:hint="eastAsia"/>
                <w:b/>
                <w:bCs/>
                <w:lang w:eastAsia="zh-CN"/>
              </w:rPr>
              <w:t>参照表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59"/>
              <w:gridCol w:w="1966"/>
              <w:gridCol w:w="1320"/>
              <w:gridCol w:w="1522"/>
              <w:gridCol w:w="222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1344" w:type="dxa"/>
                  <w:noWrap w:val="0"/>
                  <w:vAlign w:val="center"/>
                </w:tcPr>
                <w:p>
                  <w:pPr>
                    <w:pStyle w:val="11"/>
                    <w:bidi w:val="0"/>
                    <w:jc w:val="center"/>
                    <w:rPr>
                      <w:lang w:val="en-US" w:eastAsia="zh-CN"/>
                    </w:rPr>
                  </w:pPr>
                  <w:r>
                    <w:rPr>
                      <w:lang w:val="en-US" w:eastAsia="zh-CN"/>
                    </w:rPr>
                    <w:t>防渗分区</w:t>
                  </w:r>
                </w:p>
              </w:tc>
              <w:tc>
                <w:tcPr>
                  <w:tcW w:w="2123" w:type="dxa"/>
                  <w:noWrap w:val="0"/>
                  <w:vAlign w:val="center"/>
                </w:tcPr>
                <w:p>
                  <w:pPr>
                    <w:pStyle w:val="11"/>
                    <w:bidi w:val="0"/>
                    <w:jc w:val="center"/>
                    <w:rPr>
                      <w:lang w:val="en-US" w:eastAsia="zh-CN"/>
                    </w:rPr>
                  </w:pPr>
                  <w:r>
                    <w:rPr>
                      <w:lang w:val="en-US" w:eastAsia="zh-CN"/>
                    </w:rPr>
                    <w:t>天然包气带防污性能</w:t>
                  </w:r>
                </w:p>
              </w:tc>
              <w:tc>
                <w:tcPr>
                  <w:tcW w:w="1411" w:type="dxa"/>
                  <w:noWrap w:val="0"/>
                  <w:vAlign w:val="center"/>
                </w:tcPr>
                <w:p>
                  <w:pPr>
                    <w:pStyle w:val="11"/>
                    <w:bidi w:val="0"/>
                    <w:jc w:val="center"/>
                    <w:rPr>
                      <w:lang w:val="en-US" w:eastAsia="zh-CN"/>
                    </w:rPr>
                  </w:pPr>
                  <w:r>
                    <w:rPr>
                      <w:lang w:val="en-US" w:eastAsia="zh-CN"/>
                    </w:rPr>
                    <w:t>污染控制</w:t>
                  </w:r>
                </w:p>
                <w:p>
                  <w:pPr>
                    <w:pStyle w:val="11"/>
                    <w:bidi w:val="0"/>
                    <w:jc w:val="center"/>
                    <w:rPr>
                      <w:lang w:val="en-US" w:eastAsia="zh-CN"/>
                    </w:rPr>
                  </w:pPr>
                  <w:r>
                    <w:rPr>
                      <w:lang w:val="en-US" w:eastAsia="zh-CN"/>
                    </w:rPr>
                    <w:t>难易程度</w:t>
                  </w:r>
                </w:p>
              </w:tc>
              <w:tc>
                <w:tcPr>
                  <w:tcW w:w="1612" w:type="dxa"/>
                  <w:noWrap w:val="0"/>
                  <w:vAlign w:val="center"/>
                </w:tcPr>
                <w:p>
                  <w:pPr>
                    <w:pStyle w:val="11"/>
                    <w:bidi w:val="0"/>
                    <w:jc w:val="center"/>
                    <w:rPr>
                      <w:lang w:val="en-US" w:eastAsia="zh-CN"/>
                    </w:rPr>
                  </w:pPr>
                  <w:r>
                    <w:rPr>
                      <w:lang w:val="en-US" w:eastAsia="zh-CN"/>
                    </w:rPr>
                    <w:t>污染物类型</w:t>
                  </w:r>
                </w:p>
              </w:tc>
              <w:tc>
                <w:tcPr>
                  <w:tcW w:w="2282" w:type="dxa"/>
                  <w:noWrap w:val="0"/>
                  <w:vAlign w:val="center"/>
                </w:tcPr>
                <w:p>
                  <w:pPr>
                    <w:pStyle w:val="11"/>
                    <w:bidi w:val="0"/>
                    <w:jc w:val="center"/>
                    <w:rPr>
                      <w:lang w:val="en-US" w:eastAsia="zh-CN"/>
                    </w:rPr>
                  </w:pPr>
                  <w:r>
                    <w:rPr>
                      <w:lang w:val="en-US" w:eastAsia="zh-CN"/>
                    </w:rPr>
                    <w:t>防渗技术要求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restart"/>
                  <w:noWrap w:val="0"/>
                  <w:vAlign w:val="center"/>
                </w:tcPr>
                <w:p>
                  <w:pPr>
                    <w:pStyle w:val="11"/>
                    <w:bidi w:val="0"/>
                    <w:jc w:val="center"/>
                    <w:rPr>
                      <w:lang w:val="en-US" w:eastAsia="zh-CN"/>
                    </w:rPr>
                  </w:pPr>
                  <w:r>
                    <w:rPr>
                      <w:lang w:val="en-US" w:eastAsia="zh-CN"/>
                    </w:rPr>
                    <w:t>重点防渗区</w:t>
                  </w:r>
                </w:p>
              </w:tc>
              <w:tc>
                <w:tcPr>
                  <w:tcW w:w="2123" w:type="dxa"/>
                  <w:noWrap w:val="0"/>
                  <w:vAlign w:val="center"/>
                </w:tcPr>
                <w:p>
                  <w:pPr>
                    <w:pStyle w:val="11"/>
                    <w:bidi w:val="0"/>
                    <w:jc w:val="center"/>
                    <w:rPr>
                      <w:lang w:val="en-US" w:eastAsia="zh-CN"/>
                    </w:rPr>
                  </w:pPr>
                  <w:r>
                    <w:rPr>
                      <w:lang w:val="en-US" w:eastAsia="zh-CN"/>
                    </w:rPr>
                    <w:t>弱</w:t>
                  </w:r>
                </w:p>
              </w:tc>
              <w:tc>
                <w:tcPr>
                  <w:tcW w:w="1411" w:type="dxa"/>
                  <w:noWrap w:val="0"/>
                  <w:vAlign w:val="center"/>
                </w:tcPr>
                <w:p>
                  <w:pPr>
                    <w:pStyle w:val="11"/>
                    <w:bidi w:val="0"/>
                    <w:jc w:val="center"/>
                    <w:rPr>
                      <w:lang w:val="en-US" w:eastAsia="zh-CN"/>
                    </w:rPr>
                  </w:pPr>
                  <w:r>
                    <w:rPr>
                      <w:lang w:val="en-US" w:eastAsia="zh-CN"/>
                    </w:rPr>
                    <w:t>难</w:t>
                  </w:r>
                </w:p>
              </w:tc>
              <w:tc>
                <w:tcPr>
                  <w:tcW w:w="1612" w:type="dxa"/>
                  <w:vMerge w:val="restart"/>
                  <w:noWrap w:val="0"/>
                  <w:vAlign w:val="center"/>
                </w:tcPr>
                <w:p>
                  <w:pPr>
                    <w:pStyle w:val="11"/>
                    <w:bidi w:val="0"/>
                    <w:jc w:val="center"/>
                    <w:rPr>
                      <w:lang w:val="en-US" w:eastAsia="zh-CN"/>
                    </w:rPr>
                  </w:pPr>
                  <w:r>
                    <w:rPr>
                      <w:lang w:val="en-US" w:eastAsia="zh-CN"/>
                    </w:rPr>
                    <w:t>重金属、持久性有机物污染物</w:t>
                  </w:r>
                </w:p>
              </w:tc>
              <w:tc>
                <w:tcPr>
                  <w:tcW w:w="2282" w:type="dxa"/>
                  <w:vMerge w:val="restart"/>
                  <w:noWrap w:val="0"/>
                  <w:vAlign w:val="center"/>
                </w:tcPr>
                <w:p>
                  <w:pPr>
                    <w:pStyle w:val="11"/>
                    <w:bidi w:val="0"/>
                    <w:jc w:val="center"/>
                    <w:rPr>
                      <w:lang w:val="en-US" w:eastAsia="zh-CN"/>
                    </w:rPr>
                  </w:pPr>
                  <w:r>
                    <w:rPr>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continue"/>
                  <w:noWrap w:val="0"/>
                  <w:vAlign w:val="center"/>
                </w:tcPr>
                <w:p>
                  <w:pPr>
                    <w:pStyle w:val="11"/>
                    <w:bidi w:val="0"/>
                    <w:jc w:val="center"/>
                    <w:rPr>
                      <w:lang w:val="en-US" w:eastAsia="zh-CN"/>
                    </w:rPr>
                  </w:pPr>
                </w:p>
              </w:tc>
              <w:tc>
                <w:tcPr>
                  <w:tcW w:w="2123" w:type="dxa"/>
                  <w:noWrap w:val="0"/>
                  <w:vAlign w:val="center"/>
                </w:tcPr>
                <w:p>
                  <w:pPr>
                    <w:pStyle w:val="11"/>
                    <w:bidi w:val="0"/>
                    <w:jc w:val="center"/>
                    <w:rPr>
                      <w:lang w:val="en-US" w:eastAsia="zh-CN"/>
                    </w:rPr>
                  </w:pPr>
                  <w:r>
                    <w:rPr>
                      <w:lang w:val="en-US" w:eastAsia="zh-CN"/>
                    </w:rPr>
                    <w:t>中-强</w:t>
                  </w:r>
                </w:p>
              </w:tc>
              <w:tc>
                <w:tcPr>
                  <w:tcW w:w="1411" w:type="dxa"/>
                  <w:noWrap w:val="0"/>
                  <w:vAlign w:val="center"/>
                </w:tcPr>
                <w:p>
                  <w:pPr>
                    <w:pStyle w:val="11"/>
                    <w:bidi w:val="0"/>
                    <w:jc w:val="center"/>
                    <w:rPr>
                      <w:lang w:val="en-US" w:eastAsia="zh-CN"/>
                    </w:rPr>
                  </w:pPr>
                  <w:r>
                    <w:rPr>
                      <w:lang w:val="en-US" w:eastAsia="zh-CN"/>
                    </w:rPr>
                    <w:t>难</w:t>
                  </w:r>
                </w:p>
              </w:tc>
              <w:tc>
                <w:tcPr>
                  <w:tcW w:w="1612" w:type="dxa"/>
                  <w:vMerge w:val="continue"/>
                  <w:noWrap w:val="0"/>
                  <w:vAlign w:val="center"/>
                </w:tcPr>
                <w:p>
                  <w:pPr>
                    <w:pStyle w:val="11"/>
                    <w:bidi w:val="0"/>
                    <w:jc w:val="center"/>
                    <w:rPr>
                      <w:lang w:val="en-US" w:eastAsia="zh-CN"/>
                    </w:rPr>
                  </w:pPr>
                </w:p>
              </w:tc>
              <w:tc>
                <w:tcPr>
                  <w:tcW w:w="2282" w:type="dxa"/>
                  <w:vMerge w:val="continue"/>
                  <w:noWrap w:val="0"/>
                  <w:vAlign w:val="center"/>
                </w:tcPr>
                <w:p>
                  <w:pPr>
                    <w:pStyle w:val="11"/>
                    <w:bidi w:val="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continue"/>
                  <w:noWrap w:val="0"/>
                  <w:vAlign w:val="center"/>
                </w:tcPr>
                <w:p>
                  <w:pPr>
                    <w:pStyle w:val="11"/>
                    <w:bidi w:val="0"/>
                    <w:jc w:val="center"/>
                    <w:rPr>
                      <w:lang w:val="en-US" w:eastAsia="zh-CN"/>
                    </w:rPr>
                  </w:pPr>
                </w:p>
              </w:tc>
              <w:tc>
                <w:tcPr>
                  <w:tcW w:w="2123" w:type="dxa"/>
                  <w:noWrap w:val="0"/>
                  <w:vAlign w:val="center"/>
                </w:tcPr>
                <w:p>
                  <w:pPr>
                    <w:pStyle w:val="11"/>
                    <w:bidi w:val="0"/>
                    <w:jc w:val="center"/>
                    <w:rPr>
                      <w:lang w:val="en-US" w:eastAsia="zh-CN"/>
                    </w:rPr>
                  </w:pPr>
                  <w:r>
                    <w:rPr>
                      <w:lang w:val="en-US" w:eastAsia="zh-CN"/>
                    </w:rPr>
                    <w:t>强</w:t>
                  </w:r>
                </w:p>
              </w:tc>
              <w:tc>
                <w:tcPr>
                  <w:tcW w:w="1411" w:type="dxa"/>
                  <w:noWrap w:val="0"/>
                  <w:vAlign w:val="center"/>
                </w:tcPr>
                <w:p>
                  <w:pPr>
                    <w:pStyle w:val="11"/>
                    <w:bidi w:val="0"/>
                    <w:jc w:val="center"/>
                    <w:rPr>
                      <w:lang w:val="en-US" w:eastAsia="zh-CN"/>
                    </w:rPr>
                  </w:pPr>
                  <w:r>
                    <w:rPr>
                      <w:lang w:val="en-US" w:eastAsia="zh-CN"/>
                    </w:rPr>
                    <w:t>易</w:t>
                  </w:r>
                </w:p>
              </w:tc>
              <w:tc>
                <w:tcPr>
                  <w:tcW w:w="1612" w:type="dxa"/>
                  <w:vMerge w:val="continue"/>
                  <w:noWrap w:val="0"/>
                  <w:vAlign w:val="center"/>
                </w:tcPr>
                <w:p>
                  <w:pPr>
                    <w:pStyle w:val="11"/>
                    <w:bidi w:val="0"/>
                    <w:jc w:val="center"/>
                    <w:rPr>
                      <w:lang w:val="en-US" w:eastAsia="zh-CN"/>
                    </w:rPr>
                  </w:pPr>
                </w:p>
              </w:tc>
              <w:tc>
                <w:tcPr>
                  <w:tcW w:w="2282" w:type="dxa"/>
                  <w:vMerge w:val="continue"/>
                  <w:noWrap w:val="0"/>
                  <w:vAlign w:val="center"/>
                </w:tcPr>
                <w:p>
                  <w:pPr>
                    <w:pStyle w:val="11"/>
                    <w:bidi w:val="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restart"/>
                  <w:noWrap w:val="0"/>
                  <w:vAlign w:val="center"/>
                </w:tcPr>
                <w:p>
                  <w:pPr>
                    <w:pStyle w:val="11"/>
                    <w:bidi w:val="0"/>
                    <w:jc w:val="center"/>
                    <w:rPr>
                      <w:lang w:val="en-US" w:eastAsia="zh-CN"/>
                    </w:rPr>
                  </w:pPr>
                  <w:r>
                    <w:rPr>
                      <w:lang w:val="en-US" w:eastAsia="zh-CN"/>
                    </w:rPr>
                    <w:t>一般防渗区</w:t>
                  </w:r>
                </w:p>
              </w:tc>
              <w:tc>
                <w:tcPr>
                  <w:tcW w:w="2123" w:type="dxa"/>
                  <w:noWrap w:val="0"/>
                  <w:vAlign w:val="center"/>
                </w:tcPr>
                <w:p>
                  <w:pPr>
                    <w:pStyle w:val="11"/>
                    <w:bidi w:val="0"/>
                    <w:jc w:val="center"/>
                    <w:rPr>
                      <w:lang w:val="en-US" w:eastAsia="zh-CN"/>
                    </w:rPr>
                  </w:pPr>
                  <w:r>
                    <w:rPr>
                      <w:lang w:val="en-US" w:eastAsia="zh-CN"/>
                    </w:rPr>
                    <w:t>弱</w:t>
                  </w:r>
                </w:p>
              </w:tc>
              <w:tc>
                <w:tcPr>
                  <w:tcW w:w="1411" w:type="dxa"/>
                  <w:noWrap w:val="0"/>
                  <w:vAlign w:val="center"/>
                </w:tcPr>
                <w:p>
                  <w:pPr>
                    <w:pStyle w:val="11"/>
                    <w:bidi w:val="0"/>
                    <w:jc w:val="center"/>
                    <w:rPr>
                      <w:lang w:val="en-US" w:eastAsia="zh-CN"/>
                    </w:rPr>
                  </w:pPr>
                  <w:r>
                    <w:rPr>
                      <w:lang w:val="en-US" w:eastAsia="zh-CN"/>
                    </w:rPr>
                    <w:t>易</w:t>
                  </w:r>
                </w:p>
              </w:tc>
              <w:tc>
                <w:tcPr>
                  <w:tcW w:w="1612" w:type="dxa"/>
                  <w:vMerge w:val="restart"/>
                  <w:noWrap w:val="0"/>
                  <w:vAlign w:val="center"/>
                </w:tcPr>
                <w:p>
                  <w:pPr>
                    <w:pStyle w:val="11"/>
                    <w:bidi w:val="0"/>
                    <w:jc w:val="center"/>
                    <w:rPr>
                      <w:lang w:val="en-US" w:eastAsia="zh-CN"/>
                    </w:rPr>
                  </w:pPr>
                  <w:r>
                    <w:rPr>
                      <w:lang w:val="en-US" w:eastAsia="zh-CN"/>
                    </w:rPr>
                    <w:t>其他类型</w:t>
                  </w:r>
                </w:p>
              </w:tc>
              <w:tc>
                <w:tcPr>
                  <w:tcW w:w="2282" w:type="dxa"/>
                  <w:vMerge w:val="restart"/>
                  <w:noWrap w:val="0"/>
                  <w:vAlign w:val="center"/>
                </w:tcPr>
                <w:p>
                  <w:pPr>
                    <w:pStyle w:val="11"/>
                    <w:bidi w:val="0"/>
                    <w:jc w:val="center"/>
                    <w:rPr>
                      <w:lang w:val="en-US" w:eastAsia="zh-CN"/>
                    </w:rPr>
                  </w:pPr>
                  <w:r>
                    <w:rPr>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continue"/>
                  <w:noWrap w:val="0"/>
                  <w:vAlign w:val="center"/>
                </w:tcPr>
                <w:p>
                  <w:pPr>
                    <w:pStyle w:val="11"/>
                    <w:bidi w:val="0"/>
                    <w:jc w:val="center"/>
                    <w:rPr>
                      <w:lang w:val="en-US" w:eastAsia="zh-CN"/>
                    </w:rPr>
                  </w:pPr>
                </w:p>
              </w:tc>
              <w:tc>
                <w:tcPr>
                  <w:tcW w:w="2123" w:type="dxa"/>
                  <w:noWrap w:val="0"/>
                  <w:vAlign w:val="center"/>
                </w:tcPr>
                <w:p>
                  <w:pPr>
                    <w:pStyle w:val="11"/>
                    <w:bidi w:val="0"/>
                    <w:jc w:val="center"/>
                    <w:rPr>
                      <w:lang w:val="en-US" w:eastAsia="zh-CN"/>
                    </w:rPr>
                  </w:pPr>
                  <w:r>
                    <w:rPr>
                      <w:lang w:val="en-US" w:eastAsia="zh-CN"/>
                    </w:rPr>
                    <w:t>中-强</w:t>
                  </w:r>
                </w:p>
              </w:tc>
              <w:tc>
                <w:tcPr>
                  <w:tcW w:w="1411" w:type="dxa"/>
                  <w:noWrap w:val="0"/>
                  <w:vAlign w:val="center"/>
                </w:tcPr>
                <w:p>
                  <w:pPr>
                    <w:pStyle w:val="11"/>
                    <w:bidi w:val="0"/>
                    <w:jc w:val="center"/>
                    <w:rPr>
                      <w:lang w:val="en-US" w:eastAsia="zh-CN"/>
                    </w:rPr>
                  </w:pPr>
                  <w:r>
                    <w:rPr>
                      <w:lang w:val="en-US" w:eastAsia="zh-CN"/>
                    </w:rPr>
                    <w:t>易-难</w:t>
                  </w:r>
                </w:p>
              </w:tc>
              <w:tc>
                <w:tcPr>
                  <w:tcW w:w="1612" w:type="dxa"/>
                  <w:vMerge w:val="continue"/>
                  <w:noWrap w:val="0"/>
                  <w:vAlign w:val="center"/>
                </w:tcPr>
                <w:p>
                  <w:pPr>
                    <w:pStyle w:val="11"/>
                    <w:bidi w:val="0"/>
                    <w:jc w:val="center"/>
                    <w:rPr>
                      <w:lang w:val="en-US" w:eastAsia="zh-CN"/>
                    </w:rPr>
                  </w:pPr>
                </w:p>
              </w:tc>
              <w:tc>
                <w:tcPr>
                  <w:tcW w:w="2282" w:type="dxa"/>
                  <w:vMerge w:val="continue"/>
                  <w:noWrap w:val="0"/>
                  <w:vAlign w:val="center"/>
                </w:tcPr>
                <w:p>
                  <w:pPr>
                    <w:pStyle w:val="11"/>
                    <w:bidi w:val="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continue"/>
                  <w:noWrap w:val="0"/>
                  <w:vAlign w:val="center"/>
                </w:tcPr>
                <w:p>
                  <w:pPr>
                    <w:pStyle w:val="11"/>
                    <w:bidi w:val="0"/>
                    <w:jc w:val="center"/>
                    <w:rPr>
                      <w:lang w:val="en-US" w:eastAsia="zh-CN"/>
                    </w:rPr>
                  </w:pPr>
                </w:p>
              </w:tc>
              <w:tc>
                <w:tcPr>
                  <w:tcW w:w="2123" w:type="dxa"/>
                  <w:noWrap w:val="0"/>
                  <w:vAlign w:val="center"/>
                </w:tcPr>
                <w:p>
                  <w:pPr>
                    <w:pStyle w:val="11"/>
                    <w:bidi w:val="0"/>
                    <w:jc w:val="center"/>
                    <w:rPr>
                      <w:lang w:val="en-US" w:eastAsia="zh-CN"/>
                    </w:rPr>
                  </w:pPr>
                  <w:r>
                    <w:rPr>
                      <w:lang w:val="en-US" w:eastAsia="zh-CN"/>
                    </w:rPr>
                    <w:t>中</w:t>
                  </w:r>
                </w:p>
              </w:tc>
              <w:tc>
                <w:tcPr>
                  <w:tcW w:w="1411" w:type="dxa"/>
                  <w:noWrap w:val="0"/>
                  <w:vAlign w:val="center"/>
                </w:tcPr>
                <w:p>
                  <w:pPr>
                    <w:pStyle w:val="11"/>
                    <w:bidi w:val="0"/>
                    <w:jc w:val="center"/>
                    <w:rPr>
                      <w:lang w:val="en-US" w:eastAsia="zh-CN"/>
                    </w:rPr>
                  </w:pPr>
                  <w:r>
                    <w:rPr>
                      <w:lang w:val="en-US" w:eastAsia="zh-CN"/>
                    </w:rPr>
                    <w:t>易</w:t>
                  </w:r>
                </w:p>
              </w:tc>
              <w:tc>
                <w:tcPr>
                  <w:tcW w:w="1612" w:type="dxa"/>
                  <w:vMerge w:val="restart"/>
                  <w:noWrap w:val="0"/>
                  <w:vAlign w:val="center"/>
                </w:tcPr>
                <w:p>
                  <w:pPr>
                    <w:pStyle w:val="11"/>
                    <w:bidi w:val="0"/>
                    <w:jc w:val="center"/>
                    <w:rPr>
                      <w:lang w:val="en-US" w:eastAsia="zh-CN"/>
                    </w:rPr>
                  </w:pPr>
                  <w:r>
                    <w:rPr>
                      <w:lang w:val="en-US" w:eastAsia="zh-CN"/>
                    </w:rPr>
                    <w:t>重金属、持久性有机物污染物</w:t>
                  </w:r>
                </w:p>
              </w:tc>
              <w:tc>
                <w:tcPr>
                  <w:tcW w:w="2282" w:type="dxa"/>
                  <w:vMerge w:val="continue"/>
                  <w:noWrap w:val="0"/>
                  <w:vAlign w:val="center"/>
                </w:tcPr>
                <w:p>
                  <w:pPr>
                    <w:pStyle w:val="11"/>
                    <w:bidi w:val="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vMerge w:val="continue"/>
                  <w:noWrap w:val="0"/>
                  <w:vAlign w:val="center"/>
                </w:tcPr>
                <w:p>
                  <w:pPr>
                    <w:pStyle w:val="11"/>
                    <w:bidi w:val="0"/>
                    <w:jc w:val="center"/>
                    <w:rPr>
                      <w:lang w:val="en-US" w:eastAsia="zh-CN"/>
                    </w:rPr>
                  </w:pPr>
                </w:p>
              </w:tc>
              <w:tc>
                <w:tcPr>
                  <w:tcW w:w="2123" w:type="dxa"/>
                  <w:noWrap w:val="0"/>
                  <w:vAlign w:val="center"/>
                </w:tcPr>
                <w:p>
                  <w:pPr>
                    <w:pStyle w:val="11"/>
                    <w:bidi w:val="0"/>
                    <w:jc w:val="center"/>
                    <w:rPr>
                      <w:lang w:val="en-US" w:eastAsia="zh-CN"/>
                    </w:rPr>
                  </w:pPr>
                  <w:r>
                    <w:rPr>
                      <w:lang w:val="en-US" w:eastAsia="zh-CN"/>
                    </w:rPr>
                    <w:t>强</w:t>
                  </w:r>
                </w:p>
              </w:tc>
              <w:tc>
                <w:tcPr>
                  <w:tcW w:w="1411" w:type="dxa"/>
                  <w:noWrap w:val="0"/>
                  <w:vAlign w:val="center"/>
                </w:tcPr>
                <w:p>
                  <w:pPr>
                    <w:pStyle w:val="11"/>
                    <w:bidi w:val="0"/>
                    <w:jc w:val="center"/>
                    <w:rPr>
                      <w:lang w:val="en-US" w:eastAsia="zh-CN"/>
                    </w:rPr>
                  </w:pPr>
                  <w:r>
                    <w:rPr>
                      <w:lang w:val="en-US" w:eastAsia="zh-CN"/>
                    </w:rPr>
                    <w:t>易</w:t>
                  </w:r>
                </w:p>
              </w:tc>
              <w:tc>
                <w:tcPr>
                  <w:tcW w:w="1612" w:type="dxa"/>
                  <w:vMerge w:val="continue"/>
                  <w:noWrap w:val="0"/>
                  <w:vAlign w:val="center"/>
                </w:tcPr>
                <w:p>
                  <w:pPr>
                    <w:pStyle w:val="11"/>
                    <w:bidi w:val="0"/>
                    <w:jc w:val="center"/>
                    <w:rPr>
                      <w:lang w:val="en-US" w:eastAsia="zh-CN"/>
                    </w:rPr>
                  </w:pPr>
                </w:p>
              </w:tc>
              <w:tc>
                <w:tcPr>
                  <w:tcW w:w="2282" w:type="dxa"/>
                  <w:vMerge w:val="continue"/>
                  <w:noWrap w:val="0"/>
                  <w:vAlign w:val="center"/>
                </w:tcPr>
                <w:p>
                  <w:pPr>
                    <w:pStyle w:val="11"/>
                    <w:bidi w:val="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4" w:type="dxa"/>
                  <w:noWrap w:val="0"/>
                  <w:vAlign w:val="center"/>
                </w:tcPr>
                <w:p>
                  <w:pPr>
                    <w:pStyle w:val="11"/>
                    <w:bidi w:val="0"/>
                    <w:jc w:val="center"/>
                    <w:rPr>
                      <w:lang w:val="en-US" w:eastAsia="zh-CN"/>
                    </w:rPr>
                  </w:pPr>
                  <w:r>
                    <w:rPr>
                      <w:lang w:val="en-US" w:eastAsia="zh-CN"/>
                    </w:rPr>
                    <w:t>简单防渗区</w:t>
                  </w:r>
                </w:p>
              </w:tc>
              <w:tc>
                <w:tcPr>
                  <w:tcW w:w="2123" w:type="dxa"/>
                  <w:noWrap w:val="0"/>
                  <w:vAlign w:val="center"/>
                </w:tcPr>
                <w:p>
                  <w:pPr>
                    <w:pStyle w:val="11"/>
                    <w:bidi w:val="0"/>
                    <w:jc w:val="center"/>
                    <w:rPr>
                      <w:lang w:val="en-US" w:eastAsia="zh-CN"/>
                    </w:rPr>
                  </w:pPr>
                  <w:r>
                    <w:rPr>
                      <w:lang w:val="en-US" w:eastAsia="zh-CN"/>
                    </w:rPr>
                    <w:t>中-强</w:t>
                  </w:r>
                </w:p>
              </w:tc>
              <w:tc>
                <w:tcPr>
                  <w:tcW w:w="1411" w:type="dxa"/>
                  <w:noWrap w:val="0"/>
                  <w:vAlign w:val="center"/>
                </w:tcPr>
                <w:p>
                  <w:pPr>
                    <w:pStyle w:val="11"/>
                    <w:bidi w:val="0"/>
                    <w:jc w:val="center"/>
                    <w:rPr>
                      <w:lang w:val="en-US" w:eastAsia="zh-CN"/>
                    </w:rPr>
                  </w:pPr>
                  <w:r>
                    <w:rPr>
                      <w:lang w:val="en-US" w:eastAsia="zh-CN"/>
                    </w:rPr>
                    <w:t>易</w:t>
                  </w:r>
                </w:p>
              </w:tc>
              <w:tc>
                <w:tcPr>
                  <w:tcW w:w="1612" w:type="dxa"/>
                  <w:noWrap w:val="0"/>
                  <w:vAlign w:val="center"/>
                </w:tcPr>
                <w:p>
                  <w:pPr>
                    <w:pStyle w:val="11"/>
                    <w:bidi w:val="0"/>
                    <w:jc w:val="center"/>
                    <w:rPr>
                      <w:lang w:val="en-US" w:eastAsia="zh-CN"/>
                    </w:rPr>
                  </w:pPr>
                  <w:r>
                    <w:rPr>
                      <w:lang w:val="en-US" w:eastAsia="zh-CN"/>
                    </w:rPr>
                    <w:t>易</w:t>
                  </w:r>
                </w:p>
              </w:tc>
              <w:tc>
                <w:tcPr>
                  <w:tcW w:w="2282" w:type="dxa"/>
                  <w:noWrap w:val="0"/>
                  <w:vAlign w:val="center"/>
                </w:tcPr>
                <w:p>
                  <w:pPr>
                    <w:pStyle w:val="11"/>
                    <w:bidi w:val="0"/>
                    <w:jc w:val="center"/>
                    <w:rPr>
                      <w:lang w:val="en-US" w:eastAsia="zh-CN"/>
                    </w:rPr>
                  </w:pPr>
                  <w:r>
                    <w:rPr>
                      <w:lang w:val="en-US" w:eastAsia="zh-CN"/>
                    </w:rPr>
                    <w:t>一般地面硬化</w:t>
                  </w:r>
                </w:p>
              </w:tc>
            </w:tr>
          </w:tbl>
          <w:p>
            <w:pPr>
              <w:keepNext w:val="0"/>
              <w:keepLines w:val="0"/>
              <w:pageBreakBefore w:val="0"/>
              <w:widowControl w:val="0"/>
              <w:kinsoku/>
              <w:wordWrap/>
              <w:overflowPunct/>
              <w:topLinePunct w:val="0"/>
              <w:autoSpaceDE/>
              <w:autoSpaceDN/>
              <w:bidi w:val="0"/>
              <w:adjustRightInd/>
              <w:snapToGrid/>
              <w:spacing w:before="157" w:beforeLines="50"/>
              <w:textAlignment w:val="auto"/>
            </w:pPr>
            <w:r>
              <w:rPr>
                <w:rFonts w:hint="eastAsia"/>
                <w:b/>
                <w:bCs/>
                <w:u w:val="single"/>
                <w:lang w:eastAsia="zh-CN"/>
              </w:rPr>
              <w:t>本项目</w:t>
            </w:r>
            <w:r>
              <w:rPr>
                <w:b/>
                <w:bCs/>
                <w:u w:val="single"/>
              </w:rPr>
              <w:t>参照（HJ610-2016）中地下水污染防渗分区</w:t>
            </w:r>
            <w:r>
              <w:rPr>
                <w:rFonts w:hint="eastAsia"/>
                <w:b/>
                <w:bCs/>
                <w:u w:val="single"/>
                <w:lang w:eastAsia="zh-CN"/>
              </w:rPr>
              <w:t>防渗措施表，</w:t>
            </w:r>
            <w:r>
              <w:rPr>
                <w:b/>
                <w:bCs/>
                <w:u w:val="single"/>
              </w:rPr>
              <w:t>企业将场区划分为重点防渗区、一般防渗区和简单防渗区，本项目</w:t>
            </w:r>
            <w:r>
              <w:rPr>
                <w:rFonts w:hint="eastAsia"/>
                <w:b/>
                <w:bCs/>
                <w:u w:val="single"/>
                <w:lang w:eastAsia="zh-CN"/>
              </w:rPr>
              <w:t>地下水污染</w:t>
            </w:r>
            <w:r>
              <w:rPr>
                <w:b/>
                <w:bCs/>
                <w:u w:val="single"/>
              </w:rPr>
              <w:t>防治措施一览表见表</w:t>
            </w:r>
            <w:r>
              <w:rPr>
                <w:rFonts w:hint="eastAsia"/>
                <w:b/>
                <w:bCs/>
                <w:u w:val="single"/>
                <w:lang w:val="en-US" w:eastAsia="zh-CN"/>
              </w:rPr>
              <w:t>35</w:t>
            </w:r>
            <w:r>
              <w:rPr>
                <w:b/>
                <w:bCs/>
                <w:u w:val="single"/>
              </w:rPr>
              <w:t>。</w:t>
            </w:r>
          </w:p>
          <w:p>
            <w:pPr>
              <w:bidi w:val="0"/>
              <w:jc w:val="center"/>
            </w:pPr>
            <w:r>
              <w:rPr>
                <w:b/>
                <w:bCs/>
              </w:rPr>
              <w:t xml:space="preserve">表 </w:t>
            </w:r>
            <w:r>
              <w:rPr>
                <w:rFonts w:hint="eastAsia"/>
                <w:b/>
                <w:bCs/>
                <w:lang w:val="en-US" w:eastAsia="zh-CN"/>
              </w:rPr>
              <w:t>35</w:t>
            </w:r>
            <w:r>
              <w:rPr>
                <w:b/>
                <w:bCs/>
              </w:rPr>
              <w:t xml:space="preserve">    本项目污染地下水途径及防治措施一览表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403"/>
              <w:gridCol w:w="3964"/>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序号</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项目</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保护措施</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达到效果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1</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重点防渗区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主要包括储罐区、加油区、地下管道，在清场夯压的基础上铺设防渗材料+混凝土防渗。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2</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一般防渗区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主要包括加油区周围地面采用混凝土防渗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3</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简单防渗区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主要为办公区采用混凝土铺设</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sz w:val="21"/>
                      <w:szCs w:val="21"/>
                      <w:u w:val="single"/>
                      <w:lang w:val="en-US" w:eastAsia="zh-CN"/>
                    </w:rPr>
                  </w:pPr>
                  <w:r>
                    <w:rPr>
                      <w:b/>
                      <w:bCs/>
                      <w:sz w:val="21"/>
                      <w:szCs w:val="21"/>
                      <w:u w:val="single"/>
                      <w:lang w:val="en-US" w:eastAsia="zh-CN"/>
                    </w:rPr>
                    <w:t>一般地面硬化</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ascii="Times New Roman" w:hAnsi="Times New Roman" w:cs="楷体_GB2312"/>
                <w:b/>
                <w:bCs/>
                <w:sz w:val="24"/>
                <w:lang w:eastAsia="zh-CN"/>
              </w:rPr>
            </w:pPr>
            <w:r>
              <w:rPr>
                <w:b/>
                <w:bCs/>
                <w:u w:val="single"/>
              </w:rPr>
              <w:t>评价建议项目运营阶段，重点防渗区和一般防渗区应按照本评价的要求做好防渗措施，制定相应的管理制度，定期检查加油作业区、储罐区、地下管线等连接处、阀门，及时更换损坏的阀门；及时更换破裂的管，充分做好排污管道的防渗处理，杜绝油品渗漏，防止“跑、冒、滴、漏”现象的发生。</w:t>
            </w:r>
          </w:p>
          <w:p>
            <w:pPr>
              <w:spacing w:line="360" w:lineRule="auto"/>
              <w:jc w:val="left"/>
              <w:rPr>
                <w:rFonts w:hint="eastAsia" w:ascii="Times New Roman" w:hAnsi="Times New Roman" w:eastAsia="宋体" w:cs="楷体_GB2312"/>
                <w:b/>
                <w:bCs/>
                <w:color w:val="FF0000"/>
                <w:sz w:val="24"/>
                <w:lang w:eastAsia="zh-CN"/>
              </w:rPr>
            </w:pPr>
            <w:r>
              <w:rPr>
                <w:rFonts w:hint="eastAsia" w:ascii="Times New Roman" w:hAnsi="Times New Roman" w:cs="楷体_GB2312"/>
                <w:b/>
                <w:bCs/>
                <w:sz w:val="24"/>
                <w:lang w:eastAsia="zh-CN"/>
              </w:rPr>
              <w:t>（</w:t>
            </w:r>
            <w:r>
              <w:rPr>
                <w:rFonts w:hint="eastAsia" w:cs="楷体_GB2312"/>
                <w:b/>
                <w:bCs/>
                <w:sz w:val="24"/>
                <w:lang w:val="en-US" w:eastAsia="zh-CN"/>
              </w:rPr>
              <w:t>9</w:t>
            </w:r>
            <w:r>
              <w:rPr>
                <w:rFonts w:hint="eastAsia" w:ascii="Times New Roman" w:hAnsi="Times New Roman" w:cs="楷体_GB2312"/>
                <w:b/>
                <w:bCs/>
                <w:sz w:val="24"/>
                <w:lang w:eastAsia="zh-CN"/>
              </w:rPr>
              <w:t>）</w:t>
            </w:r>
            <w:r>
              <w:rPr>
                <w:rFonts w:hint="eastAsia" w:ascii="Times New Roman" w:hAnsi="Times New Roman" w:cs="楷体_GB2312"/>
                <w:b/>
                <w:bCs/>
                <w:sz w:val="24"/>
              </w:rPr>
              <w:t>、</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水环境现状</w:t>
            </w:r>
            <w:r>
              <w:rPr>
                <w:rFonts w:hint="eastAsia" w:ascii="Times New Roman" w:hAnsi="Times New Roman" w:cs="楷体_GB2312"/>
                <w:b/>
                <w:bCs/>
                <w:sz w:val="24"/>
                <w:lang w:eastAsia="zh-CN"/>
              </w:rPr>
              <w:t>评价</w:t>
            </w:r>
          </w:p>
          <w:p>
            <w:pPr>
              <w:spacing w:before="156" w:beforeLines="50" w:line="360" w:lineRule="auto"/>
              <w:ind w:firstLine="482" w:firstLineChars="200"/>
              <w:rPr>
                <w:rFonts w:hint="eastAsia" w:ascii="Times New Roman" w:hAnsi="Times New Roman"/>
                <w:b/>
                <w:bCs/>
                <w:color w:val="auto"/>
                <w:sz w:val="24"/>
                <w:szCs w:val="22"/>
                <w:u w:val="single"/>
              </w:rPr>
            </w:pPr>
            <w:r>
              <w:rPr>
                <w:rFonts w:hint="eastAsia" w:ascii="Times New Roman" w:hAnsi="Times New Roman"/>
                <w:b/>
                <w:bCs/>
                <w:color w:val="auto"/>
                <w:sz w:val="24"/>
                <w:szCs w:val="22"/>
                <w:u w:val="single"/>
              </w:rPr>
              <w:t>为了了解项目所处区域地下水环境质量现状，</w:t>
            </w:r>
            <w:r>
              <w:rPr>
                <w:rFonts w:hint="eastAsia" w:ascii="Times New Roman" w:hAnsi="Times New Roman"/>
                <w:b/>
                <w:bCs/>
                <w:color w:val="auto"/>
                <w:sz w:val="24"/>
                <w:szCs w:val="22"/>
                <w:u w:val="single"/>
                <w:lang w:eastAsia="zh-CN"/>
              </w:rPr>
              <w:t>引用</w:t>
            </w:r>
            <w:r>
              <w:rPr>
                <w:rFonts w:hint="eastAsia" w:ascii="Times New Roman" w:hAnsi="Times New Roman"/>
                <w:b/>
                <w:bCs/>
                <w:color w:val="auto"/>
                <w:sz w:val="24"/>
                <w:szCs w:val="22"/>
                <w:u w:val="single"/>
              </w:rPr>
              <w:t>《</w:t>
            </w:r>
            <w:r>
              <w:rPr>
                <w:rFonts w:hint="eastAsia" w:ascii="Times New Roman" w:hAnsi="Times New Roman"/>
                <w:b/>
                <w:bCs/>
                <w:color w:val="auto"/>
                <w:sz w:val="24"/>
                <w:szCs w:val="22"/>
                <w:u w:val="single"/>
                <w:lang w:eastAsia="zh-CN"/>
              </w:rPr>
              <w:t>河南高速能源有限责任公司鲁山经营部</w:t>
            </w:r>
            <w:r>
              <w:rPr>
                <w:rFonts w:hint="eastAsia"/>
                <w:b/>
                <w:bCs/>
                <w:color w:val="auto"/>
                <w:sz w:val="24"/>
                <w:szCs w:val="22"/>
                <w:u w:val="single"/>
                <w:lang w:eastAsia="zh-CN"/>
              </w:rPr>
              <w:t>石人山</w:t>
            </w:r>
            <w:r>
              <w:rPr>
                <w:rFonts w:hint="eastAsia" w:ascii="Times New Roman" w:hAnsi="Times New Roman"/>
                <w:b/>
                <w:bCs/>
                <w:color w:val="auto"/>
                <w:sz w:val="24"/>
                <w:szCs w:val="22"/>
                <w:u w:val="single"/>
                <w:lang w:eastAsia="zh-CN"/>
              </w:rPr>
              <w:t>服务区北</w:t>
            </w:r>
            <w:r>
              <w:rPr>
                <w:rFonts w:hint="eastAsia" w:ascii="Times New Roman" w:hAnsi="Times New Roman"/>
                <w:b/>
                <w:bCs/>
                <w:color w:val="auto"/>
                <w:sz w:val="24"/>
                <w:szCs w:val="22"/>
                <w:u w:val="single"/>
              </w:rPr>
              <w:t>加油站地下水检测报告》中加油站水下水井的检测数据（20</w:t>
            </w:r>
            <w:r>
              <w:rPr>
                <w:rFonts w:hint="eastAsia" w:ascii="Times New Roman" w:hAnsi="Times New Roman"/>
                <w:b/>
                <w:bCs/>
                <w:color w:val="auto"/>
                <w:sz w:val="24"/>
                <w:szCs w:val="22"/>
                <w:u w:val="single"/>
                <w:lang w:val="en-US" w:eastAsia="zh-CN"/>
              </w:rPr>
              <w:t>20</w:t>
            </w:r>
            <w:r>
              <w:rPr>
                <w:rFonts w:hint="eastAsia" w:ascii="Times New Roman" w:hAnsi="Times New Roman"/>
                <w:b/>
                <w:bCs/>
                <w:color w:val="auto"/>
                <w:sz w:val="24"/>
                <w:szCs w:val="22"/>
                <w:u w:val="single"/>
              </w:rPr>
              <w:t>年</w:t>
            </w:r>
            <w:r>
              <w:rPr>
                <w:rFonts w:hint="eastAsia" w:ascii="Times New Roman" w:hAnsi="Times New Roman"/>
                <w:b/>
                <w:bCs/>
                <w:color w:val="auto"/>
                <w:sz w:val="24"/>
                <w:szCs w:val="22"/>
                <w:u w:val="single"/>
                <w:lang w:val="en-US" w:eastAsia="zh-CN"/>
              </w:rPr>
              <w:t>08</w:t>
            </w:r>
            <w:r>
              <w:rPr>
                <w:rFonts w:hint="eastAsia" w:ascii="Times New Roman" w:hAnsi="Times New Roman"/>
                <w:b/>
                <w:bCs/>
                <w:color w:val="auto"/>
                <w:sz w:val="24"/>
                <w:szCs w:val="22"/>
                <w:u w:val="single"/>
              </w:rPr>
              <w:t>月</w:t>
            </w:r>
            <w:r>
              <w:rPr>
                <w:rFonts w:hint="eastAsia"/>
                <w:b/>
                <w:bCs/>
                <w:color w:val="auto"/>
                <w:sz w:val="24"/>
                <w:szCs w:val="22"/>
                <w:u w:val="single"/>
                <w:lang w:val="en-US" w:eastAsia="zh-CN"/>
              </w:rPr>
              <w:t>15</w:t>
            </w:r>
            <w:r>
              <w:rPr>
                <w:rFonts w:hint="eastAsia" w:ascii="Times New Roman" w:hAnsi="Times New Roman"/>
                <w:b/>
                <w:bCs/>
                <w:color w:val="auto"/>
                <w:sz w:val="24"/>
                <w:szCs w:val="22"/>
                <w:u w:val="single"/>
              </w:rPr>
              <w:t>日检测）监测结果见表</w:t>
            </w:r>
            <w:r>
              <w:rPr>
                <w:rFonts w:hint="eastAsia" w:ascii="Times New Roman" w:hAnsi="Times New Roman"/>
                <w:b/>
                <w:bCs/>
                <w:color w:val="auto"/>
                <w:sz w:val="24"/>
                <w:szCs w:val="22"/>
                <w:u w:val="single"/>
                <w:lang w:val="en-US" w:eastAsia="zh-CN"/>
              </w:rPr>
              <w:t>36</w:t>
            </w:r>
            <w:r>
              <w:rPr>
                <w:rFonts w:hint="eastAsia" w:ascii="Times New Roman" w:hAnsi="Times New Roman"/>
                <w:b/>
                <w:bCs/>
                <w:color w:val="auto"/>
                <w:sz w:val="24"/>
                <w:szCs w:val="22"/>
                <w:u w:val="single"/>
              </w:rPr>
              <w:t>。</w:t>
            </w:r>
          </w:p>
          <w:p>
            <w:pPr>
              <w:bidi w:val="0"/>
              <w:jc w:val="center"/>
              <w:rPr>
                <w:rFonts w:ascii="Times New Roman" w:hAnsi="Times New Roman"/>
                <w:b/>
                <w:bCs/>
                <w:color w:val="auto"/>
                <w:u w:val="single"/>
              </w:rPr>
            </w:pPr>
            <w:r>
              <w:rPr>
                <w:b/>
                <w:bCs/>
                <w:u w:val="single"/>
              </w:rPr>
              <w:t>表</w:t>
            </w:r>
            <w:r>
              <w:rPr>
                <w:rFonts w:hint="eastAsia"/>
                <w:b/>
                <w:bCs/>
                <w:u w:val="single"/>
                <w:lang w:val="en-US" w:eastAsia="zh-CN"/>
              </w:rPr>
              <w:t xml:space="preserve">36     </w:t>
            </w:r>
            <w:r>
              <w:rPr>
                <w:b/>
                <w:bCs/>
                <w:u w:val="single"/>
              </w:rPr>
              <w:t>地下水</w:t>
            </w:r>
            <w:r>
              <w:rPr>
                <w:rFonts w:hint="eastAsia"/>
                <w:b/>
                <w:bCs/>
                <w:u w:val="single"/>
              </w:rPr>
              <w:t>监</w:t>
            </w:r>
            <w:r>
              <w:rPr>
                <w:b/>
                <w:bCs/>
                <w:u w:val="single"/>
              </w:rPr>
              <w:t>测</w:t>
            </w:r>
            <w:r>
              <w:rPr>
                <w:rFonts w:hint="eastAsia"/>
                <w:b/>
                <w:bCs/>
                <w:u w:val="single"/>
              </w:rPr>
              <w:t>单位：mg/L</w:t>
            </w:r>
            <w:r>
              <w:rPr>
                <w:b/>
                <w:bCs/>
                <w:u w:val="single"/>
              </w:rPr>
              <w:t>（</w:t>
            </w:r>
            <w:r>
              <w:rPr>
                <w:rFonts w:hint="eastAsia"/>
                <w:b/>
                <w:bCs/>
                <w:u w:val="single"/>
              </w:rPr>
              <w:t>pH除</w:t>
            </w:r>
            <w:r>
              <w:rPr>
                <w:b/>
                <w:bCs/>
                <w:u w:val="single"/>
              </w:rPr>
              <w:t>外）</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
              <w:gridCol w:w="650"/>
              <w:gridCol w:w="409"/>
              <w:gridCol w:w="991"/>
              <w:gridCol w:w="1041"/>
              <w:gridCol w:w="860"/>
              <w:gridCol w:w="944"/>
              <w:gridCol w:w="991"/>
              <w:gridCol w:w="991"/>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检测</w:t>
                  </w:r>
                </w:p>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地点</w:t>
                  </w:r>
                </w:p>
              </w:tc>
              <w:tc>
                <w:tcPr>
                  <w:tcW w:w="397"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采样</w:t>
                  </w:r>
                </w:p>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rPr>
                    <w:t>时间</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pH值</w:t>
                  </w:r>
                </w:p>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（无量纲）</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lang w:val="en-US" w:eastAsia="zh-CN"/>
                    </w:rPr>
                    <w:t>溶解氧</w:t>
                  </w:r>
                </w:p>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rPr>
                    <w:t>（mg/L）</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氧化还原电位</w:t>
                  </w:r>
                </w:p>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rPr>
                    <w:t>（m</w:t>
                  </w:r>
                  <w:r>
                    <w:rPr>
                      <w:rFonts w:hint="default" w:ascii="Times New Roman" w:hAnsi="Times New Roman" w:eastAsia="宋体" w:cs="Times New Roman"/>
                      <w:b/>
                      <w:bCs/>
                      <w:sz w:val="21"/>
                      <w:szCs w:val="21"/>
                      <w:u w:val="single"/>
                      <w:lang w:val="en-US" w:eastAsia="zh-CN"/>
                    </w:rPr>
                    <w:t>v</w:t>
                  </w:r>
                  <w:r>
                    <w:rPr>
                      <w:rFonts w:hint="default" w:ascii="Times New Roman" w:hAnsi="Times New Roman" w:eastAsia="宋体" w:cs="Times New Roman"/>
                      <w:b/>
                      <w:bCs/>
                      <w:sz w:val="21"/>
                      <w:szCs w:val="21"/>
                      <w:u w:val="single"/>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电导率</w:t>
                  </w:r>
                </w:p>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val="en-US" w:eastAsia="zh-CN"/>
                    </w:rPr>
                    <w:t>(μS/cm)</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色度</w:t>
                  </w:r>
                </w:p>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lang w:eastAsia="zh-CN"/>
                    </w:rPr>
                    <w:t>度</w:t>
                  </w:r>
                  <w:r>
                    <w:rPr>
                      <w:rFonts w:hint="default" w:ascii="Times New Roman" w:hAnsi="Times New Roman" w:eastAsia="宋体" w:cs="Times New Roman"/>
                      <w:b/>
                      <w:bCs/>
                      <w:sz w:val="21"/>
                      <w:szCs w:val="21"/>
                      <w:u w:val="single"/>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臭</w:t>
                  </w:r>
                  <w:r>
                    <w:rPr>
                      <w:rFonts w:hint="default" w:ascii="Times New Roman" w:hAnsi="Times New Roman" w:eastAsia="宋体" w:cs="Times New Roman"/>
                      <w:b/>
                      <w:bCs/>
                      <w:sz w:val="21"/>
                      <w:szCs w:val="21"/>
                      <w:u w:val="single"/>
                    </w:rPr>
                    <w:t>和味</w:t>
                  </w:r>
                  <w:r>
                    <w:rPr>
                      <w:rFonts w:hint="default" w:ascii="Times New Roman" w:hAnsi="Times New Roman" w:eastAsia="宋体" w:cs="Times New Roman"/>
                      <w:b/>
                      <w:bCs/>
                      <w:sz w:val="21"/>
                      <w:szCs w:val="21"/>
                      <w:u w:val="single"/>
                      <w:lang w:eastAsia="zh-CN"/>
                    </w:rPr>
                    <w:t>（级）</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浑浊度</w:t>
                  </w:r>
                </w:p>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restar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地下水</w:t>
                  </w:r>
                </w:p>
                <w:p>
                  <w:pPr>
                    <w:pStyle w:val="11"/>
                    <w:bidi w:val="0"/>
                    <w:jc w:val="center"/>
                    <w:rPr>
                      <w:rFonts w:hint="default" w:ascii="Times New Roman" w:hAnsi="Times New Roman" w:eastAsia="宋体" w:cs="Times New Roman"/>
                      <w:b/>
                      <w:bCs/>
                      <w:sz w:val="21"/>
                      <w:szCs w:val="21"/>
                      <w:u w:val="single"/>
                      <w:lang w:eastAsia="zh-CN"/>
                    </w:rPr>
                  </w:pPr>
                </w:p>
              </w:tc>
              <w:tc>
                <w:tcPr>
                  <w:tcW w:w="397" w:type="pct"/>
                  <w:vMerge w:val="restar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2020.</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08.03</w:t>
                  </w: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7.72</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5.56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130</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329</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7.74</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5.46</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129</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328</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5</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&lt;1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萘</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μg/L</w:t>
                  </w:r>
                  <w:r>
                    <w:rPr>
                      <w:rFonts w:hint="default" w:ascii="Times New Roman" w:hAnsi="Times New Roman" w:eastAsia="宋体" w:cs="Times New Roman"/>
                      <w:b/>
                      <w:bCs/>
                      <w:sz w:val="21"/>
                      <w:szCs w:val="21"/>
                      <w:u w:val="single"/>
                      <w:lang w:val="en-US" w:eastAsia="zh-CN"/>
                    </w:rPr>
                    <w:t>)</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苯</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μg/L</w:t>
                  </w:r>
                  <w:r>
                    <w:rPr>
                      <w:rFonts w:hint="default" w:ascii="Times New Roman" w:hAnsi="Times New Roman" w:eastAsia="宋体" w:cs="Times New Roman"/>
                      <w:b/>
                      <w:bCs/>
                      <w:sz w:val="21"/>
                      <w:szCs w:val="21"/>
                      <w:u w:val="single"/>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lang w:eastAsia="zh-CN"/>
                    </w:rPr>
                    <w:t>甲苯</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μg/L</w:t>
                  </w:r>
                  <w:r>
                    <w:rPr>
                      <w:rFonts w:hint="default" w:ascii="Times New Roman" w:hAnsi="Times New Roman" w:eastAsia="宋体" w:cs="Times New Roman"/>
                      <w:b/>
                      <w:bCs/>
                      <w:sz w:val="21"/>
                      <w:szCs w:val="21"/>
                      <w:u w:val="single"/>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r>
                    <w:rPr>
                      <w:rFonts w:hint="default" w:ascii="Times New Roman" w:hAnsi="Times New Roman" w:eastAsia="宋体" w:cs="Times New Roman"/>
                      <w:b/>
                      <w:bCs/>
                      <w:sz w:val="21"/>
                      <w:szCs w:val="21"/>
                      <w:u w:val="single"/>
                    </w:rPr>
                    <w:t>乙苯</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μg/L</w:t>
                  </w:r>
                  <w:r>
                    <w:rPr>
                      <w:rFonts w:hint="default" w:ascii="Times New Roman" w:hAnsi="Times New Roman" w:eastAsia="宋体" w:cs="Times New Roman"/>
                      <w:b/>
                      <w:bCs/>
                      <w:sz w:val="21"/>
                      <w:szCs w:val="21"/>
                      <w:u w:val="single"/>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rPr>
                    <w:t>邻二甲苯（μg/L）</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rPr>
                    <w:t>间</w:t>
                  </w:r>
                  <w:r>
                    <w:rPr>
                      <w:rFonts w:hint="default" w:ascii="Times New Roman" w:hAnsi="Times New Roman" w:eastAsia="宋体" w:cs="Times New Roman"/>
                      <w:b/>
                      <w:bCs/>
                      <w:sz w:val="21"/>
                      <w:szCs w:val="21"/>
                      <w:u w:val="single"/>
                      <w:lang w:eastAsia="zh-CN"/>
                    </w:rPr>
                    <w:t>，对</w:t>
                  </w: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二甲苯（μg/L）</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铅</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eastAsia="zh-CN"/>
                    </w:rPr>
                    <w:t>频次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r>
                    <w:rPr>
                      <w:rFonts w:hint="default" w:ascii="Times New Roman" w:hAnsi="Times New Roman" w:eastAsia="宋体" w:cs="Times New Roman"/>
                      <w:b/>
                      <w:bCs/>
                      <w:sz w:val="21"/>
                      <w:szCs w:val="21"/>
                      <w:u w:val="single"/>
                    </w:rPr>
                    <w:t>甲基叔丁基醚</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rPr>
                    <w:t>（μg/L）</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总石油烃</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mg/L</w:t>
                  </w:r>
                  <w:r>
                    <w:rPr>
                      <w:rFonts w:hint="default" w:ascii="Times New Roman" w:hAnsi="Times New Roman" w:eastAsia="宋体" w:cs="Times New Roman"/>
                      <w:b/>
                      <w:bCs/>
                      <w:sz w:val="21"/>
                      <w:szCs w:val="21"/>
                      <w:u w:val="single"/>
                      <w:lang w:val="en-US" w:eastAsia="zh-CN"/>
                    </w:rPr>
                    <w:t>)</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C6-C9挥发性石油烃</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mg/L</w:t>
                  </w:r>
                  <w:r>
                    <w:rPr>
                      <w:rFonts w:hint="default" w:ascii="Times New Roman" w:hAnsi="Times New Roman" w:eastAsia="宋体" w:cs="Times New Roman"/>
                      <w:b/>
                      <w:bCs/>
                      <w:sz w:val="21"/>
                      <w:szCs w:val="21"/>
                      <w:u w:val="single"/>
                      <w:lang w:val="en-US" w:eastAsia="zh-CN"/>
                    </w:rPr>
                    <w:t>)</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C10-C40可萃取性石油烃</w:t>
                  </w:r>
                </w:p>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r>
                    <w:rPr>
                      <w:rFonts w:hint="default" w:ascii="Times New Roman" w:hAnsi="Times New Roman" w:eastAsia="宋体" w:cs="Times New Roman"/>
                      <w:b/>
                      <w:bCs/>
                      <w:sz w:val="21"/>
                      <w:szCs w:val="21"/>
                      <w:u w:val="single"/>
                    </w:rPr>
                    <w:t>mg/L</w:t>
                  </w:r>
                  <w:r>
                    <w:rPr>
                      <w:rFonts w:hint="default" w:ascii="Times New Roman" w:hAnsi="Times New Roman" w:eastAsia="宋体" w:cs="Times New Roman"/>
                      <w:b/>
                      <w:bCs/>
                      <w:sz w:val="21"/>
                      <w:szCs w:val="21"/>
                      <w:u w:val="single"/>
                      <w:lang w:val="en-US"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1,1-</w:t>
                  </w:r>
                  <w:r>
                    <w:rPr>
                      <w:rFonts w:hint="default" w:ascii="Times New Roman" w:hAnsi="Times New Roman" w:eastAsia="宋体" w:cs="Times New Roman"/>
                      <w:b/>
                      <w:bCs/>
                      <w:sz w:val="21"/>
                      <w:szCs w:val="21"/>
                      <w:u w:val="single"/>
                      <w:lang w:eastAsia="zh-CN"/>
                    </w:rPr>
                    <w:t>二氯乙烷（</w:t>
                  </w:r>
                  <w:r>
                    <w:rPr>
                      <w:rFonts w:hint="default" w:ascii="Times New Roman" w:hAnsi="Times New Roman" w:eastAsia="宋体" w:cs="Times New Roman"/>
                      <w:b/>
                      <w:bCs/>
                      <w:sz w:val="21"/>
                      <w:szCs w:val="21"/>
                      <w:u w:val="single"/>
                      <w:lang w:val="en-US" w:eastAsia="zh-CN"/>
                    </w:rPr>
                    <w:t>μg/L</w:t>
                  </w:r>
                  <w:r>
                    <w:rPr>
                      <w:rFonts w:hint="default" w:ascii="Times New Roman" w:hAnsi="Times New Roman" w:eastAsia="宋体" w:cs="Times New Roman"/>
                      <w:b/>
                      <w:bCs/>
                      <w:sz w:val="21"/>
                      <w:szCs w:val="21"/>
                      <w:u w:val="single"/>
                      <w:lang w:eastAsia="zh-CN"/>
                    </w:rPr>
                    <w:t>）</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1,2-</w:t>
                  </w:r>
                  <w:r>
                    <w:rPr>
                      <w:rFonts w:hint="default" w:ascii="Times New Roman" w:hAnsi="Times New Roman" w:eastAsia="宋体" w:cs="Times New Roman"/>
                      <w:b/>
                      <w:bCs/>
                      <w:sz w:val="21"/>
                      <w:szCs w:val="21"/>
                      <w:u w:val="single"/>
                      <w:lang w:eastAsia="zh-CN"/>
                    </w:rPr>
                    <w:t>二氯乙烷（</w:t>
                  </w:r>
                  <w:r>
                    <w:rPr>
                      <w:rFonts w:hint="default" w:ascii="Times New Roman" w:hAnsi="Times New Roman" w:eastAsia="宋体" w:cs="Times New Roman"/>
                      <w:b/>
                      <w:bCs/>
                      <w:sz w:val="21"/>
                      <w:szCs w:val="21"/>
                      <w:u w:val="single"/>
                      <w:lang w:val="en-US" w:eastAsia="zh-CN"/>
                    </w:rPr>
                    <w:t>μg/L</w:t>
                  </w:r>
                  <w:r>
                    <w:rPr>
                      <w:rFonts w:hint="default" w:ascii="Times New Roman" w:hAnsi="Times New Roman" w:eastAsia="宋体" w:cs="Times New Roman"/>
                      <w:b/>
                      <w:bCs/>
                      <w:sz w:val="21"/>
                      <w:szCs w:val="21"/>
                      <w:u w:val="single"/>
                      <w:lang w:eastAsia="zh-CN"/>
                    </w:rPr>
                    <w:t>）</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第1次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48"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rPr>
                  </w:pPr>
                </w:p>
              </w:tc>
              <w:tc>
                <w:tcPr>
                  <w:tcW w:w="397" w:type="pct"/>
                  <w:vMerge w:val="continue"/>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eastAsia="zh-CN"/>
                    </w:rPr>
                  </w:pPr>
                </w:p>
              </w:tc>
              <w:tc>
                <w:tcPr>
                  <w:tcW w:w="24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第2次</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23"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0.02</w:t>
                  </w:r>
                </w:p>
              </w:tc>
              <w:tc>
                <w:tcPr>
                  <w:tcW w:w="518"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6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595"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未检出</w:t>
                  </w:r>
                </w:p>
              </w:tc>
              <w:tc>
                <w:tcPr>
                  <w:tcW w:w="611" w:type="pct"/>
                  <w:tcBorders>
                    <w:tl2br w:val="nil"/>
                    <w:tr2bl w:val="nil"/>
                  </w:tcBorders>
                  <w:noWrap w:val="0"/>
                  <w:vAlign w:val="center"/>
                </w:tcPr>
                <w:p>
                  <w:pPr>
                    <w:pStyle w:val="11"/>
                    <w:bidi w:val="0"/>
                    <w:jc w:val="center"/>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r>
          </w:tbl>
          <w:p>
            <w:pPr>
              <w:spacing w:before="156" w:beforeLines="50" w:line="360" w:lineRule="auto"/>
              <w:ind w:firstLine="482" w:firstLineChars="200"/>
              <w:rPr>
                <w:rFonts w:ascii="Times New Roman" w:hAnsi="Times New Roman"/>
                <w:b/>
                <w:bCs/>
                <w:sz w:val="24"/>
                <w:u w:val="single"/>
              </w:rPr>
            </w:pPr>
            <w:r>
              <w:rPr>
                <w:rFonts w:hint="eastAsia" w:ascii="Times New Roman" w:hAnsi="Times New Roman"/>
                <w:b/>
                <w:bCs/>
                <w:sz w:val="24"/>
                <w:u w:val="single"/>
              </w:rPr>
              <w:t>根据</w:t>
            </w:r>
            <w:r>
              <w:rPr>
                <w:rFonts w:ascii="Times New Roman" w:hAnsi="Times New Roman"/>
                <w:b/>
                <w:bCs/>
                <w:sz w:val="24"/>
                <w:u w:val="single"/>
              </w:rPr>
              <w:t>表</w:t>
            </w:r>
            <w:r>
              <w:rPr>
                <w:rFonts w:hint="eastAsia" w:ascii="Times New Roman" w:hAnsi="Times New Roman"/>
                <w:b/>
                <w:bCs/>
                <w:sz w:val="24"/>
                <w:u w:val="single"/>
                <w:lang w:val="en-US" w:eastAsia="zh-CN"/>
              </w:rPr>
              <w:t>1</w:t>
            </w:r>
            <w:r>
              <w:rPr>
                <w:rFonts w:hint="eastAsia"/>
                <w:b/>
                <w:bCs/>
                <w:sz w:val="24"/>
                <w:u w:val="single"/>
                <w:lang w:val="en-US" w:eastAsia="zh-CN"/>
              </w:rPr>
              <w:t>2</w:t>
            </w:r>
            <w:r>
              <w:rPr>
                <w:rFonts w:hint="eastAsia" w:ascii="Times New Roman" w:hAnsi="Times New Roman"/>
                <w:b/>
                <w:bCs/>
                <w:sz w:val="24"/>
                <w:u w:val="single"/>
              </w:rPr>
              <w:t>可</w:t>
            </w:r>
            <w:r>
              <w:rPr>
                <w:rFonts w:ascii="Times New Roman" w:hAnsi="Times New Roman"/>
                <w:b/>
                <w:bCs/>
                <w:sz w:val="24"/>
                <w:u w:val="single"/>
              </w:rPr>
              <w:t>知，</w:t>
            </w:r>
            <w:r>
              <w:rPr>
                <w:rFonts w:hint="eastAsia" w:ascii="Times New Roman" w:hAnsi="Times New Roman"/>
                <w:b/>
                <w:bCs/>
                <w:sz w:val="24"/>
                <w:u w:val="single"/>
              </w:rPr>
              <w:t>项目区域内的地下水各项监测因子均能满足《地下水质量标准》（</w:t>
            </w:r>
            <w:r>
              <w:rPr>
                <w:rFonts w:hint="eastAsia" w:ascii="Times New Roman" w:hAnsi="Times New Roman"/>
                <w:b/>
                <w:bCs/>
                <w:sz w:val="24"/>
                <w:szCs w:val="22"/>
                <w:u w:val="single"/>
              </w:rPr>
              <w:t>GB/T14848-2017）Ⅲ类</w:t>
            </w:r>
            <w:r>
              <w:rPr>
                <w:rFonts w:hint="eastAsia" w:ascii="Times New Roman" w:hAnsi="Times New Roman"/>
                <w:b/>
                <w:bCs/>
                <w:sz w:val="24"/>
                <w:u w:val="single"/>
              </w:rPr>
              <w:t>标准限值的要求，项目</w:t>
            </w:r>
            <w:r>
              <w:rPr>
                <w:rFonts w:ascii="Times New Roman" w:hAnsi="Times New Roman"/>
                <w:b/>
                <w:bCs/>
                <w:sz w:val="24"/>
                <w:u w:val="single"/>
              </w:rPr>
              <w:t>所在区域地下水环境质量</w:t>
            </w:r>
            <w:r>
              <w:rPr>
                <w:rFonts w:hint="eastAsia" w:ascii="Times New Roman" w:hAnsi="Times New Roman"/>
                <w:b/>
                <w:bCs/>
                <w:sz w:val="24"/>
                <w:u w:val="single"/>
              </w:rPr>
              <w:t>状况较好</w:t>
            </w:r>
            <w:r>
              <w:rPr>
                <w:rFonts w:ascii="Times New Roman" w:hAnsi="Times New Roman"/>
                <w:b/>
                <w:bCs/>
                <w:sz w:val="24"/>
                <w:u w:val="single"/>
              </w:rPr>
              <w:t>。</w:t>
            </w:r>
          </w:p>
          <w:p>
            <w:pPr>
              <w:bidi w:val="0"/>
              <w:rPr>
                <w:rFonts w:hint="eastAsia"/>
                <w:b/>
                <w:bCs/>
                <w:u w:val="single"/>
                <w:lang w:eastAsia="zh-CN"/>
              </w:rPr>
            </w:pPr>
            <w:r>
              <w:rPr>
                <w:rFonts w:hint="eastAsia"/>
                <w:b/>
                <w:bCs/>
                <w:u w:val="single"/>
                <w:lang w:eastAsia="zh-CN"/>
              </w:rPr>
              <w:t>（</w:t>
            </w:r>
            <w:r>
              <w:rPr>
                <w:rFonts w:hint="eastAsia"/>
                <w:b/>
                <w:bCs/>
                <w:u w:val="single"/>
                <w:lang w:val="en-US" w:eastAsia="zh-CN"/>
              </w:rPr>
              <w:t>10</w:t>
            </w:r>
            <w:r>
              <w:rPr>
                <w:rFonts w:hint="eastAsia"/>
                <w:b/>
                <w:bCs/>
                <w:u w:val="single"/>
                <w:lang w:eastAsia="zh-CN"/>
              </w:rPr>
              <w:t>）地下水水位监测</w:t>
            </w:r>
          </w:p>
          <w:p>
            <w:pPr>
              <w:bidi w:val="0"/>
              <w:rPr>
                <w:rFonts w:hint="eastAsia"/>
                <w:b/>
                <w:bCs/>
                <w:u w:val="single"/>
              </w:rPr>
            </w:pPr>
            <w:r>
              <w:rPr>
                <w:rFonts w:hint="eastAsia" w:ascii="Times New Roman" w:hAnsi="Times New Roman"/>
                <w:b/>
                <w:bCs/>
                <w:u w:val="single"/>
                <w:lang w:eastAsia="zh-CN"/>
              </w:rPr>
              <w:t>根据评价要求，评价等级为二级的建设项目，若掌握近三年内至少一个连续水文年的枯、丰水期地下水位动态监测资料，评价期内可不再开展现状地下水位监测，根据《平顶山市水资源公报》（</w:t>
            </w:r>
            <w:r>
              <w:rPr>
                <w:rFonts w:hint="eastAsia" w:ascii="Times New Roman" w:hAnsi="Times New Roman"/>
                <w:b/>
                <w:bCs/>
                <w:u w:val="single"/>
                <w:lang w:val="en-US" w:eastAsia="zh-CN"/>
              </w:rPr>
              <w:t>2018</w:t>
            </w:r>
            <w:r>
              <w:rPr>
                <w:rFonts w:hint="eastAsia" w:ascii="Times New Roman" w:hAnsi="Times New Roman"/>
                <w:b/>
                <w:bCs/>
                <w:u w:val="single"/>
                <w:lang w:eastAsia="zh-CN"/>
              </w:rPr>
              <w:t>），根据公报中浅层地下水动态，</w:t>
            </w:r>
            <w:r>
              <w:rPr>
                <w:rFonts w:hint="eastAsia"/>
                <w:b/>
                <w:bCs/>
                <w:u w:val="single"/>
              </w:rPr>
              <w:t>全市14眼地下水井观测资料分析，</w:t>
            </w:r>
            <w:r>
              <w:rPr>
                <w:b/>
                <w:bCs/>
                <w:u w:val="single"/>
              </w:rPr>
              <w:t>201</w:t>
            </w:r>
            <w:r>
              <w:rPr>
                <w:rFonts w:hint="eastAsia"/>
                <w:b/>
                <w:bCs/>
                <w:u w:val="single"/>
              </w:rPr>
              <w:t>8</w:t>
            </w:r>
            <w:r>
              <w:rPr>
                <w:b/>
                <w:bCs/>
                <w:u w:val="single"/>
              </w:rPr>
              <w:t>年</w:t>
            </w:r>
            <w:r>
              <w:rPr>
                <w:rFonts w:hint="eastAsia"/>
                <w:b/>
                <w:bCs/>
                <w:u w:val="single"/>
              </w:rPr>
              <w:t>末</w:t>
            </w:r>
            <w:r>
              <w:rPr>
                <w:b/>
                <w:bCs/>
                <w:u w:val="single"/>
              </w:rPr>
              <w:t>全市地下水埋深与上年末相比，</w:t>
            </w:r>
            <w:r>
              <w:rPr>
                <w:rFonts w:hint="eastAsia"/>
                <w:b/>
                <w:bCs/>
                <w:u w:val="single"/>
              </w:rPr>
              <w:t>总体变化情况为：平均上升0.54</w:t>
            </w:r>
            <w:r>
              <w:rPr>
                <w:b/>
                <w:bCs/>
                <w:u w:val="single"/>
              </w:rPr>
              <w:t>m，</w:t>
            </w:r>
            <w:r>
              <w:rPr>
                <w:rFonts w:hint="eastAsia"/>
                <w:b/>
                <w:bCs/>
                <w:u w:val="single"/>
              </w:rPr>
              <w:t>变化较大</w:t>
            </w:r>
            <w:r>
              <w:rPr>
                <w:b/>
                <w:bCs/>
                <w:u w:val="single"/>
              </w:rPr>
              <w:t>，其中：</w:t>
            </w:r>
            <w:r>
              <w:rPr>
                <w:rFonts w:hint="eastAsia"/>
                <w:b/>
                <w:bCs/>
                <w:u w:val="single"/>
              </w:rPr>
              <w:t>平顶山市王蚌区间北岸沙颖河平原区</w:t>
            </w:r>
            <w:r>
              <w:rPr>
                <w:b/>
                <w:bCs/>
                <w:u w:val="single"/>
              </w:rPr>
              <w:t>与上年相比，平均</w:t>
            </w:r>
            <w:r>
              <w:rPr>
                <w:rFonts w:hint="eastAsia"/>
                <w:b/>
                <w:bCs/>
                <w:u w:val="single"/>
              </w:rPr>
              <w:t>上升0.56</w:t>
            </w:r>
            <w:r>
              <w:rPr>
                <w:b/>
                <w:bCs/>
                <w:u w:val="single"/>
              </w:rPr>
              <w:t>m；</w:t>
            </w:r>
            <w:r>
              <w:rPr>
                <w:rFonts w:hint="eastAsia"/>
                <w:b/>
                <w:bCs/>
                <w:u w:val="single"/>
              </w:rPr>
              <w:t>王家坝以上北岸洪汝河平原区</w:t>
            </w:r>
            <w:r>
              <w:rPr>
                <w:b/>
                <w:bCs/>
                <w:u w:val="single"/>
              </w:rPr>
              <w:t>与上年相比，平均</w:t>
            </w:r>
            <w:r>
              <w:rPr>
                <w:rFonts w:hint="eastAsia"/>
                <w:b/>
                <w:bCs/>
                <w:u w:val="single"/>
              </w:rPr>
              <w:t>上升0.40</w:t>
            </w:r>
            <w:r>
              <w:rPr>
                <w:b/>
                <w:bCs/>
                <w:u w:val="single"/>
              </w:rPr>
              <w:t xml:space="preserve"> m。</w:t>
            </w:r>
            <w:r>
              <w:rPr>
                <w:rFonts w:hint="eastAsia"/>
                <w:b/>
                <w:bCs/>
                <w:u w:val="single"/>
              </w:rPr>
              <w:t xml:space="preserve">平顶山市境内观测井有的有所上升，有的有所下降，上升和下降的幅度有所不同。 </w:t>
            </w:r>
          </w:p>
          <w:p>
            <w:pPr>
              <w:bidi w:val="0"/>
              <w:rPr>
                <w:rFonts w:hint="eastAsia"/>
                <w:b/>
                <w:bCs/>
                <w:u w:val="single"/>
                <w:lang w:eastAsia="zh-CN"/>
              </w:rPr>
            </w:pPr>
            <w:r>
              <w:rPr>
                <w:rFonts w:hint="eastAsia"/>
                <w:b/>
                <w:bCs/>
                <w:u w:val="single"/>
              </w:rPr>
              <w:t>由于地下水位上升，2018年地下水储存量相应增加0.3477亿m</w:t>
            </w:r>
            <w:r>
              <w:rPr>
                <w:rFonts w:hint="eastAsia"/>
                <w:b/>
                <w:bCs/>
                <w:u w:val="single"/>
                <w:vertAlign w:val="superscript"/>
              </w:rPr>
              <w:t>3</w:t>
            </w:r>
            <w:r>
              <w:rPr>
                <w:rFonts w:hint="eastAsia"/>
                <w:b/>
                <w:bCs/>
                <w:u w:val="single"/>
              </w:rPr>
              <w:t>, 其中平顶山市王蚌区间北岸沙颖河平原区比上年末增加0.3336亿m</w:t>
            </w:r>
            <w:r>
              <w:rPr>
                <w:rFonts w:hint="eastAsia"/>
                <w:b/>
                <w:bCs/>
                <w:u w:val="single"/>
                <w:vertAlign w:val="superscript"/>
              </w:rPr>
              <w:t>3</w:t>
            </w:r>
            <w:r>
              <w:rPr>
                <w:rFonts w:hint="eastAsia"/>
                <w:b/>
                <w:bCs/>
                <w:u w:val="single"/>
              </w:rPr>
              <w:t>, 王家坝以上北岸洪汝河平原比上年末增加0.0141亿m</w:t>
            </w:r>
            <w:r>
              <w:rPr>
                <w:rFonts w:hint="eastAsia"/>
                <w:b/>
                <w:bCs/>
                <w:u w:val="single"/>
                <w:vertAlign w:val="superscript"/>
              </w:rPr>
              <w:t>3</w:t>
            </w:r>
            <w:r>
              <w:rPr>
                <w:rFonts w:hint="eastAsia"/>
                <w:b/>
                <w:bCs/>
                <w:u w:val="single"/>
              </w:rPr>
              <w:t>。</w:t>
            </w:r>
            <w:r>
              <w:rPr>
                <w:b/>
                <w:bCs/>
                <w:u w:val="single"/>
              </w:rPr>
              <w:t>与</w:t>
            </w:r>
            <w:r>
              <w:rPr>
                <w:rFonts w:hint="eastAsia"/>
                <w:b/>
                <w:bCs/>
                <w:u w:val="single"/>
              </w:rPr>
              <w:t>2005</w:t>
            </w:r>
            <w:r>
              <w:rPr>
                <w:b/>
                <w:bCs/>
                <w:u w:val="single"/>
              </w:rPr>
              <w:t>年</w:t>
            </w:r>
            <w:r>
              <w:rPr>
                <w:rFonts w:hint="eastAsia"/>
                <w:b/>
                <w:bCs/>
                <w:u w:val="single"/>
              </w:rPr>
              <w:t>末</w:t>
            </w:r>
            <w:r>
              <w:rPr>
                <w:b/>
                <w:bCs/>
                <w:u w:val="single"/>
              </w:rPr>
              <w:t>相比，全市浅层地下水储存量累计减少</w:t>
            </w:r>
            <w:r>
              <w:rPr>
                <w:rFonts w:hint="eastAsia"/>
                <w:b/>
                <w:bCs/>
                <w:u w:val="single"/>
              </w:rPr>
              <w:t>1.7607</w:t>
            </w:r>
            <w:r>
              <w:rPr>
                <w:b/>
                <w:bCs/>
                <w:u w:val="single"/>
              </w:rPr>
              <w:t>亿m</w:t>
            </w:r>
            <w:r>
              <w:rPr>
                <w:b/>
                <w:bCs/>
                <w:u w:val="single"/>
                <w:vertAlign w:val="superscript"/>
              </w:rPr>
              <w:t>3</w:t>
            </w:r>
            <w:r>
              <w:rPr>
                <w:b/>
                <w:bCs/>
                <w:u w:val="single"/>
              </w:rPr>
              <w:t>，其中：</w:t>
            </w:r>
            <w:r>
              <w:rPr>
                <w:rFonts w:hint="eastAsia"/>
                <w:b/>
                <w:bCs/>
                <w:u w:val="single"/>
              </w:rPr>
              <w:t>王家坝以上北岸洪汝河平原</w:t>
            </w:r>
            <w:r>
              <w:rPr>
                <w:b/>
                <w:bCs/>
                <w:u w:val="single"/>
              </w:rPr>
              <w:t>累计减少</w:t>
            </w:r>
            <w:r>
              <w:rPr>
                <w:rFonts w:hint="eastAsia"/>
                <w:b/>
                <w:bCs/>
                <w:u w:val="single"/>
              </w:rPr>
              <w:t>0.2840</w:t>
            </w:r>
            <w:r>
              <w:rPr>
                <w:b/>
                <w:bCs/>
                <w:u w:val="single"/>
              </w:rPr>
              <w:t>亿m3，</w:t>
            </w:r>
            <w:r>
              <w:rPr>
                <w:rFonts w:hint="eastAsia"/>
                <w:b/>
                <w:bCs/>
                <w:u w:val="single"/>
              </w:rPr>
              <w:t>王蚌区间北岸沙颖河平原区</w:t>
            </w:r>
            <w:r>
              <w:rPr>
                <w:b/>
                <w:bCs/>
                <w:u w:val="single"/>
              </w:rPr>
              <w:t>累计减少</w:t>
            </w:r>
            <w:r>
              <w:rPr>
                <w:rFonts w:hint="eastAsia"/>
                <w:b/>
                <w:bCs/>
                <w:u w:val="single"/>
              </w:rPr>
              <w:t>1.4767</w:t>
            </w:r>
            <w:r>
              <w:rPr>
                <w:b/>
                <w:bCs/>
                <w:u w:val="single"/>
              </w:rPr>
              <w:t>亿m</w:t>
            </w:r>
            <w:r>
              <w:rPr>
                <w:b/>
                <w:bCs/>
                <w:u w:val="single"/>
                <w:vertAlign w:val="superscript"/>
              </w:rPr>
              <w:t>3</w:t>
            </w:r>
            <w:r>
              <w:rPr>
                <w:rFonts w:hint="eastAsia"/>
                <w:b/>
                <w:bCs/>
                <w:u w:val="single"/>
                <w:lang w:eastAsia="zh-CN"/>
              </w:rPr>
              <w:t>。</w:t>
            </w:r>
          </w:p>
          <w:p>
            <w:pPr>
              <w:pStyle w:val="13"/>
              <w:rPr>
                <w:rFonts w:hint="eastAsia"/>
                <w:lang w:eastAsia="zh-CN"/>
              </w:rPr>
            </w:pPr>
            <w:r>
              <w:rPr>
                <w:rFonts w:hint="eastAsia"/>
                <w:b/>
                <w:bCs/>
                <w:u w:val="single"/>
                <w:lang w:eastAsia="zh-CN"/>
              </w:rPr>
              <w:t>因此</w:t>
            </w:r>
            <w:r>
              <w:rPr>
                <w:rFonts w:hint="eastAsia" w:ascii="Times New Roman" w:hAnsi="Times New Roman"/>
                <w:b/>
                <w:bCs/>
                <w:u w:val="single"/>
                <w:lang w:eastAsia="zh-CN"/>
              </w:rPr>
              <w:t>评价期内可不再开展现状地下水位监测。</w:t>
            </w:r>
          </w:p>
          <w:p>
            <w:pPr>
              <w:adjustRightInd w:val="0"/>
              <w:snapToGrid w:val="0"/>
              <w:spacing w:line="360" w:lineRule="auto"/>
            </w:pPr>
            <w:r>
              <w:rPr>
                <w:rFonts w:hint="eastAsia"/>
                <w:b/>
                <w:bCs/>
                <w:lang w:eastAsia="zh-CN"/>
              </w:rPr>
              <w:t>（</w:t>
            </w:r>
            <w:r>
              <w:rPr>
                <w:rFonts w:hint="eastAsia"/>
                <w:b/>
                <w:bCs/>
                <w:lang w:val="en-US" w:eastAsia="zh-CN"/>
              </w:rPr>
              <w:t>11</w:t>
            </w:r>
            <w:r>
              <w:rPr>
                <w:rFonts w:hint="eastAsia"/>
                <w:b/>
                <w:bCs/>
                <w:lang w:eastAsia="zh-CN"/>
              </w:rPr>
              <w:t>）</w:t>
            </w:r>
            <w:r>
              <w:rPr>
                <w:b/>
                <w:bCs/>
              </w:rPr>
              <w:t>地下水日常监测</w:t>
            </w:r>
          </w:p>
          <w:p>
            <w:pPr>
              <w:adjustRightInd w:val="0"/>
              <w:snapToGrid w:val="0"/>
              <w:spacing w:line="360" w:lineRule="auto"/>
              <w:ind w:firstLine="480" w:firstLineChars="200"/>
            </w:pPr>
            <w:r>
              <w:t>根据《加油站地下水污染防治技术指南（试行）》，企业地下水日常监测应做到：</w:t>
            </w:r>
          </w:p>
          <w:p>
            <w:pPr>
              <w:adjustRightInd w:val="0"/>
              <w:snapToGrid w:val="0"/>
              <w:spacing w:line="360" w:lineRule="auto"/>
              <w:ind w:firstLine="482" w:firstLineChars="200"/>
            </w:pPr>
            <w:r>
              <w:rPr>
                <w:b/>
                <w:bCs/>
                <w:u w:val="single"/>
              </w:rPr>
              <w:t>（1）在加油站内设置</w:t>
            </w:r>
            <w:r>
              <w:rPr>
                <w:rFonts w:hint="eastAsia"/>
                <w:b/>
                <w:bCs/>
                <w:u w:val="single"/>
                <w:lang w:val="en-US" w:eastAsia="zh-CN"/>
              </w:rPr>
              <w:t>3</w:t>
            </w:r>
            <w:r>
              <w:rPr>
                <w:b/>
                <w:bCs/>
                <w:u w:val="single"/>
              </w:rPr>
              <w:t>个地下水监测井。</w:t>
            </w:r>
            <w:r>
              <w:rPr>
                <w:rFonts w:hint="eastAsia"/>
                <w:b/>
                <w:bCs/>
                <w:u w:val="single"/>
                <w:lang w:eastAsia="zh-CN"/>
              </w:rPr>
              <w:t>应至少在建设项场地</w:t>
            </w:r>
            <w:r>
              <w:rPr>
                <w:b/>
                <w:bCs/>
                <w:u w:val="single"/>
              </w:rPr>
              <w:t>地下水流向的</w:t>
            </w:r>
            <w:r>
              <w:rPr>
                <w:rFonts w:hint="eastAsia"/>
                <w:b/>
                <w:bCs/>
                <w:u w:val="single"/>
                <w:lang w:eastAsia="zh-CN"/>
              </w:rPr>
              <w:t>上、</w:t>
            </w:r>
            <w:r>
              <w:rPr>
                <w:b/>
                <w:bCs/>
                <w:u w:val="single"/>
              </w:rPr>
              <w:t>下游</w:t>
            </w:r>
            <w:r>
              <w:rPr>
                <w:rFonts w:hint="eastAsia"/>
                <w:b/>
                <w:bCs/>
                <w:u w:val="single"/>
                <w:lang w:eastAsia="zh-CN"/>
              </w:rPr>
              <w:t>各布设一个</w:t>
            </w:r>
            <w:r>
              <w:rPr>
                <w:b/>
                <w:bCs/>
                <w:u w:val="single"/>
              </w:rPr>
              <w:t>，在保证安全的情况下，尽可能靠近埋地油罐。</w:t>
            </w:r>
          </w:p>
          <w:p>
            <w:pPr>
              <w:adjustRightInd w:val="0"/>
              <w:snapToGrid w:val="0"/>
              <w:spacing w:line="360" w:lineRule="auto"/>
              <w:ind w:firstLine="480" w:firstLineChars="200"/>
            </w:pPr>
            <w:r>
              <w:t>（2）地下水监测井结构采用一孔成井工艺。设计需结合当地水文地质条件，并充分考虑区域10年内地下水位变幅，滤水管长度和设置位置应覆盖水位变幅。</w:t>
            </w:r>
          </w:p>
          <w:p>
            <w:pPr>
              <w:adjustRightInd w:val="0"/>
              <w:snapToGrid w:val="0"/>
              <w:spacing w:line="360" w:lineRule="auto"/>
              <w:ind w:firstLine="480" w:firstLineChars="200"/>
            </w:pPr>
            <w:r>
              <w:t>（3）地下水监测指标及频率</w:t>
            </w:r>
          </w:p>
          <w:p>
            <w:pPr>
              <w:adjustRightInd w:val="0"/>
              <w:snapToGrid w:val="0"/>
              <w:spacing w:line="360" w:lineRule="auto"/>
              <w:ind w:firstLine="480" w:firstLineChars="200"/>
            </w:pPr>
            <w:r>
              <w:t>1）定性监测。可通过肉眼观察、使用测油膏、便携</w:t>
            </w:r>
            <w:r>
              <w:rPr>
                <w:rFonts w:hint="eastAsia"/>
                <w:lang w:val="en-US" w:eastAsia="zh-CN"/>
              </w:rPr>
              <w:t>-</w:t>
            </w:r>
            <w:r>
              <w:t>式气体监测仪等其他快速方法判定地下水监测井中是否存在油品污染，定性监测每周一次。</w:t>
            </w:r>
          </w:p>
          <w:p>
            <w:pPr>
              <w:adjustRightInd w:val="0"/>
              <w:snapToGrid w:val="0"/>
              <w:spacing w:line="360" w:lineRule="auto"/>
              <w:ind w:firstLine="480" w:firstLineChars="200"/>
            </w:pPr>
            <w:r>
              <w:t>2）定量监测。若定性监测发现地下水存在油品污染，立即启动定量监测；若定性监测未发现问题，则每季度监测1次，具体监测指标见表</w:t>
            </w:r>
            <w:r>
              <w:rPr>
                <w:rFonts w:hint="eastAsia"/>
                <w:lang w:val="en-US" w:eastAsia="zh-CN"/>
              </w:rPr>
              <w:t>37</w:t>
            </w:r>
            <w:r>
              <w:t>。</w:t>
            </w:r>
          </w:p>
          <w:p>
            <w:pPr>
              <w:bidi w:val="0"/>
              <w:jc w:val="center"/>
              <w:rPr>
                <w:b/>
                <w:bCs/>
              </w:rPr>
            </w:pPr>
            <w:r>
              <w:rPr>
                <w:b/>
                <w:bCs/>
              </w:rPr>
              <w:t xml:space="preserve">表 </w:t>
            </w:r>
            <w:r>
              <w:rPr>
                <w:rFonts w:hint="eastAsia"/>
                <w:b/>
                <w:bCs/>
                <w:lang w:val="en-US" w:eastAsia="zh-CN"/>
              </w:rPr>
              <w:t>37</w:t>
            </w:r>
            <w:r>
              <w:rPr>
                <w:b/>
                <w:bCs/>
              </w:rPr>
              <w:t xml:space="preserve">    本项目地下水监测项目表</w:t>
            </w:r>
          </w:p>
          <w:tbl>
            <w:tblPr>
              <w:tblStyle w:val="22"/>
              <w:tblW w:w="0" w:type="auto"/>
              <w:jc w:val="center"/>
              <w:tblLayout w:type="autofit"/>
              <w:tblCellMar>
                <w:top w:w="0" w:type="dxa"/>
                <w:left w:w="108" w:type="dxa"/>
                <w:bottom w:w="0" w:type="dxa"/>
                <w:right w:w="108" w:type="dxa"/>
              </w:tblCellMar>
            </w:tblPr>
            <w:tblGrid>
              <w:gridCol w:w="639"/>
              <w:gridCol w:w="1396"/>
              <w:gridCol w:w="3960"/>
              <w:gridCol w:w="2311"/>
            </w:tblGrid>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序号</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指标类型</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指标名称</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指标数量</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1</w:t>
                  </w:r>
                </w:p>
              </w:tc>
              <w:tc>
                <w:tcPr>
                  <w:tcW w:w="1497" w:type="dxa"/>
                  <w:vMerge w:val="restar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挥发性有机物</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萘</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2</w:t>
                  </w:r>
                </w:p>
              </w:tc>
              <w:tc>
                <w:tcPr>
                  <w:tcW w:w="1497" w:type="dxa"/>
                  <w:vMerge w:val="continue"/>
                  <w:tcBorders>
                    <w:left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苯、甲苯、乙苯、邻二甲苯、间（对）二甲苯</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5</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3</w:t>
                  </w:r>
                </w:p>
              </w:tc>
              <w:tc>
                <w:tcPr>
                  <w:tcW w:w="1497" w:type="dxa"/>
                  <w:vMerge w:val="continue"/>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甲基叔丁基醚</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rFonts w:hint="eastAsia"/>
                      <w:lang w:val="en-US" w:eastAsia="zh-CN"/>
                    </w:rPr>
                    <w:t>4</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rFonts w:hint="eastAsia"/>
                      <w:lang w:val="en-US" w:eastAsia="zh-CN"/>
                    </w:rPr>
                    <w:t>石油类</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rFonts w:hint="eastAsia"/>
                      <w:lang w:val="en-US" w:eastAsia="zh-CN"/>
                    </w:rPr>
                    <w:t>石油烃</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11"/>
                    <w:bidi w:val="0"/>
                    <w:jc w:val="center"/>
                    <w:rPr>
                      <w:lang w:val="en-US" w:eastAsia="zh-CN"/>
                    </w:rPr>
                  </w:pPr>
                  <w:r>
                    <w:rPr>
                      <w:rFonts w:hint="eastAsia"/>
                      <w:lang w:val="en-US" w:eastAsia="zh-CN"/>
                    </w:rPr>
                    <w:t>1</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b/>
                <w:bCs/>
                <w:lang w:eastAsia="zh-CN"/>
              </w:rPr>
              <w:t>（</w:t>
            </w:r>
            <w:r>
              <w:rPr>
                <w:rFonts w:hint="eastAsia"/>
                <w:b/>
                <w:bCs/>
                <w:lang w:val="en-US" w:eastAsia="zh-CN"/>
              </w:rPr>
              <w:t>12</w:t>
            </w:r>
            <w:r>
              <w:rPr>
                <w:rFonts w:hint="eastAsia"/>
                <w:b/>
                <w:bCs/>
                <w:lang w:eastAsia="zh-CN"/>
              </w:rPr>
              <w:t>）</w:t>
            </w:r>
            <w:r>
              <w:rPr>
                <w:b/>
                <w:bCs/>
              </w:rPr>
              <w:t>应急响应</w:t>
            </w:r>
          </w:p>
          <w:p>
            <w:pPr>
              <w:adjustRightInd w:val="0"/>
              <w:snapToGrid w:val="0"/>
              <w:spacing w:line="360" w:lineRule="auto"/>
              <w:ind w:firstLine="480" w:firstLineChars="200"/>
            </w:pPr>
            <w:r>
              <w:t>若发现油品泄漏，需启动环境预警和开展应急响应。应急响应措施主要有泄漏加油站停运、油品阻隔和泄漏油品回收。在1天内向环境保护主管部门报告，在5个工作日内提供泄漏加油站的初始环境报告，包括责任人的名称和电话号码，泄漏物的类型、体积和地下水污染物浓度，采取应急响应措施。</w:t>
            </w:r>
          </w:p>
          <w:p>
            <w:pPr>
              <w:adjustRightInd w:val="0"/>
              <w:snapToGrid w:val="0"/>
              <w:spacing w:line="360" w:lineRule="auto"/>
            </w:pPr>
            <w:r>
              <w:rPr>
                <w:rFonts w:hint="eastAsia"/>
                <w:b/>
                <w:bCs/>
                <w:lang w:eastAsia="zh-CN"/>
              </w:rPr>
              <w:t>（</w:t>
            </w:r>
            <w:r>
              <w:rPr>
                <w:rFonts w:hint="eastAsia"/>
                <w:b/>
                <w:bCs/>
                <w:lang w:val="en-US" w:eastAsia="zh-CN"/>
              </w:rPr>
              <w:t>13</w:t>
            </w:r>
            <w:r>
              <w:rPr>
                <w:rFonts w:hint="eastAsia"/>
                <w:b/>
                <w:bCs/>
                <w:lang w:eastAsia="zh-CN"/>
              </w:rPr>
              <w:t>）</w:t>
            </w:r>
            <w:r>
              <w:rPr>
                <w:b/>
                <w:bCs/>
              </w:rPr>
              <w:t>地下水影响评价结论</w:t>
            </w:r>
          </w:p>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由污染途径及对应措施分析可知，本项目对可能产生地下水影响的污染途径进行了有效预防，在确保各项防渗措施得以落实，并加强维护和站区环境管理的前提下，可有效控制站区内的废水下渗现象，避免污染地下水，因此项目营运期对区域地下水环境影响较小。</w:t>
            </w:r>
          </w:p>
          <w:p>
            <w:pPr>
              <w:adjustRightInd w:val="0"/>
              <w:snapToGrid w:val="0"/>
              <w:spacing w:line="500" w:lineRule="exact"/>
              <w:ind w:firstLine="0" w:firstLineChars="0"/>
            </w:pPr>
            <w:r>
              <w:rPr>
                <w:b/>
                <w:bCs/>
              </w:rPr>
              <w:t>2</w:t>
            </w:r>
            <w:r>
              <w:rPr>
                <w:rFonts w:hint="eastAsia"/>
                <w:b/>
                <w:bCs/>
              </w:rPr>
              <w:t>.3、</w:t>
            </w:r>
            <w:r>
              <w:rPr>
                <w:b/>
                <w:bCs/>
              </w:rPr>
              <w:t>声</w:t>
            </w:r>
            <w:r>
              <w:rPr>
                <w:rFonts w:hint="eastAsia"/>
                <w:b/>
                <w:bCs/>
              </w:rPr>
              <w:t>环境</w:t>
            </w:r>
            <w:r>
              <w:rPr>
                <w:b/>
                <w:bCs/>
              </w:rPr>
              <w:t>影响分析</w:t>
            </w:r>
          </w:p>
          <w:p>
            <w:pPr>
              <w:adjustRightInd w:val="0"/>
              <w:snapToGrid w:val="0"/>
              <w:spacing w:line="500" w:lineRule="exact"/>
              <w:ind w:firstLine="480" w:firstLineChars="200"/>
            </w:pPr>
            <w:r>
              <w:rPr>
                <w:rFonts w:hint="eastAsia"/>
              </w:rPr>
              <w:t>该</w:t>
            </w:r>
            <w:r>
              <w:t>项目噪声主要来自</w:t>
            </w:r>
            <w:r>
              <w:rPr>
                <w:rFonts w:hint="eastAsia"/>
              </w:rPr>
              <w:t>站区内的液压增压橇、加油机等设备运行</w:t>
            </w:r>
            <w:r>
              <w:t>时</w:t>
            </w:r>
            <w:r>
              <w:rPr>
                <w:rFonts w:hint="eastAsia"/>
              </w:rPr>
              <w:t>产生的噪声和车辆进出时的噪声。</w:t>
            </w:r>
          </w:p>
          <w:p>
            <w:pPr>
              <w:adjustRightInd w:val="0"/>
              <w:snapToGrid w:val="0"/>
              <w:spacing w:line="500" w:lineRule="exact"/>
              <w:ind w:firstLine="480" w:firstLineChars="200"/>
            </w:pPr>
            <w:r>
              <w:rPr>
                <w:rFonts w:hint="eastAsia"/>
              </w:rPr>
              <w:t>（1</w:t>
            </w:r>
            <w:r>
              <w:t>）</w:t>
            </w:r>
            <w:r>
              <w:rPr>
                <w:rFonts w:hint="eastAsia"/>
              </w:rPr>
              <w:t>设备</w:t>
            </w:r>
            <w:r>
              <w:t>噪声</w:t>
            </w:r>
          </w:p>
          <w:p>
            <w:pPr>
              <w:adjustRightInd w:val="0"/>
              <w:snapToGrid w:val="0"/>
              <w:spacing w:line="500" w:lineRule="exact"/>
              <w:ind w:firstLine="480" w:firstLineChars="200"/>
            </w:pPr>
            <w:r>
              <w:rPr>
                <w:rFonts w:hint="eastAsia"/>
              </w:rPr>
              <w:t>本项目营运</w:t>
            </w:r>
            <w:r>
              <w:t>期</w:t>
            </w:r>
            <w:r>
              <w:rPr>
                <w:rFonts w:hint="eastAsia"/>
              </w:rPr>
              <w:t>噪声源主要来自加油机等设备运行</w:t>
            </w:r>
            <w:r>
              <w:t>时</w:t>
            </w:r>
            <w:r>
              <w:rPr>
                <w:rFonts w:hint="eastAsia"/>
              </w:rPr>
              <w:t>产生的噪声，其噪声声级为6</w:t>
            </w:r>
            <w:r>
              <w:t>5dB</w:t>
            </w:r>
            <w:r>
              <w:rPr>
                <w:rFonts w:hint="eastAsia"/>
              </w:rPr>
              <w:t>（A），具体噪声</w:t>
            </w:r>
            <w:r>
              <w:t>源强</w:t>
            </w:r>
            <w:r>
              <w:rPr>
                <w:rFonts w:hint="eastAsia"/>
              </w:rPr>
              <w:t>见</w:t>
            </w:r>
            <w:r>
              <w:t>表</w:t>
            </w:r>
            <w:r>
              <w:rPr>
                <w:rFonts w:hint="eastAsia"/>
                <w:lang w:val="en-US" w:eastAsia="zh-CN"/>
              </w:rPr>
              <w:t>38</w:t>
            </w:r>
            <w:r>
              <w:rPr>
                <w:rFonts w:hint="eastAsia"/>
              </w:rPr>
              <w:t>。</w:t>
            </w:r>
          </w:p>
          <w:p>
            <w:pPr>
              <w:bidi w:val="0"/>
              <w:jc w:val="center"/>
              <w:rPr>
                <w:rFonts w:hint="eastAsia"/>
                <w:lang w:val="en-US" w:eastAsia="zh-CN"/>
              </w:rPr>
            </w:pPr>
            <w:r>
              <w:rPr>
                <w:rFonts w:hint="eastAsia"/>
                <w:b/>
                <w:bCs/>
                <w:lang w:val="en-US" w:eastAsia="zh-CN"/>
              </w:rPr>
              <w:t>表38   主要设备噪声源 单位：dB(A)</w:t>
            </w:r>
          </w:p>
          <w:tbl>
            <w:tblPr>
              <w:tblStyle w:val="22"/>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749"/>
              <w:gridCol w:w="1299"/>
              <w:gridCol w:w="1828"/>
              <w:gridCol w:w="1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8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rFonts w:hint="eastAsia"/>
                      <w:sz w:val="21"/>
                      <w:szCs w:val="21"/>
                    </w:rPr>
                    <w:t>工作区（间）</w:t>
                  </w:r>
                </w:p>
              </w:tc>
              <w:tc>
                <w:tcPr>
                  <w:tcW w:w="1749"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设备名称</w:t>
                  </w:r>
                </w:p>
              </w:tc>
              <w:tc>
                <w:tcPr>
                  <w:tcW w:w="1299"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数量</w:t>
                  </w:r>
                  <w:r>
                    <w:rPr>
                      <w:rFonts w:hint="eastAsia"/>
                      <w:sz w:val="21"/>
                      <w:szCs w:val="21"/>
                    </w:rPr>
                    <w:t>（台）</w:t>
                  </w:r>
                </w:p>
              </w:tc>
              <w:tc>
                <w:tcPr>
                  <w:tcW w:w="1828"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噪声治理措施</w:t>
                  </w:r>
                </w:p>
              </w:tc>
              <w:tc>
                <w:tcPr>
                  <w:tcW w:w="1764"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设备</w:t>
                  </w:r>
                  <w:r>
                    <w:rPr>
                      <w:sz w:val="21"/>
                      <w:szCs w:val="21"/>
                    </w:rPr>
                    <w:t>所在区域</w:t>
                  </w:r>
                  <w:r>
                    <w:rPr>
                      <w:rFonts w:hint="eastAsia"/>
                      <w:sz w:val="21"/>
                      <w:szCs w:val="21"/>
                    </w:rPr>
                    <w:t>外1m处噪声源强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80" w:type="dxa"/>
                  <w:tcBorders>
                    <w:left w:val="single" w:color="auto" w:sz="4" w:space="0"/>
                    <w:bottom w:val="single" w:color="auto" w:sz="8" w:space="0"/>
                  </w:tcBorders>
                  <w:shd w:val="clear" w:color="auto" w:fill="auto"/>
                  <w:vAlign w:val="center"/>
                </w:tcPr>
                <w:p>
                  <w:pPr>
                    <w:adjustRightInd w:val="0"/>
                    <w:spacing w:line="240" w:lineRule="auto"/>
                    <w:ind w:firstLine="0" w:firstLineChars="0"/>
                    <w:jc w:val="center"/>
                    <w:rPr>
                      <w:sz w:val="21"/>
                      <w:szCs w:val="21"/>
                    </w:rPr>
                  </w:pPr>
                  <w:r>
                    <w:rPr>
                      <w:rFonts w:hint="eastAsia"/>
                      <w:sz w:val="21"/>
                      <w:szCs w:val="21"/>
                    </w:rPr>
                    <w:t>罩棚</w:t>
                  </w:r>
                </w:p>
              </w:tc>
              <w:tc>
                <w:tcPr>
                  <w:tcW w:w="1749"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加油机</w:t>
                  </w:r>
                </w:p>
              </w:tc>
              <w:tc>
                <w:tcPr>
                  <w:tcW w:w="1299" w:type="dxa"/>
                  <w:tcBorders>
                    <w:bottom w:val="single" w:color="auto" w:sz="8" w:space="0"/>
                  </w:tcBorders>
                  <w:vAlign w:val="center"/>
                </w:tcPr>
                <w:p>
                  <w:pPr>
                    <w:adjustRightInd w:val="0"/>
                    <w:snapToGrid w:val="0"/>
                    <w:spacing w:line="240" w:lineRule="auto"/>
                    <w:ind w:firstLine="0" w:firstLineChars="0"/>
                    <w:jc w:val="center"/>
                    <w:rPr>
                      <w:rFonts w:hint="default"/>
                      <w:sz w:val="21"/>
                      <w:szCs w:val="21"/>
                      <w:lang w:val="en-US" w:eastAsia="zh-CN"/>
                    </w:rPr>
                  </w:pPr>
                  <w:r>
                    <w:rPr>
                      <w:rFonts w:hint="eastAsia"/>
                      <w:sz w:val="21"/>
                      <w:szCs w:val="21"/>
                      <w:lang w:val="en-US" w:eastAsia="zh-CN"/>
                    </w:rPr>
                    <w:t>6</w:t>
                  </w:r>
                </w:p>
              </w:tc>
              <w:tc>
                <w:tcPr>
                  <w:tcW w:w="1828"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选用</w:t>
                  </w:r>
                  <w:r>
                    <w:rPr>
                      <w:sz w:val="21"/>
                      <w:szCs w:val="21"/>
                    </w:rPr>
                    <w:t>低噪设备</w:t>
                  </w:r>
                </w:p>
              </w:tc>
              <w:tc>
                <w:tcPr>
                  <w:tcW w:w="1764" w:type="dxa"/>
                  <w:tcBorders>
                    <w:bottom w:val="single" w:color="auto" w:sz="8" w:space="0"/>
                    <w:right w:val="single" w:color="auto" w:sz="8" w:space="0"/>
                  </w:tcBorders>
                  <w:shd w:val="clear" w:color="auto" w:fill="auto"/>
                  <w:vAlign w:val="center"/>
                </w:tcPr>
                <w:p>
                  <w:pPr>
                    <w:adjustRightInd w:val="0"/>
                    <w:snapToGrid w:val="0"/>
                    <w:spacing w:line="240" w:lineRule="auto"/>
                    <w:ind w:firstLine="0" w:firstLineChars="0"/>
                    <w:jc w:val="center"/>
                    <w:rPr>
                      <w:sz w:val="21"/>
                      <w:szCs w:val="21"/>
                    </w:rPr>
                  </w:pPr>
                  <w:r>
                    <w:rPr>
                      <w:rFonts w:hint="eastAsia"/>
                      <w:sz w:val="21"/>
                      <w:szCs w:val="21"/>
                    </w:rPr>
                    <w:t>6</w:t>
                  </w:r>
                  <w:r>
                    <w:rPr>
                      <w:sz w:val="21"/>
                      <w:szCs w:val="21"/>
                    </w:rPr>
                    <w:t>5</w:t>
                  </w:r>
                </w:p>
              </w:tc>
            </w:tr>
          </w:tbl>
          <w:p>
            <w:pPr>
              <w:adjustRightInd w:val="0"/>
              <w:snapToGrid w:val="0"/>
              <w:spacing w:line="500" w:lineRule="exact"/>
              <w:ind w:firstLine="480" w:firstLineChars="200"/>
            </w:pPr>
            <w:r>
              <w:rPr>
                <w:rFonts w:hint="eastAsia"/>
              </w:rPr>
              <w:t>为说明项目运营过程中噪声对周围环境的影响程度，</w:t>
            </w:r>
            <w:r>
              <w:t>根据《环境影响评价技术导则</w:t>
            </w:r>
            <w:r>
              <w:rPr>
                <w:rFonts w:hint="eastAsia"/>
              </w:rPr>
              <w:t xml:space="preserve"> </w:t>
            </w:r>
            <w:r>
              <w:t>声环境》（HJ2.4-2009）的技术要求，本次评价采取导则上</w:t>
            </w:r>
            <w:r>
              <w:rPr>
                <w:rFonts w:hint="eastAsia"/>
              </w:rPr>
              <w:t>的</w:t>
            </w:r>
            <w:r>
              <w:t>推荐模式</w:t>
            </w:r>
            <w:r>
              <w:rPr>
                <w:rFonts w:hint="eastAsia"/>
              </w:rPr>
              <w:t>进行预测</w:t>
            </w:r>
            <w:r>
              <w:t>。</w:t>
            </w:r>
          </w:p>
          <w:p>
            <w:pPr>
              <w:adjustRightInd w:val="0"/>
              <w:snapToGrid w:val="0"/>
              <w:spacing w:line="500" w:lineRule="exact"/>
              <w:ind w:firstLine="480" w:firstLineChars="200"/>
              <w:rPr>
                <w:lang w:val="zh-CN"/>
              </w:rPr>
            </w:pPr>
            <w:r>
              <w:rPr>
                <w:rFonts w:hint="eastAsia"/>
                <w:lang w:val="zh-CN"/>
              </w:rPr>
              <w:t>（1）声级计算</w:t>
            </w:r>
          </w:p>
          <w:p>
            <w:pPr>
              <w:adjustRightInd w:val="0"/>
              <w:snapToGrid w:val="0"/>
              <w:spacing w:line="500" w:lineRule="exact"/>
              <w:ind w:firstLine="480" w:firstLineChars="200"/>
            </w:pPr>
            <w:r>
              <w:rPr>
                <w:lang w:val="zh-CN"/>
              </w:rPr>
              <w:t>建设</w:t>
            </w:r>
            <w:r>
              <w:t>项目声源在预测点产生的等效声级贡献值(Leq g)计算公式：</w:t>
            </w:r>
          </w:p>
          <w:p>
            <w:pPr>
              <w:adjustRightInd w:val="0"/>
              <w:snapToGrid w:val="0"/>
              <w:spacing w:line="240" w:lineRule="auto"/>
              <w:ind w:firstLine="0" w:firstLineChars="0"/>
              <w:jc w:val="center"/>
            </w:pPr>
            <w:r>
              <w:drawing>
                <wp:inline distT="0" distB="0" distL="0" distR="0">
                  <wp:extent cx="1666875" cy="4572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666875" cy="457200"/>
                          </a:xfrm>
                          <a:prstGeom prst="rect">
                            <a:avLst/>
                          </a:prstGeom>
                          <a:noFill/>
                          <a:ln>
                            <a:noFill/>
                          </a:ln>
                        </pic:spPr>
                      </pic:pic>
                    </a:graphicData>
                  </a:graphic>
                </wp:inline>
              </w:drawing>
            </w:r>
          </w:p>
          <w:p>
            <w:pPr>
              <w:adjustRightInd w:val="0"/>
              <w:snapToGrid w:val="0"/>
              <w:spacing w:line="500" w:lineRule="exact"/>
              <w:ind w:firstLine="480" w:firstLineChars="200"/>
            </w:pPr>
            <w:r>
              <w:t>式中：</w:t>
            </w:r>
          </w:p>
          <w:p>
            <w:pPr>
              <w:adjustRightInd w:val="0"/>
              <w:snapToGrid w:val="0"/>
              <w:spacing w:line="500" w:lineRule="exact"/>
              <w:ind w:firstLine="480" w:firstLineChars="200"/>
            </w:pPr>
            <w:r>
              <w:t>Leqg—建设项目声源在预测点的等效声级贡献值，dB(A)；</w:t>
            </w:r>
          </w:p>
          <w:p>
            <w:pPr>
              <w:adjustRightInd w:val="0"/>
              <w:snapToGrid w:val="0"/>
              <w:spacing w:line="500" w:lineRule="exact"/>
              <w:ind w:firstLine="480" w:firstLineChars="200"/>
            </w:pPr>
            <w:r>
              <w:t>LAi — i声源在预测点产生的A声级，dB(A)；</w:t>
            </w:r>
          </w:p>
          <w:p>
            <w:pPr>
              <w:adjustRightInd w:val="0"/>
              <w:snapToGrid w:val="0"/>
              <w:spacing w:line="500" w:lineRule="exact"/>
              <w:ind w:firstLine="480" w:firstLineChars="200"/>
            </w:pPr>
            <w:r>
              <w:t>T</w:t>
            </w:r>
            <w:r>
              <w:rPr>
                <w:rFonts w:hint="eastAsia"/>
              </w:rPr>
              <w:t xml:space="preserve">  </w:t>
            </w:r>
            <w:r>
              <w:t>—预测计算的时间段，s；</w:t>
            </w:r>
          </w:p>
          <w:p>
            <w:pPr>
              <w:adjustRightInd w:val="0"/>
              <w:snapToGrid w:val="0"/>
              <w:spacing w:line="500" w:lineRule="exact"/>
              <w:ind w:firstLine="480" w:firstLineChars="200"/>
              <w:rPr>
                <w:rFonts w:hint="eastAsia"/>
                <w:lang w:val="zh-CN"/>
              </w:rPr>
            </w:pPr>
            <w:r>
              <w:t xml:space="preserve">ti  — </w:t>
            </w:r>
            <w:r>
              <w:rPr>
                <w:rFonts w:hint="eastAsia"/>
              </w:rPr>
              <w:t>i</w:t>
            </w:r>
            <w:r>
              <w:t>声源在T时段内的运行时间，s。</w:t>
            </w:r>
          </w:p>
          <w:p>
            <w:pPr>
              <w:adjustRightInd w:val="0"/>
              <w:snapToGrid w:val="0"/>
              <w:spacing w:line="500" w:lineRule="exact"/>
              <w:ind w:firstLine="480" w:firstLineChars="200"/>
              <w:rPr>
                <w:lang w:val="zh-CN"/>
              </w:rPr>
            </w:pPr>
            <w:r>
              <w:rPr>
                <w:rFonts w:hint="eastAsia"/>
                <w:lang w:val="zh-CN"/>
              </w:rPr>
              <w:t>（2）衰减计算</w:t>
            </w:r>
          </w:p>
          <w:p>
            <w:pPr>
              <w:adjustRightInd w:val="0"/>
              <w:snapToGrid w:val="0"/>
              <w:spacing w:line="500" w:lineRule="exact"/>
              <w:ind w:firstLine="480" w:firstLineChars="200"/>
              <w:rPr>
                <w:lang w:val="zh-CN"/>
              </w:rPr>
            </w:pPr>
            <w:r>
              <w:rPr>
                <w:rFonts w:hint="eastAsia"/>
                <w:lang w:val="zh-CN"/>
              </w:rPr>
              <w:t>无指向性点声源几何发散</w:t>
            </w:r>
            <w:r>
              <w:rPr>
                <w:lang w:val="zh-CN"/>
              </w:rPr>
              <w:t>衰减</w:t>
            </w:r>
            <w:r>
              <w:rPr>
                <w:rFonts w:hint="eastAsia"/>
                <w:lang w:val="zh-CN"/>
              </w:rPr>
              <w:t>基本公式</w:t>
            </w:r>
            <w:r>
              <w:rPr>
                <w:lang w:val="zh-CN"/>
              </w:rPr>
              <w:t>：</w:t>
            </w:r>
          </w:p>
          <w:p>
            <w:pPr>
              <w:adjustRightInd w:val="0"/>
              <w:snapToGrid w:val="0"/>
              <w:spacing w:line="240" w:lineRule="auto"/>
              <w:ind w:firstLine="0" w:firstLineChars="0"/>
              <w:jc w:val="center"/>
            </w:pPr>
            <w:r>
              <w:drawing>
                <wp:inline distT="0" distB="0" distL="0" distR="0">
                  <wp:extent cx="1552575" cy="2381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552575" cy="238125"/>
                          </a:xfrm>
                          <a:prstGeom prst="rect">
                            <a:avLst/>
                          </a:prstGeom>
                          <a:noFill/>
                          <a:ln>
                            <a:noFill/>
                          </a:ln>
                        </pic:spPr>
                      </pic:pic>
                    </a:graphicData>
                  </a:graphic>
                </wp:inline>
              </w:drawing>
            </w:r>
          </w:p>
          <w:p>
            <w:pPr>
              <w:spacing w:line="360" w:lineRule="auto"/>
              <w:ind w:firstLine="480" w:firstLineChars="0"/>
            </w:pPr>
            <w:r>
              <w:rPr>
                <w:lang w:val="zh-CN"/>
              </w:rPr>
              <w:t>式中</w:t>
            </w:r>
            <w:r>
              <w:t>：</w:t>
            </w:r>
          </w:p>
          <w:p>
            <w:pPr>
              <w:spacing w:line="360" w:lineRule="auto"/>
              <w:ind w:firstLine="480" w:firstLineChars="0"/>
            </w:pPr>
            <w:r>
              <w:t>LA(r)</w:t>
            </w:r>
            <w:r>
              <w:rPr>
                <w:rFonts w:hint="eastAsia"/>
              </w:rPr>
              <w:t xml:space="preserve">  </w:t>
            </w:r>
            <w:r>
              <w:t>—</w:t>
            </w:r>
            <w:r>
              <w:rPr>
                <w:lang w:val="zh-CN"/>
              </w:rPr>
              <w:t>距离声源</w:t>
            </w:r>
            <w:r>
              <w:t>r</w:t>
            </w:r>
            <w:r>
              <w:rPr>
                <w:lang w:val="zh-CN"/>
              </w:rPr>
              <w:t>米处噪声预测值</w:t>
            </w:r>
            <w:r>
              <w:rPr>
                <w:rFonts w:hint="eastAsia"/>
              </w:rPr>
              <w:t>，</w:t>
            </w:r>
            <w:r>
              <w:t>[dB(A)]；</w:t>
            </w:r>
          </w:p>
          <w:p>
            <w:pPr>
              <w:spacing w:line="360" w:lineRule="auto"/>
              <w:ind w:firstLine="480" w:firstLineChars="0"/>
            </w:pPr>
            <w:r>
              <w:t>LA(r0)</w:t>
            </w:r>
            <w:r>
              <w:rPr>
                <w:rFonts w:hint="eastAsia"/>
              </w:rPr>
              <w:t xml:space="preserve"> </w:t>
            </w:r>
            <w:r>
              <w:t>—</w:t>
            </w:r>
            <w:r>
              <w:rPr>
                <w:lang w:val="zh-CN"/>
              </w:rPr>
              <w:t>距离声源</w:t>
            </w:r>
            <w:r>
              <w:t>r0</w:t>
            </w:r>
            <w:r>
              <w:rPr>
                <w:lang w:val="zh-CN"/>
              </w:rPr>
              <w:t>米处噪声预测值</w:t>
            </w:r>
            <w:r>
              <w:rPr>
                <w:rFonts w:hint="eastAsia"/>
              </w:rPr>
              <w:t>，</w:t>
            </w:r>
            <w:r>
              <w:t>[dB(A)]；</w:t>
            </w:r>
          </w:p>
          <w:p>
            <w:pPr>
              <w:spacing w:line="360" w:lineRule="auto"/>
              <w:ind w:firstLine="480" w:firstLineChars="0"/>
            </w:pPr>
            <w:r>
              <w:t>r0</w:t>
            </w:r>
            <w:r>
              <w:rPr>
                <w:rFonts w:hint="eastAsia"/>
              </w:rPr>
              <w:t xml:space="preserve">     </w:t>
            </w:r>
            <w:r>
              <w:t>—</w:t>
            </w:r>
            <w:r>
              <w:rPr>
                <w:lang w:val="zh-CN"/>
              </w:rPr>
              <w:t>参照点到声源的距离，（</w:t>
            </w:r>
            <w:r>
              <w:t>m）；</w:t>
            </w:r>
          </w:p>
          <w:p>
            <w:pPr>
              <w:spacing w:line="360" w:lineRule="auto"/>
              <w:ind w:firstLine="480" w:firstLineChars="0"/>
            </w:pPr>
            <w:r>
              <w:t>r</w:t>
            </w:r>
            <w:r>
              <w:rPr>
                <w:rFonts w:hint="eastAsia"/>
              </w:rPr>
              <w:t xml:space="preserve">      </w:t>
            </w:r>
            <w:r>
              <w:rPr>
                <w:lang w:val="zh-CN"/>
              </w:rPr>
              <w:t>—预测点到声源的距离</w:t>
            </w:r>
            <w:r>
              <w:rPr>
                <w:rFonts w:hint="eastAsia"/>
                <w:lang w:val="zh-CN"/>
              </w:rPr>
              <w:t>，</w:t>
            </w:r>
            <w:r>
              <w:rPr>
                <w:lang w:val="zh-CN"/>
              </w:rPr>
              <w:t>（m）</w:t>
            </w:r>
            <w:r>
              <w:rPr>
                <w:rFonts w:hint="eastAsia"/>
                <w:lang w:val="zh-CN"/>
              </w:rPr>
              <w:t>。</w:t>
            </w:r>
          </w:p>
          <w:p>
            <w:pPr>
              <w:adjustRightInd w:val="0"/>
              <w:snapToGrid w:val="0"/>
              <w:spacing w:line="500" w:lineRule="exact"/>
              <w:ind w:firstLine="480" w:firstLineChars="200"/>
            </w:pPr>
            <w:r>
              <w:rPr>
                <w:rFonts w:hint="eastAsia"/>
              </w:rPr>
              <w:t>各噪声源</w:t>
            </w:r>
            <w:r>
              <w:t>经过</w:t>
            </w:r>
            <w:r>
              <w:rPr>
                <w:rFonts w:hint="eastAsia"/>
              </w:rPr>
              <w:t>距离衰减后，根据项目平面布置，对项目厂界噪声预测结果见表</w:t>
            </w:r>
            <w:r>
              <w:rPr>
                <w:rFonts w:hint="eastAsia"/>
                <w:lang w:val="en-US" w:eastAsia="zh-CN"/>
              </w:rPr>
              <w:t>37</w:t>
            </w:r>
            <w:r>
              <w:rPr>
                <w:rFonts w:hint="eastAsia"/>
              </w:rPr>
              <w:t>。</w:t>
            </w:r>
          </w:p>
          <w:p>
            <w:pPr>
              <w:bidi w:val="0"/>
              <w:jc w:val="center"/>
              <w:rPr>
                <w:rFonts w:hint="eastAsia"/>
                <w:lang w:val="en-US" w:eastAsia="zh-CN"/>
              </w:rPr>
            </w:pPr>
            <w:r>
              <w:rPr>
                <w:rFonts w:hint="eastAsia"/>
                <w:b/>
                <w:bCs/>
                <w:lang w:val="en-US" w:eastAsia="zh-CN"/>
              </w:rPr>
              <w:t>表39    噪声源距厂界距离及厂界噪声贡献值 单位：dB(A)</w:t>
            </w:r>
          </w:p>
          <w:tbl>
            <w:tblPr>
              <w:tblStyle w:val="22"/>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03"/>
              <w:gridCol w:w="2410"/>
              <w:gridCol w:w="1207"/>
              <w:gridCol w:w="2011"/>
              <w:gridCol w:w="1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top w:val="single" w:color="auto" w:sz="8" w:space="0"/>
                    <w:left w:val="single" w:color="auto" w:sz="0" w:space="0"/>
                  </w:tcBorders>
                  <w:shd w:val="clear" w:color="auto" w:fill="auto"/>
                  <w:vAlign w:val="center"/>
                </w:tcPr>
                <w:p>
                  <w:pPr>
                    <w:adjustRightInd w:val="0"/>
                    <w:snapToGrid w:val="0"/>
                    <w:spacing w:line="240" w:lineRule="auto"/>
                    <w:ind w:firstLine="0" w:firstLineChars="0"/>
                    <w:jc w:val="center"/>
                    <w:outlineLvl w:val="0"/>
                  </w:pPr>
                  <w:r>
                    <w:t>厂界</w:t>
                  </w:r>
                  <w:r>
                    <w:rPr>
                      <w:rFonts w:hint="eastAsia"/>
                    </w:rPr>
                    <w:t>/敏感点</w:t>
                  </w:r>
                </w:p>
              </w:tc>
              <w:tc>
                <w:tcPr>
                  <w:tcW w:w="2410" w:type="dxa"/>
                  <w:tcBorders>
                    <w:top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噪声源</w:t>
                  </w:r>
                </w:p>
              </w:tc>
              <w:tc>
                <w:tcPr>
                  <w:tcW w:w="1207" w:type="dxa"/>
                  <w:tcBorders>
                    <w:top w:val="single" w:color="auto" w:sz="8" w:space="0"/>
                  </w:tcBorders>
                  <w:vAlign w:val="center"/>
                </w:tcPr>
                <w:p>
                  <w:pPr>
                    <w:adjustRightInd w:val="0"/>
                    <w:snapToGrid w:val="0"/>
                    <w:spacing w:line="240" w:lineRule="auto"/>
                    <w:ind w:firstLine="0" w:firstLineChars="0"/>
                    <w:jc w:val="center"/>
                    <w:outlineLvl w:val="0"/>
                  </w:pPr>
                  <w:r>
                    <w:rPr>
                      <w:rFonts w:hint="eastAsia"/>
                    </w:rPr>
                    <w:t>距厂界/敏感点距离</w:t>
                  </w:r>
                </w:p>
              </w:tc>
              <w:tc>
                <w:tcPr>
                  <w:tcW w:w="2011" w:type="dxa"/>
                  <w:tcBorders>
                    <w:top w:val="single" w:color="auto" w:sz="8" w:space="0"/>
                  </w:tcBorders>
                  <w:vAlign w:val="center"/>
                </w:tcPr>
                <w:p>
                  <w:pPr>
                    <w:adjustRightInd w:val="0"/>
                    <w:snapToGrid w:val="0"/>
                    <w:spacing w:line="240" w:lineRule="auto"/>
                    <w:ind w:firstLine="0" w:firstLineChars="0"/>
                    <w:jc w:val="center"/>
                    <w:outlineLvl w:val="0"/>
                  </w:pPr>
                  <w:r>
                    <w:t>贡献值</w:t>
                  </w:r>
                </w:p>
              </w:tc>
              <w:tc>
                <w:tcPr>
                  <w:tcW w:w="1389" w:type="dxa"/>
                  <w:tcBorders>
                    <w:top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敏感点噪声预测值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东</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10</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47.9</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6"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南</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13</w:t>
                  </w:r>
                </w:p>
              </w:tc>
              <w:tc>
                <w:tcPr>
                  <w:tcW w:w="2011" w:type="dxa"/>
                  <w:vAlign w:val="center"/>
                </w:tcPr>
                <w:p>
                  <w:pPr>
                    <w:adjustRightInd w:val="0"/>
                    <w:snapToGrid w:val="0"/>
                    <w:spacing w:line="240" w:lineRule="auto"/>
                    <w:ind w:firstLine="0" w:firstLineChars="0"/>
                    <w:jc w:val="center"/>
                    <w:outlineLvl w:val="0"/>
                    <w:rPr>
                      <w:rFonts w:hint="eastAsia"/>
                      <w:lang w:val="en-US" w:eastAsia="zh-CN"/>
                    </w:rPr>
                  </w:pPr>
                  <w:r>
                    <w:rPr>
                      <w:rFonts w:hint="eastAsia"/>
                    </w:rPr>
                    <w:t>4</w:t>
                  </w:r>
                  <w:r>
                    <w:rPr>
                      <w:rFonts w:hint="eastAsia"/>
                      <w:lang w:val="en-US" w:eastAsia="zh-CN"/>
                    </w:rPr>
                    <w:t>6</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西</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69</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22.4</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bottom w:val="single" w:color="auto" w:sz="8" w:space="0"/>
                  </w:tcBorders>
                  <w:shd w:val="clear" w:color="auto" w:fill="auto"/>
                  <w:vAlign w:val="center"/>
                </w:tcPr>
                <w:p>
                  <w:pPr>
                    <w:adjustRightInd w:val="0"/>
                    <w:snapToGrid w:val="0"/>
                    <w:spacing w:line="240" w:lineRule="auto"/>
                    <w:ind w:firstLine="0" w:firstLineChars="0"/>
                    <w:jc w:val="center"/>
                    <w:outlineLvl w:val="0"/>
                  </w:pPr>
                  <w:r>
                    <w:t>北</w:t>
                  </w:r>
                  <w:r>
                    <w:rPr>
                      <w:rFonts w:hint="eastAsia"/>
                    </w:rPr>
                    <w:t>厂界</w:t>
                  </w:r>
                </w:p>
              </w:tc>
              <w:tc>
                <w:tcPr>
                  <w:tcW w:w="2410" w:type="dxa"/>
                  <w:tcBorders>
                    <w:bottom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36</w:t>
                  </w:r>
                </w:p>
              </w:tc>
              <w:tc>
                <w:tcPr>
                  <w:tcW w:w="2011"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28.8</w:t>
                  </w:r>
                </w:p>
              </w:tc>
              <w:tc>
                <w:tcPr>
                  <w:tcW w:w="1389" w:type="dxa"/>
                  <w:tcBorders>
                    <w:bottom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bl>
          <w:p>
            <w:pPr>
              <w:adjustRightInd w:val="0"/>
              <w:snapToGrid w:val="0"/>
              <w:spacing w:line="500" w:lineRule="exact"/>
              <w:ind w:firstLine="480" w:firstLineChars="200"/>
            </w:pPr>
            <w:r>
              <w:t>由表可知，</w:t>
            </w:r>
            <w:r>
              <w:rPr>
                <w:rFonts w:hint="eastAsia"/>
              </w:rPr>
              <w:t>项目昼、夜间</w:t>
            </w:r>
            <w:r>
              <w:t>各厂界</w:t>
            </w:r>
            <w:r>
              <w:rPr>
                <w:rFonts w:hint="eastAsia"/>
              </w:rPr>
              <w:t>噪声贡献值分别满足《工业企业厂界环境噪声排放标准》（GB12348-2008）中2类</w:t>
            </w:r>
            <w:r>
              <w:rPr>
                <w:rFonts w:hint="eastAsia"/>
                <w:lang w:eastAsia="zh-CN"/>
              </w:rPr>
              <w:t>和</w:t>
            </w:r>
            <w:r>
              <w:rPr>
                <w:rFonts w:hint="eastAsia"/>
                <w:lang w:val="en-US" w:eastAsia="zh-CN"/>
              </w:rPr>
              <w:t>4类</w:t>
            </w:r>
            <w:r>
              <w:rPr>
                <w:rFonts w:hint="eastAsia"/>
              </w:rPr>
              <w:t>标准的要求</w:t>
            </w:r>
            <w:r>
              <w:t>，</w:t>
            </w:r>
            <w:r>
              <w:rPr>
                <w:rFonts w:hint="eastAsia"/>
              </w:rPr>
              <w:t>因此本项目噪声对周围环境影响较小。</w:t>
            </w:r>
          </w:p>
          <w:p>
            <w:pPr>
              <w:adjustRightInd w:val="0"/>
              <w:snapToGrid w:val="0"/>
              <w:spacing w:line="500" w:lineRule="exact"/>
              <w:ind w:firstLine="480" w:firstLineChars="200"/>
            </w:pPr>
            <w:r>
              <w:rPr>
                <w:rFonts w:hint="eastAsia"/>
              </w:rPr>
              <w:t>（2</w:t>
            </w:r>
            <w:r>
              <w:t>）</w:t>
            </w:r>
            <w:r>
              <w:rPr>
                <w:rFonts w:hint="eastAsia"/>
              </w:rPr>
              <w:t>车辆</w:t>
            </w:r>
            <w:r>
              <w:t>进出噪声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进出车辆噪声声级约为65～75</w:t>
            </w:r>
            <w:r>
              <w:t>dB</w:t>
            </w:r>
            <w:r>
              <w:rPr>
                <w:rFonts w:hint="eastAsia"/>
              </w:rPr>
              <w:t>（A），</w:t>
            </w:r>
            <w:r>
              <w:t>为非连续性噪声</w:t>
            </w:r>
            <w:r>
              <w:rPr>
                <w:rFonts w:hint="eastAsia"/>
              </w:rPr>
              <w:t>；</w:t>
            </w:r>
            <w:r>
              <w:t>为降低其噪声对周围环境的影响</w:t>
            </w:r>
            <w:r>
              <w:rPr>
                <w:rFonts w:hint="eastAsia"/>
              </w:rPr>
              <w:t>，评价建议项目</w:t>
            </w:r>
            <w:r>
              <w:t>区内</w:t>
            </w:r>
            <w:r>
              <w:rPr>
                <w:rFonts w:hint="eastAsia"/>
              </w:rPr>
              <w:t>对出入区域内来往的机动车严格管理，采取车辆进站时减速、禁止鸣笛、加油时车辆熄火和平稳启动等措施，使区域内的交通噪声降到最低值，通过距离衰减后可大幅度降低噪声对周围环境的影响，</w:t>
            </w:r>
            <w:r>
              <w:t>因此</w:t>
            </w:r>
            <w:r>
              <w:rPr>
                <w:rFonts w:hint="eastAsia"/>
              </w:rPr>
              <w:t>，评价认为</w:t>
            </w:r>
            <w:r>
              <w:t>本项目在</w:t>
            </w:r>
            <w:r>
              <w:rPr>
                <w:rFonts w:hint="eastAsia"/>
              </w:rPr>
              <w:t>营运期车辆进出时</w:t>
            </w:r>
            <w:r>
              <w:t>产生的噪声对</w:t>
            </w:r>
            <w:r>
              <w:rPr>
                <w:rFonts w:hint="eastAsia"/>
              </w:rPr>
              <w:t>敏感点及</w:t>
            </w:r>
            <w:r>
              <w:t>周围声环境影响较小</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w:t>
            </w:r>
            <w:r>
              <w:t>，采取上述措施后，</w:t>
            </w:r>
            <w:r>
              <w:rPr>
                <w:rFonts w:hint="eastAsia"/>
              </w:rPr>
              <w:t>营运</w:t>
            </w:r>
            <w:r>
              <w:t>期</w:t>
            </w:r>
            <w:r>
              <w:rPr>
                <w:rFonts w:hint="eastAsia"/>
              </w:rPr>
              <w:t>噪声对周围环境影响较小。</w:t>
            </w:r>
          </w:p>
          <w:p>
            <w:pPr>
              <w:adjustRightInd w:val="0"/>
              <w:snapToGrid w:val="0"/>
              <w:spacing w:line="500" w:lineRule="exact"/>
              <w:ind w:firstLine="0" w:firstLineChars="0"/>
              <w:textAlignment w:val="baseline"/>
            </w:pPr>
            <w:r>
              <w:rPr>
                <w:b/>
                <w:bCs/>
              </w:rPr>
              <w:t>2</w:t>
            </w:r>
            <w:r>
              <w:rPr>
                <w:rFonts w:hint="eastAsia"/>
                <w:b/>
                <w:bCs/>
              </w:rPr>
              <w:t>.</w:t>
            </w:r>
            <w:r>
              <w:rPr>
                <w:b/>
                <w:bCs/>
              </w:rPr>
              <w:t>4</w:t>
            </w:r>
            <w:r>
              <w:rPr>
                <w:rFonts w:hint="eastAsia"/>
                <w:b/>
                <w:bCs/>
              </w:rPr>
              <w:t>、</w:t>
            </w:r>
            <w:r>
              <w:rPr>
                <w:b/>
                <w:bCs/>
              </w:rPr>
              <w:t>固体废物影响分析</w:t>
            </w:r>
          </w:p>
          <w:p>
            <w:pPr>
              <w:adjustRightInd w:val="0"/>
              <w:snapToGrid w:val="0"/>
              <w:spacing w:line="500" w:lineRule="exact"/>
            </w:pPr>
            <w:r>
              <w:rPr>
                <w:rFonts w:hint="eastAsia"/>
              </w:rPr>
              <w:t>（1）</w:t>
            </w:r>
            <w:r>
              <w:t>生活垃圾</w:t>
            </w:r>
          </w:p>
          <w:p>
            <w:pPr>
              <w:adjustRightInd w:val="0"/>
              <w:snapToGrid w:val="0"/>
              <w:spacing w:line="500" w:lineRule="exact"/>
              <w:ind w:firstLine="480" w:firstLineChars="200"/>
            </w:pPr>
            <w:r>
              <w:t>项目站区职工共</w:t>
            </w:r>
            <w:r>
              <w:rPr>
                <w:rFonts w:hint="eastAsia"/>
                <w:lang w:val="en-US" w:eastAsia="zh-CN"/>
              </w:rPr>
              <w:t>6</w:t>
            </w:r>
            <w:r>
              <w:t>人（不在项目区食宿，年工作365d），生活垃圾产生量分别按0.5kg/（人·d），则职工生活垃圾产生量为</w:t>
            </w:r>
            <w:r>
              <w:rPr>
                <w:rFonts w:hint="eastAsia"/>
                <w:lang w:val="en-US" w:eastAsia="zh-CN"/>
              </w:rPr>
              <w:t>3.0</w:t>
            </w:r>
            <w:r>
              <w:t>kg/d（</w:t>
            </w:r>
            <w:r>
              <w:rPr>
                <w:rFonts w:hint="eastAsia"/>
                <w:lang w:val="en-US" w:eastAsia="zh-CN"/>
              </w:rPr>
              <w:t>1.095</w:t>
            </w:r>
            <w:r>
              <w:rPr>
                <w:rFonts w:hint="eastAsia"/>
              </w:rPr>
              <w:t>t</w:t>
            </w:r>
            <w:r>
              <w:t>/a）。项目投运后，每天接待顾客约100人</w:t>
            </w:r>
            <w:r>
              <w:rPr>
                <w:rFonts w:hint="eastAsia"/>
                <w:lang w:eastAsia="zh-CN"/>
              </w:rPr>
              <w:t>，垃圾均在服务区产生。</w:t>
            </w:r>
            <w:r>
              <w:t>综上所述，项目垃圾总产生量为</w:t>
            </w:r>
            <w:r>
              <w:rPr>
                <w:rFonts w:hint="eastAsia"/>
                <w:lang w:val="en-US" w:eastAsia="zh-CN"/>
              </w:rPr>
              <w:t>1.095</w:t>
            </w:r>
            <w:r>
              <w:t>t/a。评价建议在项目区内作好垃圾收集系统建设，因地制宜地设置垃圾箱，垃圾分类收集，运入市政垃圾收集处，定期由环卫部门运走。</w:t>
            </w:r>
          </w:p>
          <w:p>
            <w:pPr>
              <w:pStyle w:val="21"/>
              <w:spacing w:line="500" w:lineRule="exact"/>
              <w:ind w:left="0" w:leftChars="0" w:firstLine="560" w:firstLineChars="200"/>
              <w:rPr>
                <w:rFonts w:hint="eastAsia" w:eastAsia="宋体"/>
                <w:lang w:eastAsia="zh-CN"/>
              </w:rPr>
            </w:pPr>
            <w:r>
              <w:t>（2）</w:t>
            </w:r>
            <w:r>
              <w:rPr>
                <w:rFonts w:hint="eastAsia"/>
                <w:lang w:eastAsia="zh-CN"/>
              </w:rPr>
              <w:t>危险废物</w:t>
            </w:r>
          </w:p>
          <w:p>
            <w:pPr>
              <w:bidi w:val="0"/>
              <w:rPr>
                <w:rFonts w:hint="eastAsia"/>
              </w:rPr>
            </w:pPr>
            <w:r>
              <w:rPr>
                <w:b/>
                <w:bCs/>
                <w:u w:val="single"/>
              </w:rPr>
              <w:t>项目运营期危险废物主要为油罐定期清洗产生的清洗废水和油泥。根据建设单位介绍，油罐每</w:t>
            </w:r>
            <w:r>
              <w:rPr>
                <w:rFonts w:hint="eastAsia"/>
                <w:b/>
                <w:bCs/>
                <w:u w:val="single"/>
                <w:lang w:val="en-US" w:eastAsia="zh-CN"/>
              </w:rPr>
              <w:t>5</w:t>
            </w:r>
            <w:r>
              <w:rPr>
                <w:b/>
                <w:bCs/>
                <w:u w:val="single"/>
              </w:rPr>
              <w:t>年清洗一次，委托</w:t>
            </w:r>
            <w:r>
              <w:rPr>
                <w:rFonts w:hint="eastAsia"/>
                <w:b/>
                <w:bCs/>
                <w:u w:val="single"/>
              </w:rPr>
              <w:t>相关单位</w:t>
            </w:r>
            <w:r>
              <w:rPr>
                <w:b/>
                <w:bCs/>
                <w:u w:val="single"/>
              </w:rPr>
              <w:t>进行清洗，清洗废水产生量约</w:t>
            </w:r>
            <w:r>
              <w:rPr>
                <w:rFonts w:hint="eastAsia"/>
                <w:b/>
                <w:bCs/>
                <w:u w:val="single"/>
                <w:lang w:val="en-US" w:eastAsia="zh-CN"/>
              </w:rPr>
              <w:t>2</w:t>
            </w:r>
            <w:r>
              <w:rPr>
                <w:b/>
                <w:bCs/>
                <w:u w:val="single"/>
              </w:rPr>
              <w:t>t/次，油泥产生量约为0.</w:t>
            </w:r>
            <w:r>
              <w:rPr>
                <w:rFonts w:hint="eastAsia"/>
                <w:b/>
                <w:bCs/>
                <w:u w:val="single"/>
                <w:lang w:val="en-US" w:eastAsia="zh-CN"/>
              </w:rPr>
              <w:t>22</w:t>
            </w:r>
            <w:r>
              <w:rPr>
                <w:b/>
                <w:bCs/>
                <w:u w:val="single"/>
              </w:rPr>
              <w:t>t/次。根据《国家危险废物名录》（环境保护部第39号令，2016年8月1日起施行），油罐清洗废水的危废编号为HW09，油泥的危废编号为HW08，本项目油罐清洗产生的清洗废水、油泥均</w:t>
            </w:r>
            <w:r>
              <w:rPr>
                <w:rFonts w:hint="eastAsia"/>
                <w:b/>
                <w:bCs/>
                <w:u w:val="single"/>
              </w:rPr>
              <w:t>应交由有资质单位进行</w:t>
            </w:r>
            <w:r>
              <w:rPr>
                <w:b/>
                <w:bCs/>
                <w:u w:val="single"/>
              </w:rPr>
              <w:t>处理，</w:t>
            </w:r>
            <w:r>
              <w:rPr>
                <w:rFonts w:hint="eastAsia"/>
                <w:b/>
                <w:bCs/>
                <w:u w:val="single"/>
                <w:lang w:eastAsia="zh-CN"/>
              </w:rPr>
              <w:t>即产即运，</w:t>
            </w:r>
            <w:r>
              <w:rPr>
                <w:b/>
                <w:bCs/>
                <w:u w:val="single"/>
              </w:rPr>
              <w:t>不在站内暂存</w:t>
            </w:r>
            <w:r>
              <w:rPr>
                <w:rFonts w:hint="eastAsia"/>
                <w:b/>
                <w:bCs/>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综上所述，</w:t>
            </w:r>
            <w:r>
              <w:rPr>
                <w:rFonts w:hint="eastAsia"/>
              </w:rPr>
              <w:t>本项目</w:t>
            </w:r>
            <w:r>
              <w:t>固废均得到妥善处置，处理率100%</w:t>
            </w:r>
            <w:r>
              <w:rPr>
                <w:rFonts w:hint="eastAsia"/>
              </w:rPr>
              <w:t>，</w:t>
            </w:r>
            <w:r>
              <w:t>对</w:t>
            </w:r>
            <w:r>
              <w:rPr>
                <w:rFonts w:hint="eastAsia"/>
              </w:rPr>
              <w:t>周围</w:t>
            </w:r>
            <w:r>
              <w:t>环境影响</w:t>
            </w:r>
            <w:r>
              <w:rPr>
                <w:rFonts w:hint="eastAsia"/>
              </w:rPr>
              <w:t>较小</w:t>
            </w:r>
            <w:r>
              <w:t>。</w:t>
            </w:r>
          </w:p>
          <w:p>
            <w:pPr>
              <w:spacing w:line="500" w:lineRule="exact"/>
              <w:ind w:firstLine="0" w:firstLineChars="0"/>
            </w:pPr>
            <w:r>
              <w:rPr>
                <w:rFonts w:hint="eastAsia"/>
                <w:b/>
                <w:bCs/>
              </w:rPr>
              <w:t>3、环境风险</w:t>
            </w:r>
            <w:r>
              <w:rPr>
                <w:b/>
                <w:bCs/>
              </w:rPr>
              <w:t>影响</w:t>
            </w:r>
            <w:r>
              <w:rPr>
                <w:rFonts w:hint="eastAsia"/>
                <w:b/>
                <w:bCs/>
              </w:rPr>
              <w:t>分析</w:t>
            </w:r>
            <w:r>
              <w:rPr>
                <w:b/>
                <w:bCs/>
              </w:rPr>
              <w:t>与</w:t>
            </w:r>
            <w:r>
              <w:rPr>
                <w:rFonts w:hint="eastAsia"/>
                <w:b/>
                <w:bCs/>
              </w:rPr>
              <w:t>评价</w:t>
            </w:r>
          </w:p>
          <w:p>
            <w:pPr>
              <w:adjustRightInd w:val="0"/>
              <w:snapToGrid w:val="0"/>
              <w:spacing w:line="500" w:lineRule="exact"/>
              <w:ind w:firstLine="480" w:firstLineChars="200"/>
            </w:pPr>
            <w:r>
              <w:rPr>
                <w:rFonts w:hint="eastAsia"/>
              </w:rPr>
              <w:t>本项目环境风险主要是油品泄漏及泄漏产生的爆炸事故。针对本项目存在的各类事故风险，提出相关预防及应急措施，在严格落实这些措施，加强生产管理的情况下，严格按照防范措施和应急预案执行，在管理及运行过程中认真落实安全评估报告中提出的措施和相关环保规定，在得到安监、环保管理部门许可后运营，上述风险事故隐患可降至可接受水平。同时，本项目的风险值较小，项目的风险水平是可接受的。评价内容详见风险专题。</w:t>
            </w:r>
          </w:p>
          <w:p>
            <w:pPr>
              <w:adjustRightInd w:val="0"/>
              <w:snapToGrid w:val="0"/>
              <w:spacing w:line="500" w:lineRule="exact"/>
              <w:ind w:firstLine="0" w:firstLineChars="0"/>
              <w:rPr>
                <w:rFonts w:hint="default"/>
              </w:rPr>
            </w:pPr>
            <w:r>
              <w:rPr>
                <w:rFonts w:hint="eastAsia"/>
                <w:b/>
                <w:bCs/>
                <w:lang w:val="en-US" w:eastAsia="zh-CN"/>
              </w:rPr>
              <w:t>4</w:t>
            </w:r>
            <w:r>
              <w:rPr>
                <w:rFonts w:hint="default"/>
                <w:b/>
                <w:bCs/>
              </w:rPr>
              <w:t>、总量控制分析</w:t>
            </w:r>
          </w:p>
          <w:p>
            <w:pPr>
              <w:adjustRightInd w:val="0"/>
              <w:snapToGrid w:val="0"/>
              <w:spacing w:line="500" w:lineRule="exact"/>
              <w:ind w:firstLine="482" w:firstLineChars="200"/>
              <w:rPr>
                <w:rFonts w:hint="default"/>
              </w:rPr>
            </w:pPr>
            <w:r>
              <w:rPr>
                <w:rFonts w:hint="default"/>
                <w:b/>
                <w:bCs/>
                <w:u w:val="single"/>
              </w:rPr>
              <w:t>本项目废水主要为生活污水，产生量为</w:t>
            </w:r>
            <w:r>
              <w:rPr>
                <w:rFonts w:hint="eastAsia"/>
                <w:b/>
                <w:bCs/>
                <w:u w:val="single"/>
                <w:lang w:val="en-US" w:eastAsia="zh-CN"/>
              </w:rPr>
              <w:t>216.08</w:t>
            </w:r>
            <w:r>
              <w:rPr>
                <w:rFonts w:hint="default"/>
                <w:b/>
                <w:bCs/>
                <w:u w:val="single"/>
              </w:rPr>
              <w:t>m</w:t>
            </w:r>
            <w:r>
              <w:rPr>
                <w:rFonts w:hint="default"/>
                <w:b/>
                <w:bCs/>
                <w:u w:val="single"/>
                <w:vertAlign w:val="superscript"/>
              </w:rPr>
              <w:t>3</w:t>
            </w:r>
            <w:r>
              <w:rPr>
                <w:rFonts w:hint="default"/>
                <w:b/>
                <w:bCs/>
                <w:u w:val="single"/>
              </w:rPr>
              <w:t>/a ，项目生活污水</w:t>
            </w:r>
            <w:r>
              <w:rPr>
                <w:rFonts w:hint="eastAsia" w:ascii="宋体" w:hAnsi="宋体" w:cs="宋体"/>
                <w:b/>
                <w:bCs/>
                <w:sz w:val="24"/>
                <w:szCs w:val="24"/>
                <w:u w:val="single"/>
                <w:lang w:val="en-US" w:eastAsia="zh-CN"/>
              </w:rPr>
              <w:t>经服务区生活污水处理站处理后用于服务区洒水降尘；站区内不设卫生间，依托服务区卫生间</w:t>
            </w:r>
            <w:r>
              <w:rPr>
                <w:rFonts w:hint="default"/>
                <w:b/>
                <w:bCs/>
                <w:sz w:val="24"/>
                <w:szCs w:val="24"/>
                <w:u w:val="single"/>
              </w:rPr>
              <w:t>，项目生活污水不外排。</w:t>
            </w: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p>
            <w:pPr>
              <w:pStyle w:val="2"/>
              <w:ind w:left="0" w:leftChars="0" w:firstLine="0" w:firstLineChars="0"/>
              <w:rPr>
                <w:rFonts w:hint="eastAsia"/>
                <w:lang w:val="en-US" w:eastAsia="zh-CN"/>
              </w:rPr>
            </w:pPr>
            <w:r>
              <w:rPr>
                <w:rFonts w:hint="eastAsia"/>
                <w:b/>
                <w:bCs/>
                <w:sz w:val="24"/>
                <w:szCs w:val="18"/>
                <w:lang w:val="en-US" w:eastAsia="zh-CN"/>
              </w:rPr>
              <w:t>5、改建前后“三本账”</w:t>
            </w:r>
          </w:p>
          <w:p>
            <w:pPr>
              <w:adjustRightInd w:val="0"/>
              <w:snapToGrid w:val="0"/>
              <w:spacing w:line="360" w:lineRule="auto"/>
              <w:ind w:firstLine="530" w:firstLineChars="221"/>
            </w:pPr>
            <w:r>
              <w:t>加油站改建前后污染物排放“三本帐”分析见表</w:t>
            </w:r>
            <w:r>
              <w:rPr>
                <w:rFonts w:hint="eastAsia"/>
                <w:lang w:val="en-US" w:eastAsia="zh-CN"/>
              </w:rPr>
              <w:t>40</w:t>
            </w:r>
            <w:r>
              <w:t>。</w:t>
            </w:r>
          </w:p>
          <w:p>
            <w:pPr>
              <w:widowControl w:val="0"/>
              <w:adjustRightInd w:val="0"/>
              <w:snapToGrid w:val="0"/>
              <w:spacing w:line="240" w:lineRule="auto"/>
              <w:ind w:firstLine="241" w:firstLineChars="100"/>
              <w:jc w:val="center"/>
              <w:rPr>
                <w:b/>
                <w:bCs/>
                <w:lang w:val="en-US" w:eastAsia="zh-CN"/>
              </w:rPr>
            </w:pPr>
            <w:r>
              <w:rPr>
                <w:b/>
                <w:bCs/>
                <w:lang w:val="en-US" w:eastAsia="zh-CN"/>
              </w:rPr>
              <w:t>表</w:t>
            </w:r>
            <w:r>
              <w:rPr>
                <w:rFonts w:hint="eastAsia"/>
                <w:b/>
                <w:bCs/>
                <w:lang w:val="en-US" w:eastAsia="zh-CN"/>
              </w:rPr>
              <w:t>40</w:t>
            </w:r>
            <w:r>
              <w:rPr>
                <w:b/>
                <w:bCs/>
                <w:lang w:val="en-US" w:eastAsia="zh-CN"/>
              </w:rPr>
              <w:t xml:space="preserve">  改建前后污染物排放“三本帐”一览表        </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91"/>
              <w:gridCol w:w="1320"/>
              <w:gridCol w:w="1017"/>
              <w:gridCol w:w="962"/>
              <w:gridCol w:w="1018"/>
              <w:gridCol w:w="1374"/>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97" w:type="pct"/>
                  <w:gridSpan w:val="3"/>
                  <w:noWrap w:val="0"/>
                  <w:vAlign w:val="center"/>
                </w:tcPr>
                <w:p>
                  <w:pPr>
                    <w:pStyle w:val="11"/>
                    <w:bidi w:val="0"/>
                    <w:jc w:val="center"/>
                  </w:pPr>
                  <w:bookmarkStart w:id="26" w:name="OLE_LINK2"/>
                  <w:r>
                    <w:rPr>
                      <w:rFonts w:hint="eastAsia"/>
                    </w:rPr>
                    <w:t>污染因素</w:t>
                  </w:r>
                </w:p>
              </w:tc>
              <w:tc>
                <w:tcPr>
                  <w:tcW w:w="616" w:type="pct"/>
                  <w:noWrap w:val="0"/>
                  <w:vAlign w:val="center"/>
                </w:tcPr>
                <w:p>
                  <w:pPr>
                    <w:pStyle w:val="11"/>
                    <w:bidi w:val="0"/>
                    <w:jc w:val="center"/>
                  </w:pPr>
                  <w:r>
                    <w:t>原加油站排放量</w:t>
                  </w:r>
                </w:p>
              </w:tc>
              <w:tc>
                <w:tcPr>
                  <w:tcW w:w="583" w:type="pct"/>
                  <w:noWrap w:val="0"/>
                  <w:vAlign w:val="center"/>
                </w:tcPr>
                <w:p>
                  <w:pPr>
                    <w:pStyle w:val="11"/>
                    <w:bidi w:val="0"/>
                    <w:jc w:val="center"/>
                  </w:pPr>
                  <w:r>
                    <w:t>拟建项目排放量</w:t>
                  </w:r>
                </w:p>
              </w:tc>
              <w:tc>
                <w:tcPr>
                  <w:tcW w:w="616" w:type="pct"/>
                  <w:noWrap w:val="0"/>
                  <w:vAlign w:val="center"/>
                </w:tcPr>
                <w:p>
                  <w:pPr>
                    <w:pStyle w:val="11"/>
                    <w:bidi w:val="0"/>
                    <w:jc w:val="center"/>
                  </w:pPr>
                  <w:r>
                    <w:t>“以新带老”削减量</w:t>
                  </w:r>
                </w:p>
              </w:tc>
              <w:tc>
                <w:tcPr>
                  <w:tcW w:w="831" w:type="pct"/>
                  <w:noWrap w:val="0"/>
                  <w:vAlign w:val="center"/>
                </w:tcPr>
                <w:p>
                  <w:pPr>
                    <w:pStyle w:val="11"/>
                    <w:bidi w:val="0"/>
                    <w:jc w:val="center"/>
                  </w:pPr>
                  <w:r>
                    <w:t>改建完成后排放总量</w:t>
                  </w:r>
                </w:p>
              </w:tc>
              <w:tc>
                <w:tcPr>
                  <w:tcW w:w="655" w:type="pct"/>
                  <w:noWrap w:val="0"/>
                  <w:vAlign w:val="center"/>
                </w:tcPr>
                <w:p>
                  <w:pPr>
                    <w:pStyle w:val="11"/>
                    <w:bidi w:val="0"/>
                    <w:jc w:val="center"/>
                  </w:pPr>
                  <w: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11"/>
                    <w:bidi w:val="0"/>
                    <w:jc w:val="center"/>
                  </w:pPr>
                  <w:r>
                    <w:t>废气</w:t>
                  </w:r>
                </w:p>
              </w:tc>
              <w:tc>
                <w:tcPr>
                  <w:tcW w:w="661" w:type="pct"/>
                  <w:noWrap w:val="0"/>
                  <w:vAlign w:val="center"/>
                </w:tcPr>
                <w:p>
                  <w:pPr>
                    <w:pStyle w:val="11"/>
                    <w:bidi w:val="0"/>
                    <w:jc w:val="center"/>
                  </w:pPr>
                  <w:r>
                    <w:t>加油、卸油、储油罐</w:t>
                  </w:r>
                </w:p>
              </w:tc>
              <w:tc>
                <w:tcPr>
                  <w:tcW w:w="798" w:type="pct"/>
                  <w:noWrap w:val="0"/>
                  <w:vAlign w:val="center"/>
                </w:tcPr>
                <w:p>
                  <w:pPr>
                    <w:pStyle w:val="11"/>
                    <w:bidi w:val="0"/>
                    <w:jc w:val="center"/>
                  </w:pPr>
                  <w:r>
                    <w:t>非甲烷总烃（</w:t>
                  </w:r>
                  <w:r>
                    <w:rPr>
                      <w:rFonts w:hint="eastAsia"/>
                    </w:rPr>
                    <w:t>t</w:t>
                  </w:r>
                  <w:r>
                    <w:t>/a）</w:t>
                  </w:r>
                </w:p>
              </w:tc>
              <w:tc>
                <w:tcPr>
                  <w:tcW w:w="616" w:type="pct"/>
                  <w:noWrap w:val="0"/>
                  <w:vAlign w:val="center"/>
                </w:tcPr>
                <w:p>
                  <w:pPr>
                    <w:pStyle w:val="11"/>
                    <w:bidi w:val="0"/>
                    <w:jc w:val="center"/>
                    <w:rPr>
                      <w:rFonts w:hint="default"/>
                      <w:lang w:val="en-US" w:eastAsia="zh-CN"/>
                    </w:rPr>
                  </w:pPr>
                  <w:r>
                    <w:rPr>
                      <w:rFonts w:hint="eastAsia"/>
                      <w:lang w:val="en-US" w:eastAsia="zh-CN"/>
                    </w:rPr>
                    <w:t>0.758</w:t>
                  </w:r>
                </w:p>
              </w:tc>
              <w:tc>
                <w:tcPr>
                  <w:tcW w:w="583" w:type="pct"/>
                  <w:noWrap w:val="0"/>
                  <w:vAlign w:val="center"/>
                </w:tcPr>
                <w:p>
                  <w:pPr>
                    <w:pStyle w:val="11"/>
                    <w:bidi w:val="0"/>
                    <w:jc w:val="center"/>
                    <w:rPr>
                      <w:rFonts w:hint="default"/>
                      <w:lang w:val="en-US" w:eastAsia="zh-CN"/>
                    </w:rPr>
                  </w:pPr>
                  <w:r>
                    <w:rPr>
                      <w:rFonts w:hint="eastAsia"/>
                      <w:lang w:val="en-US" w:eastAsia="zh-CN"/>
                    </w:rPr>
                    <w:t>0.758</w:t>
                  </w:r>
                </w:p>
              </w:tc>
              <w:tc>
                <w:tcPr>
                  <w:tcW w:w="616" w:type="pct"/>
                  <w:noWrap w:val="0"/>
                  <w:vAlign w:val="center"/>
                </w:tcPr>
                <w:p>
                  <w:pPr>
                    <w:pStyle w:val="11"/>
                    <w:bidi w:val="0"/>
                    <w:jc w:val="center"/>
                  </w:pPr>
                  <w:r>
                    <w:rPr>
                      <w:rFonts w:hint="eastAsia"/>
                    </w:rPr>
                    <w:t>/</w:t>
                  </w:r>
                </w:p>
              </w:tc>
              <w:tc>
                <w:tcPr>
                  <w:tcW w:w="831" w:type="pct"/>
                  <w:noWrap w:val="0"/>
                  <w:vAlign w:val="center"/>
                </w:tcPr>
                <w:p>
                  <w:pPr>
                    <w:pStyle w:val="11"/>
                    <w:bidi w:val="0"/>
                    <w:jc w:val="center"/>
                    <w:rPr>
                      <w:rFonts w:hint="default"/>
                      <w:lang w:val="en-US" w:eastAsia="zh-CN"/>
                    </w:rPr>
                  </w:pPr>
                  <w:r>
                    <w:rPr>
                      <w:rFonts w:hint="eastAsia"/>
                      <w:lang w:val="en-US" w:eastAsia="zh-CN"/>
                    </w:rPr>
                    <w:t>0.758</w:t>
                  </w:r>
                </w:p>
              </w:tc>
              <w:tc>
                <w:tcPr>
                  <w:tcW w:w="655" w:type="pct"/>
                  <w:noWrap w:val="0"/>
                  <w:vAlign w:val="center"/>
                </w:tcPr>
                <w:p>
                  <w:pPr>
                    <w:pStyle w:val="11"/>
                    <w:bidi w:val="0"/>
                    <w:jc w:val="center"/>
                    <w:rPr>
                      <w:rFonts w:hint="eastAsia"/>
                      <w:lang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restart"/>
                  <w:noWrap w:val="0"/>
                  <w:vAlign w:val="center"/>
                </w:tcPr>
                <w:p>
                  <w:pPr>
                    <w:pStyle w:val="11"/>
                    <w:bidi w:val="0"/>
                    <w:jc w:val="center"/>
                  </w:pPr>
                  <w:r>
                    <w:t>废水</w:t>
                  </w:r>
                </w:p>
              </w:tc>
              <w:tc>
                <w:tcPr>
                  <w:tcW w:w="661" w:type="pct"/>
                  <w:vMerge w:val="restart"/>
                  <w:noWrap w:val="0"/>
                  <w:vAlign w:val="center"/>
                </w:tcPr>
                <w:p>
                  <w:pPr>
                    <w:pStyle w:val="11"/>
                    <w:bidi w:val="0"/>
                    <w:jc w:val="center"/>
                  </w:pPr>
                  <w:r>
                    <w:t>生活污水</w:t>
                  </w:r>
                </w:p>
              </w:tc>
              <w:tc>
                <w:tcPr>
                  <w:tcW w:w="798" w:type="pct"/>
                  <w:noWrap w:val="0"/>
                  <w:vAlign w:val="center"/>
                </w:tcPr>
                <w:p>
                  <w:pPr>
                    <w:pStyle w:val="11"/>
                    <w:bidi w:val="0"/>
                    <w:jc w:val="center"/>
                  </w:pPr>
                  <w:r>
                    <w:t>废水量（t/a）</w:t>
                  </w:r>
                </w:p>
              </w:tc>
              <w:tc>
                <w:tcPr>
                  <w:tcW w:w="616" w:type="pct"/>
                  <w:noWrap w:val="0"/>
                  <w:vAlign w:val="center"/>
                </w:tcPr>
                <w:p>
                  <w:pPr>
                    <w:pStyle w:val="11"/>
                    <w:bidi w:val="0"/>
                    <w:jc w:val="center"/>
                  </w:pPr>
                  <w:r>
                    <w:rPr>
                      <w:rFonts w:hint="eastAsia"/>
                    </w:rPr>
                    <w:t>0</w:t>
                  </w:r>
                </w:p>
              </w:tc>
              <w:tc>
                <w:tcPr>
                  <w:tcW w:w="583" w:type="pct"/>
                  <w:noWrap w:val="0"/>
                  <w:vAlign w:val="center"/>
                </w:tcPr>
                <w:p>
                  <w:pPr>
                    <w:pStyle w:val="11"/>
                    <w:bidi w:val="0"/>
                    <w:jc w:val="center"/>
                  </w:pPr>
                  <w:r>
                    <w:rPr>
                      <w:rFonts w:hint="eastAsia"/>
                    </w:rPr>
                    <w:t>0</w:t>
                  </w:r>
                </w:p>
              </w:tc>
              <w:tc>
                <w:tcPr>
                  <w:tcW w:w="616" w:type="pct"/>
                  <w:noWrap w:val="0"/>
                  <w:vAlign w:val="center"/>
                </w:tcPr>
                <w:p>
                  <w:pPr>
                    <w:pStyle w:val="11"/>
                    <w:bidi w:val="0"/>
                    <w:jc w:val="center"/>
                  </w:pPr>
                  <w:r>
                    <w:rPr>
                      <w:rFonts w:hint="eastAsia"/>
                    </w:rPr>
                    <w:t>0</w:t>
                  </w:r>
                </w:p>
              </w:tc>
              <w:tc>
                <w:tcPr>
                  <w:tcW w:w="831" w:type="pct"/>
                  <w:noWrap w:val="0"/>
                  <w:vAlign w:val="center"/>
                </w:tcPr>
                <w:p>
                  <w:pPr>
                    <w:pStyle w:val="11"/>
                    <w:bidi w:val="0"/>
                    <w:jc w:val="center"/>
                  </w:pPr>
                  <w:r>
                    <w:rPr>
                      <w:rFonts w:hint="eastAsia"/>
                    </w:rP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11"/>
                    <w:bidi w:val="0"/>
                    <w:jc w:val="center"/>
                  </w:pPr>
                </w:p>
              </w:tc>
              <w:tc>
                <w:tcPr>
                  <w:tcW w:w="661" w:type="pct"/>
                  <w:vMerge w:val="continue"/>
                  <w:noWrap w:val="0"/>
                  <w:vAlign w:val="center"/>
                </w:tcPr>
                <w:p>
                  <w:pPr>
                    <w:pStyle w:val="11"/>
                    <w:bidi w:val="0"/>
                    <w:jc w:val="center"/>
                  </w:pPr>
                </w:p>
              </w:tc>
              <w:tc>
                <w:tcPr>
                  <w:tcW w:w="798" w:type="pct"/>
                  <w:noWrap w:val="0"/>
                  <w:vAlign w:val="center"/>
                </w:tcPr>
                <w:p>
                  <w:pPr>
                    <w:pStyle w:val="11"/>
                    <w:bidi w:val="0"/>
                    <w:jc w:val="center"/>
                  </w:pPr>
                  <w:r>
                    <w:t>COD（t/a）</w:t>
                  </w:r>
                </w:p>
              </w:tc>
              <w:tc>
                <w:tcPr>
                  <w:tcW w:w="616" w:type="pct"/>
                  <w:noWrap w:val="0"/>
                  <w:vAlign w:val="center"/>
                </w:tcPr>
                <w:p>
                  <w:pPr>
                    <w:pStyle w:val="11"/>
                    <w:bidi w:val="0"/>
                    <w:jc w:val="center"/>
                  </w:pPr>
                  <w:r>
                    <w:rPr>
                      <w:rFonts w:hint="eastAsia"/>
                    </w:rPr>
                    <w:t>0</w:t>
                  </w:r>
                </w:p>
              </w:tc>
              <w:tc>
                <w:tcPr>
                  <w:tcW w:w="583" w:type="pct"/>
                  <w:noWrap w:val="0"/>
                  <w:vAlign w:val="center"/>
                </w:tcPr>
                <w:p>
                  <w:pPr>
                    <w:pStyle w:val="11"/>
                    <w:bidi w:val="0"/>
                    <w:jc w:val="center"/>
                  </w:pPr>
                  <w:r>
                    <w:rPr>
                      <w:rFonts w:hint="eastAsia"/>
                    </w:rPr>
                    <w:t>0</w:t>
                  </w:r>
                </w:p>
              </w:tc>
              <w:tc>
                <w:tcPr>
                  <w:tcW w:w="616" w:type="pct"/>
                  <w:noWrap w:val="0"/>
                  <w:vAlign w:val="center"/>
                </w:tcPr>
                <w:p>
                  <w:pPr>
                    <w:pStyle w:val="11"/>
                    <w:bidi w:val="0"/>
                    <w:jc w:val="center"/>
                  </w:pPr>
                  <w:r>
                    <w:rPr>
                      <w:rFonts w:hint="eastAsia"/>
                    </w:rPr>
                    <w:t>0</w:t>
                  </w:r>
                </w:p>
              </w:tc>
              <w:tc>
                <w:tcPr>
                  <w:tcW w:w="831" w:type="pct"/>
                  <w:noWrap w:val="0"/>
                  <w:vAlign w:val="center"/>
                </w:tcPr>
                <w:p>
                  <w:pPr>
                    <w:pStyle w:val="11"/>
                    <w:bidi w:val="0"/>
                    <w:jc w:val="center"/>
                  </w:pPr>
                  <w:r>
                    <w:rPr>
                      <w:rFonts w:hint="eastAsia"/>
                    </w:rP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11"/>
                    <w:bidi w:val="0"/>
                    <w:jc w:val="center"/>
                  </w:pPr>
                </w:p>
              </w:tc>
              <w:tc>
                <w:tcPr>
                  <w:tcW w:w="661" w:type="pct"/>
                  <w:vMerge w:val="continue"/>
                  <w:noWrap w:val="0"/>
                  <w:vAlign w:val="center"/>
                </w:tcPr>
                <w:p>
                  <w:pPr>
                    <w:pStyle w:val="11"/>
                    <w:bidi w:val="0"/>
                    <w:jc w:val="center"/>
                  </w:pPr>
                </w:p>
              </w:tc>
              <w:tc>
                <w:tcPr>
                  <w:tcW w:w="798" w:type="pct"/>
                  <w:noWrap w:val="0"/>
                  <w:vAlign w:val="center"/>
                </w:tcPr>
                <w:p>
                  <w:pPr>
                    <w:pStyle w:val="11"/>
                    <w:bidi w:val="0"/>
                    <w:jc w:val="center"/>
                  </w:pPr>
                  <w:r>
                    <w:t>BOD5（t/a）</w:t>
                  </w:r>
                </w:p>
              </w:tc>
              <w:tc>
                <w:tcPr>
                  <w:tcW w:w="616" w:type="pct"/>
                  <w:noWrap w:val="0"/>
                  <w:vAlign w:val="center"/>
                </w:tcPr>
                <w:p>
                  <w:pPr>
                    <w:pStyle w:val="11"/>
                    <w:bidi w:val="0"/>
                    <w:jc w:val="center"/>
                  </w:pPr>
                  <w:r>
                    <w:rPr>
                      <w:rFonts w:hint="eastAsia"/>
                    </w:rPr>
                    <w:t>0</w:t>
                  </w:r>
                </w:p>
              </w:tc>
              <w:tc>
                <w:tcPr>
                  <w:tcW w:w="583" w:type="pct"/>
                  <w:noWrap w:val="0"/>
                  <w:vAlign w:val="center"/>
                </w:tcPr>
                <w:p>
                  <w:pPr>
                    <w:pStyle w:val="11"/>
                    <w:bidi w:val="0"/>
                    <w:jc w:val="center"/>
                  </w:pPr>
                  <w:r>
                    <w:rPr>
                      <w:rFonts w:hint="eastAsia"/>
                    </w:rPr>
                    <w:t>0</w:t>
                  </w:r>
                </w:p>
              </w:tc>
              <w:tc>
                <w:tcPr>
                  <w:tcW w:w="616" w:type="pct"/>
                  <w:noWrap w:val="0"/>
                  <w:vAlign w:val="center"/>
                </w:tcPr>
                <w:p>
                  <w:pPr>
                    <w:pStyle w:val="11"/>
                    <w:bidi w:val="0"/>
                    <w:jc w:val="center"/>
                  </w:pPr>
                  <w:r>
                    <w:rPr>
                      <w:rFonts w:hint="eastAsia"/>
                    </w:rPr>
                    <w:t>0</w:t>
                  </w:r>
                </w:p>
              </w:tc>
              <w:tc>
                <w:tcPr>
                  <w:tcW w:w="831" w:type="pct"/>
                  <w:noWrap w:val="0"/>
                  <w:vAlign w:val="center"/>
                </w:tcPr>
                <w:p>
                  <w:pPr>
                    <w:pStyle w:val="11"/>
                    <w:bidi w:val="0"/>
                    <w:jc w:val="center"/>
                  </w:pPr>
                  <w:r>
                    <w:rPr>
                      <w:rFonts w:hint="eastAsia"/>
                    </w:rP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11"/>
                    <w:bidi w:val="0"/>
                    <w:jc w:val="center"/>
                  </w:pPr>
                </w:p>
              </w:tc>
              <w:tc>
                <w:tcPr>
                  <w:tcW w:w="661" w:type="pct"/>
                  <w:vMerge w:val="continue"/>
                  <w:noWrap w:val="0"/>
                  <w:vAlign w:val="center"/>
                </w:tcPr>
                <w:p>
                  <w:pPr>
                    <w:pStyle w:val="11"/>
                    <w:bidi w:val="0"/>
                    <w:jc w:val="center"/>
                  </w:pPr>
                </w:p>
              </w:tc>
              <w:tc>
                <w:tcPr>
                  <w:tcW w:w="798" w:type="pct"/>
                  <w:noWrap w:val="0"/>
                  <w:vAlign w:val="center"/>
                </w:tcPr>
                <w:p>
                  <w:pPr>
                    <w:pStyle w:val="11"/>
                    <w:bidi w:val="0"/>
                    <w:jc w:val="center"/>
                  </w:pPr>
                  <w:r>
                    <w:t>SS（t/a）</w:t>
                  </w:r>
                </w:p>
              </w:tc>
              <w:tc>
                <w:tcPr>
                  <w:tcW w:w="616" w:type="pct"/>
                  <w:noWrap w:val="0"/>
                  <w:vAlign w:val="center"/>
                </w:tcPr>
                <w:p>
                  <w:pPr>
                    <w:pStyle w:val="11"/>
                    <w:bidi w:val="0"/>
                    <w:jc w:val="center"/>
                  </w:pPr>
                  <w:r>
                    <w:rPr>
                      <w:rFonts w:hint="eastAsia"/>
                    </w:rPr>
                    <w:t>0</w:t>
                  </w:r>
                </w:p>
              </w:tc>
              <w:tc>
                <w:tcPr>
                  <w:tcW w:w="583" w:type="pct"/>
                  <w:noWrap w:val="0"/>
                  <w:vAlign w:val="center"/>
                </w:tcPr>
                <w:p>
                  <w:pPr>
                    <w:pStyle w:val="11"/>
                    <w:bidi w:val="0"/>
                    <w:jc w:val="center"/>
                  </w:pPr>
                  <w:r>
                    <w:rPr>
                      <w:rFonts w:hint="eastAsia"/>
                    </w:rPr>
                    <w:t>0</w:t>
                  </w:r>
                </w:p>
              </w:tc>
              <w:tc>
                <w:tcPr>
                  <w:tcW w:w="616" w:type="pct"/>
                  <w:noWrap w:val="0"/>
                  <w:vAlign w:val="center"/>
                </w:tcPr>
                <w:p>
                  <w:pPr>
                    <w:pStyle w:val="11"/>
                    <w:bidi w:val="0"/>
                    <w:jc w:val="center"/>
                  </w:pPr>
                  <w:r>
                    <w:rPr>
                      <w:rFonts w:hint="eastAsia"/>
                    </w:rPr>
                    <w:t>0</w:t>
                  </w:r>
                </w:p>
              </w:tc>
              <w:tc>
                <w:tcPr>
                  <w:tcW w:w="831" w:type="pct"/>
                  <w:noWrap w:val="0"/>
                  <w:vAlign w:val="center"/>
                </w:tcPr>
                <w:p>
                  <w:pPr>
                    <w:pStyle w:val="11"/>
                    <w:bidi w:val="0"/>
                    <w:jc w:val="center"/>
                  </w:pPr>
                  <w:r>
                    <w:rPr>
                      <w:rFonts w:hint="eastAsia"/>
                    </w:rP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11"/>
                    <w:bidi w:val="0"/>
                    <w:jc w:val="center"/>
                  </w:pPr>
                </w:p>
              </w:tc>
              <w:tc>
                <w:tcPr>
                  <w:tcW w:w="661" w:type="pct"/>
                  <w:vMerge w:val="continue"/>
                  <w:noWrap w:val="0"/>
                  <w:vAlign w:val="center"/>
                </w:tcPr>
                <w:p>
                  <w:pPr>
                    <w:pStyle w:val="11"/>
                    <w:bidi w:val="0"/>
                    <w:jc w:val="center"/>
                  </w:pPr>
                </w:p>
              </w:tc>
              <w:tc>
                <w:tcPr>
                  <w:tcW w:w="798" w:type="pct"/>
                  <w:noWrap w:val="0"/>
                  <w:vAlign w:val="center"/>
                </w:tcPr>
                <w:p>
                  <w:pPr>
                    <w:pStyle w:val="11"/>
                    <w:bidi w:val="0"/>
                    <w:jc w:val="center"/>
                  </w:pPr>
                  <w:r>
                    <w:t>氨氮（t/a）</w:t>
                  </w:r>
                </w:p>
              </w:tc>
              <w:tc>
                <w:tcPr>
                  <w:tcW w:w="616" w:type="pct"/>
                  <w:noWrap w:val="0"/>
                  <w:vAlign w:val="center"/>
                </w:tcPr>
                <w:p>
                  <w:pPr>
                    <w:pStyle w:val="11"/>
                    <w:bidi w:val="0"/>
                    <w:jc w:val="center"/>
                  </w:pPr>
                  <w:r>
                    <w:rPr>
                      <w:rFonts w:hint="eastAsia"/>
                    </w:rPr>
                    <w:t>0</w:t>
                  </w:r>
                </w:p>
              </w:tc>
              <w:tc>
                <w:tcPr>
                  <w:tcW w:w="583" w:type="pct"/>
                  <w:noWrap w:val="0"/>
                  <w:vAlign w:val="center"/>
                </w:tcPr>
                <w:p>
                  <w:pPr>
                    <w:pStyle w:val="11"/>
                    <w:bidi w:val="0"/>
                    <w:jc w:val="center"/>
                  </w:pPr>
                  <w:r>
                    <w:rPr>
                      <w:rFonts w:hint="eastAsia"/>
                    </w:rPr>
                    <w:t>0</w:t>
                  </w:r>
                </w:p>
              </w:tc>
              <w:tc>
                <w:tcPr>
                  <w:tcW w:w="616" w:type="pct"/>
                  <w:noWrap w:val="0"/>
                  <w:vAlign w:val="center"/>
                </w:tcPr>
                <w:p>
                  <w:pPr>
                    <w:pStyle w:val="11"/>
                    <w:bidi w:val="0"/>
                    <w:jc w:val="center"/>
                  </w:pPr>
                  <w:r>
                    <w:rPr>
                      <w:rFonts w:hint="eastAsia"/>
                    </w:rPr>
                    <w:t>0</w:t>
                  </w:r>
                </w:p>
              </w:tc>
              <w:tc>
                <w:tcPr>
                  <w:tcW w:w="831" w:type="pct"/>
                  <w:noWrap w:val="0"/>
                  <w:vAlign w:val="center"/>
                </w:tcPr>
                <w:p>
                  <w:pPr>
                    <w:pStyle w:val="11"/>
                    <w:bidi w:val="0"/>
                    <w:jc w:val="center"/>
                  </w:pPr>
                  <w:r>
                    <w:rPr>
                      <w:rFonts w:hint="eastAsia"/>
                    </w:rP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11"/>
                    <w:bidi w:val="0"/>
                    <w:jc w:val="center"/>
                  </w:pPr>
                </w:p>
              </w:tc>
              <w:tc>
                <w:tcPr>
                  <w:tcW w:w="661" w:type="pct"/>
                  <w:vMerge w:val="continue"/>
                  <w:noWrap w:val="0"/>
                  <w:vAlign w:val="center"/>
                </w:tcPr>
                <w:p>
                  <w:pPr>
                    <w:pStyle w:val="11"/>
                    <w:bidi w:val="0"/>
                    <w:jc w:val="center"/>
                  </w:pPr>
                </w:p>
              </w:tc>
              <w:tc>
                <w:tcPr>
                  <w:tcW w:w="798" w:type="pct"/>
                  <w:noWrap w:val="0"/>
                  <w:vAlign w:val="center"/>
                </w:tcPr>
                <w:p>
                  <w:pPr>
                    <w:pStyle w:val="11"/>
                    <w:bidi w:val="0"/>
                    <w:jc w:val="center"/>
                  </w:pPr>
                  <w:r>
                    <w:t>石油类（t/a）</w:t>
                  </w:r>
                </w:p>
              </w:tc>
              <w:tc>
                <w:tcPr>
                  <w:tcW w:w="616" w:type="pct"/>
                  <w:noWrap w:val="0"/>
                  <w:vAlign w:val="center"/>
                </w:tcPr>
                <w:p>
                  <w:pPr>
                    <w:pStyle w:val="11"/>
                    <w:bidi w:val="0"/>
                    <w:jc w:val="center"/>
                  </w:pPr>
                  <w:r>
                    <w:t>0</w:t>
                  </w:r>
                </w:p>
              </w:tc>
              <w:tc>
                <w:tcPr>
                  <w:tcW w:w="583" w:type="pct"/>
                  <w:noWrap w:val="0"/>
                  <w:vAlign w:val="center"/>
                </w:tcPr>
                <w:p>
                  <w:pPr>
                    <w:pStyle w:val="11"/>
                    <w:bidi w:val="0"/>
                    <w:jc w:val="center"/>
                  </w:pPr>
                  <w:r>
                    <w:t>0</w:t>
                  </w:r>
                </w:p>
              </w:tc>
              <w:tc>
                <w:tcPr>
                  <w:tcW w:w="616" w:type="pct"/>
                  <w:noWrap w:val="0"/>
                  <w:vAlign w:val="center"/>
                </w:tcPr>
                <w:p>
                  <w:pPr>
                    <w:pStyle w:val="11"/>
                    <w:bidi w:val="0"/>
                    <w:jc w:val="center"/>
                  </w:pPr>
                  <w:r>
                    <w:t>0</w:t>
                  </w:r>
                </w:p>
              </w:tc>
              <w:tc>
                <w:tcPr>
                  <w:tcW w:w="831" w:type="pct"/>
                  <w:noWrap w:val="0"/>
                  <w:vAlign w:val="center"/>
                </w:tcPr>
                <w:p>
                  <w:pPr>
                    <w:pStyle w:val="11"/>
                    <w:bidi w:val="0"/>
                    <w:jc w:val="center"/>
                  </w:pPr>
                  <w:r>
                    <w:t>0</w:t>
                  </w:r>
                </w:p>
              </w:tc>
              <w:tc>
                <w:tcPr>
                  <w:tcW w:w="655" w:type="pct"/>
                  <w:noWrap w:val="0"/>
                  <w:vAlign w:val="center"/>
                </w:tcPr>
                <w:p>
                  <w:pPr>
                    <w:pStyle w:val="11"/>
                    <w:bidi w:val="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11"/>
                    <w:bidi w:val="0"/>
                    <w:jc w:val="center"/>
                  </w:pPr>
                  <w:r>
                    <w:t>固</w:t>
                  </w:r>
                </w:p>
                <w:p>
                  <w:pPr>
                    <w:pStyle w:val="11"/>
                    <w:bidi w:val="0"/>
                    <w:jc w:val="center"/>
                  </w:pPr>
                  <w:r>
                    <w:t>废</w:t>
                  </w:r>
                </w:p>
              </w:tc>
              <w:tc>
                <w:tcPr>
                  <w:tcW w:w="661" w:type="pct"/>
                  <w:noWrap w:val="0"/>
                  <w:vAlign w:val="center"/>
                </w:tcPr>
                <w:p>
                  <w:pPr>
                    <w:pStyle w:val="11"/>
                    <w:bidi w:val="0"/>
                    <w:jc w:val="center"/>
                  </w:pPr>
                  <w:r>
                    <w:t>生活垃圾</w:t>
                  </w:r>
                </w:p>
              </w:tc>
              <w:tc>
                <w:tcPr>
                  <w:tcW w:w="798" w:type="pct"/>
                  <w:noWrap w:val="0"/>
                  <w:vAlign w:val="center"/>
                </w:tcPr>
                <w:p>
                  <w:pPr>
                    <w:pStyle w:val="11"/>
                    <w:bidi w:val="0"/>
                    <w:jc w:val="center"/>
                  </w:pPr>
                  <w:r>
                    <w:t>果品、纸屑（t/a）</w:t>
                  </w:r>
                </w:p>
              </w:tc>
              <w:tc>
                <w:tcPr>
                  <w:tcW w:w="616" w:type="pct"/>
                  <w:noWrap w:val="0"/>
                  <w:vAlign w:val="center"/>
                </w:tcPr>
                <w:p>
                  <w:pPr>
                    <w:pStyle w:val="11"/>
                    <w:bidi w:val="0"/>
                    <w:jc w:val="center"/>
                  </w:pPr>
                  <w:r>
                    <w:t>0</w:t>
                  </w:r>
                </w:p>
              </w:tc>
              <w:tc>
                <w:tcPr>
                  <w:tcW w:w="583" w:type="pct"/>
                  <w:noWrap w:val="0"/>
                  <w:vAlign w:val="center"/>
                </w:tcPr>
                <w:p>
                  <w:pPr>
                    <w:pStyle w:val="11"/>
                    <w:bidi w:val="0"/>
                    <w:jc w:val="center"/>
                  </w:pPr>
                  <w:r>
                    <w:t>0</w:t>
                  </w:r>
                </w:p>
              </w:tc>
              <w:tc>
                <w:tcPr>
                  <w:tcW w:w="616" w:type="pct"/>
                  <w:noWrap w:val="0"/>
                  <w:vAlign w:val="center"/>
                </w:tcPr>
                <w:p>
                  <w:pPr>
                    <w:pStyle w:val="11"/>
                    <w:bidi w:val="0"/>
                    <w:jc w:val="center"/>
                  </w:pPr>
                  <w:r>
                    <w:t>0</w:t>
                  </w:r>
                </w:p>
              </w:tc>
              <w:tc>
                <w:tcPr>
                  <w:tcW w:w="831" w:type="pct"/>
                  <w:noWrap w:val="0"/>
                  <w:vAlign w:val="center"/>
                </w:tcPr>
                <w:p>
                  <w:pPr>
                    <w:pStyle w:val="11"/>
                    <w:bidi w:val="0"/>
                    <w:jc w:val="center"/>
                  </w:pPr>
                  <w:r>
                    <w:t>0</w:t>
                  </w:r>
                </w:p>
              </w:tc>
              <w:tc>
                <w:tcPr>
                  <w:tcW w:w="655" w:type="pct"/>
                  <w:noWrap w:val="0"/>
                  <w:vAlign w:val="center"/>
                </w:tcPr>
                <w:p>
                  <w:pPr>
                    <w:pStyle w:val="11"/>
                    <w:bidi w:val="0"/>
                    <w:jc w:val="center"/>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11"/>
                    <w:bidi w:val="0"/>
                    <w:jc w:val="center"/>
                  </w:pPr>
                  <w:r>
                    <w:t>危险废物</w:t>
                  </w:r>
                </w:p>
              </w:tc>
              <w:tc>
                <w:tcPr>
                  <w:tcW w:w="661" w:type="pct"/>
                  <w:noWrap w:val="0"/>
                  <w:vAlign w:val="center"/>
                </w:tcPr>
                <w:p>
                  <w:pPr>
                    <w:pStyle w:val="11"/>
                    <w:bidi w:val="0"/>
                    <w:jc w:val="center"/>
                  </w:pPr>
                  <w:r>
                    <w:t>加油机、储油罐</w:t>
                  </w:r>
                </w:p>
              </w:tc>
              <w:tc>
                <w:tcPr>
                  <w:tcW w:w="798" w:type="pct"/>
                  <w:noWrap w:val="0"/>
                  <w:vAlign w:val="center"/>
                </w:tcPr>
                <w:p>
                  <w:pPr>
                    <w:pStyle w:val="11"/>
                    <w:bidi w:val="0"/>
                    <w:jc w:val="center"/>
                  </w:pPr>
                  <w:r>
                    <w:rPr>
                      <w:rFonts w:hint="eastAsia"/>
                    </w:rPr>
                    <w:t>清洗废水</w:t>
                  </w:r>
                  <w:r>
                    <w:t>、油泥、（t/a）</w:t>
                  </w:r>
                </w:p>
              </w:tc>
              <w:tc>
                <w:tcPr>
                  <w:tcW w:w="616" w:type="pct"/>
                  <w:noWrap w:val="0"/>
                  <w:vAlign w:val="center"/>
                </w:tcPr>
                <w:p>
                  <w:pPr>
                    <w:pStyle w:val="11"/>
                    <w:bidi w:val="0"/>
                    <w:jc w:val="center"/>
                  </w:pPr>
                  <w:r>
                    <w:t>0</w:t>
                  </w:r>
                </w:p>
              </w:tc>
              <w:tc>
                <w:tcPr>
                  <w:tcW w:w="583" w:type="pct"/>
                  <w:noWrap w:val="0"/>
                  <w:vAlign w:val="center"/>
                </w:tcPr>
                <w:p>
                  <w:pPr>
                    <w:pStyle w:val="11"/>
                    <w:bidi w:val="0"/>
                    <w:jc w:val="center"/>
                  </w:pPr>
                  <w:r>
                    <w:t>0</w:t>
                  </w:r>
                </w:p>
              </w:tc>
              <w:tc>
                <w:tcPr>
                  <w:tcW w:w="616" w:type="pct"/>
                  <w:noWrap w:val="0"/>
                  <w:vAlign w:val="center"/>
                </w:tcPr>
                <w:p>
                  <w:pPr>
                    <w:pStyle w:val="11"/>
                    <w:bidi w:val="0"/>
                    <w:jc w:val="center"/>
                  </w:pPr>
                  <w:r>
                    <w:t>0</w:t>
                  </w:r>
                </w:p>
              </w:tc>
              <w:tc>
                <w:tcPr>
                  <w:tcW w:w="831" w:type="pct"/>
                  <w:noWrap w:val="0"/>
                  <w:vAlign w:val="center"/>
                </w:tcPr>
                <w:p>
                  <w:pPr>
                    <w:pStyle w:val="11"/>
                    <w:bidi w:val="0"/>
                    <w:jc w:val="center"/>
                  </w:pPr>
                  <w:r>
                    <w:t>0</w:t>
                  </w:r>
                </w:p>
              </w:tc>
              <w:tc>
                <w:tcPr>
                  <w:tcW w:w="655" w:type="pct"/>
                  <w:noWrap w:val="0"/>
                  <w:vAlign w:val="center"/>
                </w:tcPr>
                <w:p>
                  <w:pPr>
                    <w:pStyle w:val="11"/>
                    <w:bidi w:val="0"/>
                    <w:jc w:val="center"/>
                  </w:pPr>
                  <w:r>
                    <w:t>0</w:t>
                  </w:r>
                </w:p>
              </w:tc>
            </w:tr>
            <w:bookmarkEnd w:id="26"/>
          </w:tbl>
          <w:p>
            <w:pPr>
              <w:adjustRightInd w:val="0"/>
              <w:snapToGrid w:val="0"/>
              <w:spacing w:line="500" w:lineRule="exact"/>
              <w:ind w:firstLine="0" w:firstLineChars="0"/>
              <w:rPr>
                <w:rFonts w:hint="default"/>
              </w:rPr>
            </w:pPr>
            <w:r>
              <w:rPr>
                <w:rFonts w:hint="eastAsia"/>
                <w:b/>
                <w:bCs/>
                <w:lang w:val="en-US" w:eastAsia="zh-CN"/>
              </w:rPr>
              <w:t>6</w:t>
            </w:r>
            <w:r>
              <w:rPr>
                <w:rFonts w:hint="default"/>
                <w:b/>
                <w:bCs/>
              </w:rPr>
              <w:t>、环保投资</w:t>
            </w:r>
          </w:p>
          <w:p>
            <w:pPr>
              <w:adjustRightInd w:val="0"/>
              <w:snapToGrid w:val="0"/>
              <w:spacing w:line="500" w:lineRule="exact"/>
              <w:ind w:firstLine="480" w:firstLineChars="200"/>
              <w:rPr>
                <w:rFonts w:hint="eastAsia"/>
                <w:lang w:eastAsia="zh-CN"/>
              </w:rPr>
            </w:pPr>
            <w:r>
              <w:rPr>
                <w:rFonts w:hint="default"/>
              </w:rPr>
              <w:t>本项目</w:t>
            </w:r>
            <w:r>
              <w:rPr>
                <w:rFonts w:hint="eastAsia"/>
                <w:lang w:eastAsia="zh-CN"/>
              </w:rPr>
              <w:t>总投资</w:t>
            </w:r>
            <w:r>
              <w:rPr>
                <w:rFonts w:hint="eastAsia"/>
                <w:lang w:val="en-US" w:eastAsia="zh-CN"/>
              </w:rPr>
              <w:t>120万元，</w:t>
            </w:r>
            <w:r>
              <w:rPr>
                <w:rFonts w:hint="default"/>
              </w:rPr>
              <w:t>环保投资估算约为</w:t>
            </w:r>
            <w:r>
              <w:rPr>
                <w:rFonts w:hint="eastAsia"/>
                <w:lang w:val="en-US" w:eastAsia="zh-CN"/>
              </w:rPr>
              <w:t>62.02</w:t>
            </w:r>
            <w:r>
              <w:rPr>
                <w:rFonts w:hint="default"/>
              </w:rPr>
              <w:t>万元，占总投资的</w:t>
            </w:r>
            <w:r>
              <w:rPr>
                <w:rFonts w:hint="eastAsia"/>
                <w:lang w:val="en-US" w:eastAsia="zh-CN"/>
              </w:rPr>
              <w:t>51.6%</w:t>
            </w:r>
            <w:r>
              <w:rPr>
                <w:rFonts w:hint="default"/>
              </w:rPr>
              <w:t>，其环保投资详见表</w:t>
            </w:r>
            <w:r>
              <w:rPr>
                <w:rFonts w:hint="eastAsia"/>
                <w:lang w:val="en-US" w:eastAsia="zh-CN"/>
              </w:rPr>
              <w:t>41</w:t>
            </w:r>
            <w:r>
              <w:rPr>
                <w:rFonts w:hint="eastAsia"/>
                <w:lang w:eastAsia="zh-CN"/>
              </w:rPr>
              <w:t>。</w:t>
            </w:r>
          </w:p>
          <w:p>
            <w:pPr>
              <w:pStyle w:val="2"/>
              <w:ind w:left="0" w:leftChars="0" w:firstLine="0" w:firstLineChars="0"/>
              <w:rPr>
                <w:rFonts w:hint="eastAsia"/>
                <w:lang w:val="en-US" w:eastAsia="zh-CN"/>
              </w:rPr>
            </w:pP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default"/>
                <w:b/>
                <w:bCs/>
                <w:lang w:val="en-US" w:eastAsia="zh-CN"/>
              </w:rPr>
            </w:pPr>
            <w:r>
              <w:rPr>
                <w:rFonts w:hint="eastAsia"/>
                <w:b/>
                <w:bCs/>
                <w:lang w:val="en-US" w:eastAsia="zh-CN"/>
              </w:rPr>
              <w:t xml:space="preserve">表41 </w:t>
            </w:r>
            <w:r>
              <w:rPr>
                <w:rFonts w:hint="default"/>
                <w:b/>
                <w:bCs/>
                <w:lang w:val="en-US" w:eastAsia="zh-CN"/>
              </w:rPr>
              <w:t>环保投资概况一览表</w:t>
            </w:r>
          </w:p>
          <w:tbl>
            <w:tblPr>
              <w:tblStyle w:val="22"/>
              <w:tblW w:w="821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9"/>
              <w:gridCol w:w="1434"/>
              <w:gridCol w:w="1876"/>
              <w:gridCol w:w="1428"/>
              <w:gridCol w:w="17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top w:val="single" w:color="auto" w:sz="8" w:space="0"/>
                    <w:left w:val="single" w:color="auto" w:sz="0" w:space="0"/>
                  </w:tcBorders>
                  <w:vAlign w:val="center"/>
                </w:tcPr>
                <w:p>
                  <w:pPr>
                    <w:pStyle w:val="11"/>
                    <w:bidi w:val="0"/>
                  </w:pPr>
                  <w:r>
                    <w:t>项目</w:t>
                  </w:r>
                </w:p>
              </w:tc>
              <w:tc>
                <w:tcPr>
                  <w:tcW w:w="1434" w:type="dxa"/>
                  <w:tcBorders>
                    <w:top w:val="single" w:color="auto" w:sz="8" w:space="0"/>
                  </w:tcBorders>
                  <w:vAlign w:val="center"/>
                </w:tcPr>
                <w:p>
                  <w:pPr>
                    <w:pStyle w:val="11"/>
                    <w:bidi w:val="0"/>
                  </w:pPr>
                  <w:r>
                    <w:rPr>
                      <w:rFonts w:hint="eastAsia"/>
                    </w:rPr>
                    <w:t>污染源</w:t>
                  </w:r>
                </w:p>
              </w:tc>
              <w:tc>
                <w:tcPr>
                  <w:tcW w:w="1876" w:type="dxa"/>
                  <w:tcBorders>
                    <w:top w:val="single" w:color="auto" w:sz="8" w:space="0"/>
                  </w:tcBorders>
                  <w:vAlign w:val="center"/>
                </w:tcPr>
                <w:p>
                  <w:pPr>
                    <w:pStyle w:val="11"/>
                    <w:bidi w:val="0"/>
                  </w:pPr>
                  <w:r>
                    <w:t>环保</w:t>
                  </w:r>
                  <w:r>
                    <w:rPr>
                      <w:rFonts w:hint="eastAsia"/>
                    </w:rPr>
                    <w:t>设施</w:t>
                  </w:r>
                  <w:r>
                    <w:t>名称</w:t>
                  </w:r>
                </w:p>
              </w:tc>
              <w:tc>
                <w:tcPr>
                  <w:tcW w:w="1428" w:type="dxa"/>
                  <w:tcBorders>
                    <w:top w:val="single" w:color="auto" w:sz="8" w:space="0"/>
                  </w:tcBorders>
                  <w:vAlign w:val="center"/>
                </w:tcPr>
                <w:p>
                  <w:pPr>
                    <w:pStyle w:val="11"/>
                    <w:bidi w:val="0"/>
                  </w:pPr>
                  <w:r>
                    <w:rPr>
                      <w:rFonts w:hint="eastAsia"/>
                    </w:rPr>
                    <w:t>数量</w:t>
                  </w:r>
                </w:p>
              </w:tc>
              <w:tc>
                <w:tcPr>
                  <w:tcW w:w="1783" w:type="dxa"/>
                  <w:tcBorders>
                    <w:top w:val="single" w:color="auto" w:sz="8" w:space="0"/>
                    <w:right w:val="single" w:color="auto" w:sz="8" w:space="0"/>
                  </w:tcBorders>
                  <w:vAlign w:val="center"/>
                </w:tcPr>
                <w:p>
                  <w:pPr>
                    <w:pStyle w:val="11"/>
                    <w:bidi w:val="0"/>
                  </w:pPr>
                  <w:r>
                    <w:t>投资额(万元)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pStyle w:val="11"/>
                    <w:bidi w:val="0"/>
                  </w:pPr>
                  <w:r>
                    <w:rPr>
                      <w:rFonts w:hint="eastAsia"/>
                    </w:rPr>
                    <w:t>废气治理</w:t>
                  </w:r>
                </w:p>
              </w:tc>
              <w:tc>
                <w:tcPr>
                  <w:tcW w:w="1434" w:type="dxa"/>
                  <w:vAlign w:val="center"/>
                </w:tcPr>
                <w:p>
                  <w:pPr>
                    <w:pStyle w:val="11"/>
                    <w:bidi w:val="0"/>
                  </w:pPr>
                  <w:r>
                    <w:rPr>
                      <w:rFonts w:hint="eastAsia"/>
                    </w:rPr>
                    <w:t>汽油储油罐</w:t>
                  </w:r>
                </w:p>
              </w:tc>
              <w:tc>
                <w:tcPr>
                  <w:tcW w:w="1876" w:type="dxa"/>
                  <w:vMerge w:val="restart"/>
                  <w:vAlign w:val="center"/>
                </w:tcPr>
                <w:p>
                  <w:pPr>
                    <w:pStyle w:val="11"/>
                    <w:bidi w:val="0"/>
                    <w:rPr>
                      <w:rFonts w:hint="eastAsia"/>
                      <w:lang w:eastAsia="zh-CN"/>
                    </w:rPr>
                  </w:pPr>
                  <w:r>
                    <w:rPr>
                      <w:rFonts w:hint="eastAsia"/>
                      <w:lang w:eastAsia="zh-CN"/>
                    </w:rPr>
                    <w:t>汽油卸油箱、一次油气回收装置、加油机二级油气回收装置</w:t>
                  </w:r>
                </w:p>
              </w:tc>
              <w:tc>
                <w:tcPr>
                  <w:tcW w:w="1428" w:type="dxa"/>
                  <w:vMerge w:val="restart"/>
                  <w:vAlign w:val="center"/>
                </w:tcPr>
                <w:p>
                  <w:pPr>
                    <w:pStyle w:val="11"/>
                    <w:bidi w:val="0"/>
                    <w:rPr>
                      <w:rFonts w:hint="eastAsia"/>
                      <w:lang w:eastAsia="zh-CN"/>
                    </w:rPr>
                  </w:pPr>
                  <w:r>
                    <w:rPr>
                      <w:rFonts w:hint="eastAsia"/>
                      <w:lang w:val="en-US" w:eastAsia="zh-CN"/>
                    </w:rPr>
                    <w:t>/</w:t>
                  </w:r>
                </w:p>
              </w:tc>
              <w:tc>
                <w:tcPr>
                  <w:tcW w:w="1783" w:type="dxa"/>
                  <w:vMerge w:val="restart"/>
                  <w:tcBorders>
                    <w:right w:val="single" w:color="auto" w:sz="8" w:space="0"/>
                  </w:tcBorders>
                  <w:vAlign w:val="center"/>
                </w:tcPr>
                <w:p>
                  <w:pPr>
                    <w:pStyle w:val="11"/>
                    <w:bidi w:val="0"/>
                    <w:rPr>
                      <w:rFonts w:hint="default"/>
                      <w:lang w:val="en-US" w:eastAsia="zh-CN"/>
                    </w:rPr>
                  </w:pPr>
                  <w:r>
                    <w:rPr>
                      <w:rFonts w:hint="eastAsia"/>
                      <w:lang w:val="en-US" w:eastAsia="zh-CN"/>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11"/>
                    <w:bidi w:val="0"/>
                  </w:pPr>
                </w:p>
              </w:tc>
              <w:tc>
                <w:tcPr>
                  <w:tcW w:w="1434" w:type="dxa"/>
                  <w:vAlign w:val="center"/>
                </w:tcPr>
                <w:p>
                  <w:pPr>
                    <w:pStyle w:val="11"/>
                    <w:bidi w:val="0"/>
                  </w:pPr>
                  <w:r>
                    <w:rPr>
                      <w:rFonts w:hint="eastAsia"/>
                    </w:rPr>
                    <w:t>汽油枪</w:t>
                  </w:r>
                </w:p>
              </w:tc>
              <w:tc>
                <w:tcPr>
                  <w:tcW w:w="1876" w:type="dxa"/>
                  <w:vMerge w:val="continue"/>
                  <w:vAlign w:val="center"/>
                </w:tcPr>
                <w:p>
                  <w:pPr>
                    <w:pStyle w:val="11"/>
                    <w:bidi w:val="0"/>
                  </w:pPr>
                </w:p>
              </w:tc>
              <w:tc>
                <w:tcPr>
                  <w:tcW w:w="1428" w:type="dxa"/>
                  <w:vMerge w:val="continue"/>
                  <w:vAlign w:val="center"/>
                </w:tcPr>
                <w:p>
                  <w:pPr>
                    <w:pStyle w:val="11"/>
                    <w:bidi w:val="0"/>
                  </w:pPr>
                </w:p>
              </w:tc>
              <w:tc>
                <w:tcPr>
                  <w:tcW w:w="1783" w:type="dxa"/>
                  <w:vMerge w:val="continue"/>
                  <w:tcBorders>
                    <w:right w:val="single" w:color="auto" w:sz="8" w:space="0"/>
                  </w:tcBorders>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left w:val="single" w:color="auto" w:sz="4" w:space="0"/>
                  </w:tcBorders>
                  <w:vAlign w:val="center"/>
                </w:tcPr>
                <w:p>
                  <w:pPr>
                    <w:pStyle w:val="11"/>
                    <w:bidi w:val="0"/>
                  </w:pPr>
                  <w:r>
                    <w:rPr>
                      <w:rFonts w:hint="eastAsia"/>
                    </w:rPr>
                    <w:t>固废治理</w:t>
                  </w:r>
                </w:p>
              </w:tc>
              <w:tc>
                <w:tcPr>
                  <w:tcW w:w="1434" w:type="dxa"/>
                  <w:vAlign w:val="center"/>
                </w:tcPr>
                <w:p>
                  <w:pPr>
                    <w:pStyle w:val="11"/>
                    <w:bidi w:val="0"/>
                    <w:rPr>
                      <w:rFonts w:hint="eastAsia"/>
                      <w:lang w:eastAsia="zh-CN"/>
                    </w:rPr>
                  </w:pPr>
                  <w:r>
                    <w:rPr>
                      <w:rFonts w:hint="eastAsia"/>
                      <w:lang w:eastAsia="zh-CN"/>
                    </w:rPr>
                    <w:t>生活垃圾</w:t>
                  </w:r>
                </w:p>
              </w:tc>
              <w:tc>
                <w:tcPr>
                  <w:tcW w:w="1876" w:type="dxa"/>
                  <w:vAlign w:val="center"/>
                </w:tcPr>
                <w:p>
                  <w:pPr>
                    <w:pStyle w:val="11"/>
                    <w:bidi w:val="0"/>
                    <w:rPr>
                      <w:rFonts w:hint="eastAsia"/>
                      <w:lang w:val="zh-CN" w:eastAsia="zh-CN"/>
                    </w:rPr>
                  </w:pPr>
                  <w:r>
                    <w:rPr>
                      <w:rFonts w:hint="eastAsia"/>
                      <w:lang w:val="zh-CN" w:eastAsia="zh-CN"/>
                    </w:rPr>
                    <w:t>垃圾收集箱</w:t>
                  </w:r>
                </w:p>
              </w:tc>
              <w:tc>
                <w:tcPr>
                  <w:tcW w:w="1428" w:type="dxa"/>
                  <w:vAlign w:val="center"/>
                </w:tcPr>
                <w:p>
                  <w:pPr>
                    <w:pStyle w:val="11"/>
                    <w:bidi w:val="0"/>
                  </w:pPr>
                  <w:r>
                    <w:rPr>
                      <w:rFonts w:hint="eastAsia"/>
                    </w:rPr>
                    <w:t>/</w:t>
                  </w:r>
                </w:p>
              </w:tc>
              <w:tc>
                <w:tcPr>
                  <w:tcW w:w="1783" w:type="dxa"/>
                  <w:tcBorders>
                    <w:right w:val="single" w:color="auto" w:sz="8" w:space="0"/>
                  </w:tcBorders>
                  <w:vAlign w:val="center"/>
                </w:tcPr>
                <w:p>
                  <w:pPr>
                    <w:pStyle w:val="11"/>
                    <w:bidi w:val="0"/>
                    <w:rPr>
                      <w:rFonts w:hint="default"/>
                      <w:lang w:val="en-US" w:eastAsia="zh-CN"/>
                    </w:rPr>
                  </w:pPr>
                  <w:r>
                    <w:rPr>
                      <w:rFonts w:hint="eastAsia"/>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pStyle w:val="11"/>
                    <w:bidi w:val="0"/>
                  </w:pPr>
                  <w:r>
                    <w:rPr>
                      <w:rFonts w:hint="eastAsia"/>
                    </w:rPr>
                    <w:t>地下水保护</w:t>
                  </w:r>
                </w:p>
              </w:tc>
              <w:tc>
                <w:tcPr>
                  <w:tcW w:w="1434" w:type="dxa"/>
                  <w:vMerge w:val="restart"/>
                  <w:vAlign w:val="center"/>
                </w:tcPr>
                <w:p>
                  <w:pPr>
                    <w:pStyle w:val="11"/>
                    <w:bidi w:val="0"/>
                  </w:pPr>
                  <w:r>
                    <w:rPr>
                      <w:rFonts w:hint="eastAsia"/>
                    </w:rPr>
                    <w:t>油罐</w:t>
                  </w:r>
                </w:p>
              </w:tc>
              <w:tc>
                <w:tcPr>
                  <w:tcW w:w="1876" w:type="dxa"/>
                  <w:vAlign w:val="center"/>
                </w:tcPr>
                <w:p>
                  <w:pPr>
                    <w:pStyle w:val="11"/>
                    <w:bidi w:val="0"/>
                  </w:pPr>
                  <w:r>
                    <w:rPr>
                      <w:rFonts w:hint="eastAsia"/>
                    </w:rPr>
                    <w:t>双层油罐</w:t>
                  </w:r>
                </w:p>
              </w:tc>
              <w:tc>
                <w:tcPr>
                  <w:tcW w:w="1428" w:type="dxa"/>
                  <w:vAlign w:val="center"/>
                </w:tcPr>
                <w:p>
                  <w:pPr>
                    <w:pStyle w:val="11"/>
                    <w:bidi w:val="0"/>
                  </w:pPr>
                  <w:r>
                    <w:rPr>
                      <w:rFonts w:hint="eastAsia"/>
                      <w:lang w:val="en-US" w:eastAsia="zh-CN"/>
                    </w:rPr>
                    <w:t>6</w:t>
                  </w:r>
                  <w:r>
                    <w:rPr>
                      <w:rFonts w:hint="eastAsia"/>
                    </w:rPr>
                    <w:t>座</w:t>
                  </w:r>
                </w:p>
              </w:tc>
              <w:tc>
                <w:tcPr>
                  <w:tcW w:w="1783" w:type="dxa"/>
                  <w:vMerge w:val="restart"/>
                  <w:tcBorders>
                    <w:right w:val="single" w:color="auto" w:sz="8" w:space="0"/>
                  </w:tcBorders>
                  <w:vAlign w:val="center"/>
                </w:tcPr>
                <w:p>
                  <w:pPr>
                    <w:pStyle w:val="11"/>
                    <w:bidi w:val="0"/>
                    <w:rPr>
                      <w:rFonts w:hint="default"/>
                      <w:lang w:val="en-US" w:eastAsia="zh-CN"/>
                    </w:rPr>
                  </w:pPr>
                  <w:r>
                    <w:rPr>
                      <w:rFonts w:hint="eastAsia"/>
                      <w:lang w:val="en-US" w:eastAsia="zh-CN"/>
                    </w:rPr>
                    <w:t>42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11"/>
                    <w:bidi w:val="0"/>
                  </w:pPr>
                </w:p>
              </w:tc>
              <w:tc>
                <w:tcPr>
                  <w:tcW w:w="1434" w:type="dxa"/>
                  <w:vMerge w:val="continue"/>
                  <w:vAlign w:val="center"/>
                </w:tcPr>
                <w:p>
                  <w:pPr>
                    <w:pStyle w:val="11"/>
                    <w:bidi w:val="0"/>
                  </w:pPr>
                </w:p>
              </w:tc>
              <w:tc>
                <w:tcPr>
                  <w:tcW w:w="1876" w:type="dxa"/>
                  <w:vAlign w:val="center"/>
                </w:tcPr>
                <w:p>
                  <w:pPr>
                    <w:pStyle w:val="11"/>
                    <w:bidi w:val="0"/>
                  </w:pPr>
                  <w:r>
                    <w:rPr>
                      <w:rFonts w:hint="eastAsia"/>
                    </w:rPr>
                    <w:t>防渗管道</w:t>
                  </w:r>
                </w:p>
              </w:tc>
              <w:tc>
                <w:tcPr>
                  <w:tcW w:w="1428" w:type="dxa"/>
                  <w:vAlign w:val="center"/>
                </w:tcPr>
                <w:p>
                  <w:pPr>
                    <w:pStyle w:val="11"/>
                    <w:bidi w:val="0"/>
                  </w:pPr>
                  <w:r>
                    <w:rPr>
                      <w:rFonts w:hint="eastAsia"/>
                    </w:rPr>
                    <w:t>1套</w:t>
                  </w:r>
                </w:p>
              </w:tc>
              <w:tc>
                <w:tcPr>
                  <w:tcW w:w="1783" w:type="dxa"/>
                  <w:vMerge w:val="continue"/>
                  <w:tcBorders>
                    <w:right w:val="single" w:color="auto" w:sz="8" w:space="0"/>
                  </w:tcBorders>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11"/>
                    <w:bidi w:val="0"/>
                  </w:pPr>
                </w:p>
              </w:tc>
              <w:tc>
                <w:tcPr>
                  <w:tcW w:w="1434" w:type="dxa"/>
                  <w:vMerge w:val="continue"/>
                  <w:vAlign w:val="center"/>
                </w:tcPr>
                <w:p>
                  <w:pPr>
                    <w:pStyle w:val="11"/>
                    <w:bidi w:val="0"/>
                  </w:pPr>
                </w:p>
              </w:tc>
              <w:tc>
                <w:tcPr>
                  <w:tcW w:w="1876" w:type="dxa"/>
                  <w:vAlign w:val="center"/>
                </w:tcPr>
                <w:p>
                  <w:pPr>
                    <w:pStyle w:val="11"/>
                    <w:bidi w:val="0"/>
                    <w:rPr>
                      <w:rFonts w:hint="eastAsia"/>
                      <w:lang w:eastAsia="zh-CN"/>
                    </w:rPr>
                  </w:pPr>
                  <w:r>
                    <w:rPr>
                      <w:rFonts w:hint="eastAsia"/>
                    </w:rPr>
                    <w:t>地下水监测井</w:t>
                  </w:r>
                  <w:r>
                    <w:rPr>
                      <w:rFonts w:hint="eastAsia"/>
                      <w:lang w:eastAsia="zh-CN"/>
                    </w:rPr>
                    <w:t>（</w:t>
                  </w:r>
                  <w:r>
                    <w:rPr>
                      <w:rFonts w:hint="eastAsia"/>
                    </w:rPr>
                    <w:t>与埋地油罐的距离不超过30m</w:t>
                  </w:r>
                  <w:r>
                    <w:rPr>
                      <w:rFonts w:hint="eastAsia"/>
                      <w:lang w:eastAsia="zh-CN"/>
                    </w:rPr>
                    <w:t>）</w:t>
                  </w:r>
                </w:p>
              </w:tc>
              <w:tc>
                <w:tcPr>
                  <w:tcW w:w="1428" w:type="dxa"/>
                  <w:vAlign w:val="center"/>
                </w:tcPr>
                <w:p>
                  <w:pPr>
                    <w:pStyle w:val="11"/>
                    <w:bidi w:val="0"/>
                  </w:pPr>
                  <w:r>
                    <w:rPr>
                      <w:rFonts w:hint="eastAsia"/>
                    </w:rPr>
                    <w:t>1个</w:t>
                  </w:r>
                </w:p>
              </w:tc>
              <w:tc>
                <w:tcPr>
                  <w:tcW w:w="1783" w:type="dxa"/>
                  <w:vMerge w:val="continue"/>
                  <w:tcBorders>
                    <w:right w:val="single" w:color="auto" w:sz="8" w:space="0"/>
                  </w:tcBorders>
                  <w:vAlign w:val="center"/>
                </w:tcPr>
                <w:p>
                  <w:pPr>
                    <w:pStyle w:val="11"/>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99" w:type="dxa"/>
                  <w:gridSpan w:val="3"/>
                  <w:tcBorders>
                    <w:left w:val="single" w:color="auto" w:sz="4" w:space="0"/>
                    <w:bottom w:val="single" w:color="auto" w:sz="8" w:space="0"/>
                  </w:tcBorders>
                  <w:vAlign w:val="center"/>
                </w:tcPr>
                <w:p>
                  <w:pPr>
                    <w:pStyle w:val="11"/>
                    <w:bidi w:val="0"/>
                  </w:pPr>
                  <w:r>
                    <w:t>合计</w:t>
                  </w:r>
                </w:p>
              </w:tc>
              <w:tc>
                <w:tcPr>
                  <w:tcW w:w="1428" w:type="dxa"/>
                  <w:tcBorders>
                    <w:bottom w:val="single" w:color="auto" w:sz="8" w:space="0"/>
                  </w:tcBorders>
                  <w:vAlign w:val="center"/>
                </w:tcPr>
                <w:p>
                  <w:pPr>
                    <w:pStyle w:val="11"/>
                    <w:bidi w:val="0"/>
                  </w:pPr>
                  <w:r>
                    <w:rPr>
                      <w:rFonts w:hint="eastAsia"/>
                    </w:rPr>
                    <w:t>/</w:t>
                  </w:r>
                </w:p>
              </w:tc>
              <w:tc>
                <w:tcPr>
                  <w:tcW w:w="1783" w:type="dxa"/>
                  <w:tcBorders>
                    <w:bottom w:val="single" w:color="auto" w:sz="8" w:space="0"/>
                    <w:right w:val="single" w:color="auto" w:sz="8" w:space="0"/>
                  </w:tcBorders>
                  <w:vAlign w:val="center"/>
                </w:tcPr>
                <w:p>
                  <w:pPr>
                    <w:pStyle w:val="11"/>
                    <w:bidi w:val="0"/>
                    <w:rPr>
                      <w:rFonts w:hint="default"/>
                      <w:lang w:val="en-US" w:eastAsia="zh-CN"/>
                    </w:rPr>
                  </w:pPr>
                  <w:r>
                    <w:rPr>
                      <w:rFonts w:hint="eastAsia"/>
                      <w:lang w:val="en-US" w:eastAsia="zh-CN"/>
                    </w:rPr>
                    <w:t>62.02</w:t>
                  </w:r>
                </w:p>
              </w:tc>
            </w:tr>
          </w:tbl>
          <w:p>
            <w:pPr>
              <w:adjustRightInd w:val="0"/>
              <w:snapToGrid w:val="0"/>
              <w:spacing w:line="500" w:lineRule="exact"/>
              <w:ind w:firstLine="0" w:firstLineChars="0"/>
              <w:rPr>
                <w:rFonts w:hint="eastAsia"/>
                <w:lang w:val="en-US" w:eastAsia="zh-CN"/>
              </w:rPr>
            </w:pPr>
            <w:r>
              <w:rPr>
                <w:rFonts w:hint="eastAsia"/>
                <w:b/>
                <w:bCs/>
                <w:lang w:val="en-US" w:eastAsia="zh-CN"/>
              </w:rPr>
              <w:t>7、环保验收</w:t>
            </w:r>
          </w:p>
          <w:p>
            <w:pPr>
              <w:adjustRightInd w:val="0"/>
              <w:snapToGrid w:val="0"/>
              <w:spacing w:line="500" w:lineRule="exact"/>
              <w:ind w:firstLine="480" w:firstLineChars="200"/>
            </w:pPr>
            <w:r>
              <w:rPr>
                <w:rFonts w:hint="eastAsia"/>
              </w:rPr>
              <w:t>本项目环保设施三同时环保验收内容详见表</w:t>
            </w:r>
            <w:r>
              <w:rPr>
                <w:rFonts w:hint="eastAsia"/>
                <w:lang w:val="en-US" w:eastAsia="zh-CN"/>
              </w:rPr>
              <w:t>42</w:t>
            </w:r>
            <w:r>
              <w:rPr>
                <w:rFonts w:hint="eastAsia"/>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eastAsia"/>
                <w:b/>
                <w:bCs/>
                <w:lang w:val="en-US" w:eastAsia="zh-CN"/>
              </w:rPr>
            </w:pPr>
            <w:r>
              <w:rPr>
                <w:rFonts w:hint="eastAsia"/>
                <w:b/>
                <w:bCs/>
                <w:lang w:val="en-US" w:eastAsia="zh-CN"/>
              </w:rPr>
              <w:t>表42      环保设施验收一览表</w:t>
            </w:r>
          </w:p>
          <w:tbl>
            <w:tblPr>
              <w:tblStyle w:val="22"/>
              <w:tblpPr w:leftFromText="180" w:rightFromText="180" w:vertAnchor="text" w:horzAnchor="margin" w:tblpY="51"/>
              <w:tblOverlap w:val="never"/>
              <w:tblW w:w="8220" w:type="dxa"/>
              <w:tblInd w:w="-3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284"/>
              <w:gridCol w:w="4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tcBorders>
                    <w:top w:val="single" w:color="auto" w:sz="8" w:space="0"/>
                    <w:left w:val="single" w:color="auto" w:sz="0"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项目类别</w:t>
                  </w:r>
                </w:p>
              </w:tc>
              <w:tc>
                <w:tcPr>
                  <w:tcW w:w="2284" w:type="dxa"/>
                  <w:tcBorders>
                    <w:top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设施名称</w:t>
                  </w:r>
                </w:p>
              </w:tc>
              <w:tc>
                <w:tcPr>
                  <w:tcW w:w="4694" w:type="dxa"/>
                  <w:tcBorders>
                    <w:top w:val="single" w:color="auto" w:sz="8" w:space="0"/>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验收内容与执行标准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废气治理</w:t>
                  </w: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一次油气回收装置1套</w:t>
                  </w:r>
                </w:p>
              </w:tc>
              <w:tc>
                <w:tcPr>
                  <w:tcW w:w="4694" w:type="dxa"/>
                  <w:vMerge w:val="restart"/>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《加油站大气污染物排放标准》（GB20952-2007）</w:t>
                  </w:r>
                </w:p>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《大气污染物综合排放标准》（GB16297-1996）表 2 中无组织排放标准的限值</w:t>
                  </w: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p>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《关于全省开展工业企业挥发性有机物专项治理工作中排放建议值的通知》（豫环攻坚办[2017]162 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二次油气回收装置</w:t>
                  </w:r>
                  <w:r>
                    <w:rPr>
                      <w:rFonts w:hint="eastAsia" w:cs="Times New Roman" w:eastAsiaTheme="minorEastAsia"/>
                      <w:b w:val="0"/>
                      <w:bCs w:val="0"/>
                      <w:color w:val="000000" w:themeColor="text1"/>
                      <w:sz w:val="21"/>
                      <w:szCs w:val="20"/>
                      <w:u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2套</w:t>
                  </w:r>
                </w:p>
              </w:tc>
              <w:tc>
                <w:tcPr>
                  <w:tcW w:w="4694" w:type="dxa"/>
                  <w:vMerge w:val="continue"/>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固废治理</w:t>
                  </w:r>
                </w:p>
              </w:tc>
              <w:tc>
                <w:tcPr>
                  <w:tcW w:w="2284" w:type="dxa"/>
                  <w:vAlign w:val="center"/>
                </w:tcPr>
                <w:p>
                  <w:pPr>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0"/>
                      <w:u w:val="none"/>
                      <w:lang w:eastAsia="zh-CN"/>
                      <w14:textFill>
                        <w14:solidFill>
                          <w14:schemeClr w14:val="tx1"/>
                        </w14:solidFill>
                      </w14:textFill>
                    </w:rPr>
                  </w:pPr>
                  <w:r>
                    <w:rPr>
                      <w:rFonts w:hint="default" w:ascii="Times New Roman" w:hAnsi="Times New Roman" w:cs="Times New Roman" w:eastAsiaTheme="minorEastAsia"/>
                      <w:b w:val="0"/>
                      <w:bCs w:val="0"/>
                      <w:sz w:val="21"/>
                      <w:szCs w:val="20"/>
                      <w:u w:val="none"/>
                    </w:rPr>
                    <w:t>生活垃圾</w:t>
                  </w:r>
                </w:p>
              </w:tc>
              <w:tc>
                <w:tcPr>
                  <w:tcW w:w="4694" w:type="dxa"/>
                  <w:tcBorders>
                    <w:right w:val="single" w:color="auto" w:sz="8" w:space="0"/>
                  </w:tcBorders>
                  <w:vAlign w:val="center"/>
                </w:tcPr>
                <w:p>
                  <w:pPr>
                    <w:widowControl w:val="0"/>
                    <w:adjustRightInd w:val="0"/>
                    <w:snapToGrid w:val="0"/>
                    <w:jc w:val="center"/>
                    <w:rPr>
                      <w:rFonts w:hint="eastAsia"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u w:val="none"/>
                      <w:lang w:val="en-US" w:eastAsia="zh-CN" w:bidi="ar-SA"/>
                    </w:rPr>
                    <w:t>生活垃圾采用垃圾桶集中收集后由环卫部门统一处理，综合利用。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restart"/>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地下</w:t>
                  </w:r>
                </w:p>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水保护</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双层油罐</w:t>
                  </w:r>
                </w:p>
              </w:tc>
              <w:tc>
                <w:tcPr>
                  <w:tcW w:w="4694" w:type="dxa"/>
                  <w:vMerge w:val="restart"/>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《汽车加油加气站设计与施工规范》（GB50156-2012）（2014年局部修订版）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防渗管道</w:t>
                  </w:r>
                </w:p>
              </w:tc>
              <w:tc>
                <w:tcPr>
                  <w:tcW w:w="4694" w:type="dxa"/>
                  <w:vMerge w:val="continue"/>
                  <w:tcBorders>
                    <w:right w:val="single" w:color="auto" w:sz="8" w:space="0"/>
                  </w:tcBorders>
                  <w:vAlign w:val="center"/>
                </w:tcPr>
                <w:p>
                  <w:pPr>
                    <w:widowControl w:val="0"/>
                    <w:adjustRightInd w:val="0"/>
                    <w:snapToGrid w:val="0"/>
                    <w:jc w:val="center"/>
                    <w:rPr>
                      <w:rFonts w:hint="default" w:ascii="Times New Roman" w:hAnsi="Times New Roman" w:cs="Times New Roman" w:eastAsiaTheme="minorEastAsia"/>
                      <w:b w:val="0"/>
                      <w:bCs w:val="0"/>
                      <w:iCs/>
                      <w:color w:val="000000" w:themeColor="text1"/>
                      <w:kern w:val="2"/>
                      <w:sz w:val="21"/>
                      <w:szCs w:val="21"/>
                      <w:u w:val="none"/>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地下水监测井</w:t>
                  </w:r>
                </w:p>
              </w:tc>
              <w:tc>
                <w:tcPr>
                  <w:tcW w:w="4694" w:type="dxa"/>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《场地环境监测技术导则》（HJ/T 25.2-2014）</w:t>
                  </w:r>
                </w:p>
              </w:tc>
            </w:tr>
          </w:tbl>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tc>
      </w:tr>
    </w:tbl>
    <w:p>
      <w:r>
        <w:br w:type="page"/>
      </w:r>
    </w:p>
    <w:p>
      <w:pPr>
        <w:keepNext/>
        <w:widowControl/>
        <w:adjustRightInd w:val="0"/>
        <w:snapToGrid w:val="0"/>
        <w:spacing w:line="240" w:lineRule="auto"/>
        <w:ind w:firstLine="0" w:firstLineChars="0"/>
        <w:rPr>
          <w:rFonts w:ascii="Times New Roman" w:hAnsi="Times New Roman" w:eastAsia="宋体" w:cs="Times New Roman"/>
          <w:b/>
          <w:color w:val="000000"/>
          <w:sz w:val="30"/>
          <w:szCs w:val="30"/>
        </w:rPr>
      </w:pPr>
      <w:r>
        <w:rPr>
          <w:rFonts w:hint="eastAsia" w:ascii="Times New Roman" w:hAnsi="Times New Roman" w:eastAsia="宋体" w:cs="Times New Roman"/>
          <w:b/>
          <w:color w:val="000000"/>
          <w:sz w:val="30"/>
          <w:szCs w:val="30"/>
        </w:rPr>
        <w:t>建设项目拟采取的防治措施及预期治理效果</w:t>
      </w:r>
    </w:p>
    <w:tbl>
      <w:tblPr>
        <w:tblStyle w:val="22"/>
        <w:tblW w:w="8920" w:type="dxa"/>
        <w:tblInd w:w="-34" w:type="dxa"/>
        <w:tblLayout w:type="fixed"/>
        <w:tblCellMar>
          <w:top w:w="0" w:type="dxa"/>
          <w:left w:w="108" w:type="dxa"/>
          <w:bottom w:w="0" w:type="dxa"/>
          <w:right w:w="108" w:type="dxa"/>
        </w:tblCellMar>
      </w:tblPr>
      <w:tblGrid>
        <w:gridCol w:w="1041"/>
        <w:gridCol w:w="1369"/>
        <w:gridCol w:w="1276"/>
        <w:gridCol w:w="1978"/>
        <w:gridCol w:w="3256"/>
      </w:tblGrid>
      <w:tr>
        <w:tblPrEx>
          <w:tblCellMar>
            <w:top w:w="0" w:type="dxa"/>
            <w:left w:w="108" w:type="dxa"/>
            <w:bottom w:w="0" w:type="dxa"/>
            <w:right w:w="108" w:type="dxa"/>
          </w:tblCellMar>
        </w:tblPrEx>
        <w:trPr>
          <w:trHeight w:val="903" w:hRule="atLeast"/>
        </w:trPr>
        <w:tc>
          <w:tcPr>
            <w:tcW w:w="1041"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righ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mc:AlternateContent>
                <mc:Choice Requires="wps">
                  <w:drawing>
                    <wp:anchor distT="0" distB="0" distL="114300" distR="114300" simplePos="0" relativeHeight="324081664" behindDoc="0" locked="0" layoutInCell="1" allowOverlap="1">
                      <wp:simplePos x="0" y="0"/>
                      <wp:positionH relativeFrom="column">
                        <wp:posOffset>-64770</wp:posOffset>
                      </wp:positionH>
                      <wp:positionV relativeFrom="paragraph">
                        <wp:posOffset>11430</wp:posOffset>
                      </wp:positionV>
                      <wp:extent cx="641985" cy="549275"/>
                      <wp:effectExtent l="3175" t="3810" r="21590" b="18415"/>
                      <wp:wrapNone/>
                      <wp:docPr id="146" name="直接连接符 146"/>
                      <wp:cNvGraphicFramePr/>
                      <a:graphic xmlns:a="http://schemas.openxmlformats.org/drawingml/2006/main">
                        <a:graphicData uri="http://schemas.microsoft.com/office/word/2010/wordprocessingShape">
                          <wps:wsp>
                            <wps:cNvCnPr/>
                            <wps:spPr>
                              <a:xfrm>
                                <a:off x="0" y="0"/>
                                <a:ext cx="641985" cy="5492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1pt;margin-top:0.9pt;height:43.25pt;width:50.55pt;z-index:324081664;mso-width-relative:page;mso-height-relative:page;" filled="f" stroked="t" coordsize="21600,21600" o:gfxdata="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qxaF1QAAAAcBAAAPAAAAAAAAAAEAIAAAACIAAABkcnMvZG93bnJldi54bWxQ&#10;SwECFAAUAAAACACHTuJA3TQF9foBAADsAwAADgAAAAAAAAABACAAAAAkAQAAZHJzL2Uyb0RvYy54&#10;bWxQSwUGAAAAAAYABgBZAQAAkAUAAAAA&#10;">
                      <v:fill on="f" focussize="0,0"/>
                      <v:stroke color="#000000" joinstyle="round"/>
                      <v:imagedata o:title=""/>
                      <o:lock v:ext="edit" aspectratio="f"/>
                    </v:line>
                  </w:pict>
                </mc:Fallback>
              </mc:AlternateContent>
            </w:r>
            <w:r>
              <w:rPr>
                <w:rFonts w:hint="eastAsia" w:ascii="Times New Roman" w:hAnsi="Times New Roman" w:eastAsia="宋体" w:cs="Times New Roman"/>
                <w:color w:val="000000"/>
                <w:sz w:val="21"/>
                <w:szCs w:val="21"/>
              </w:rPr>
              <w:t>内容</w:t>
            </w:r>
          </w:p>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类型</w:t>
            </w:r>
          </w:p>
        </w:tc>
        <w:tc>
          <w:tcPr>
            <w:tcW w:w="1369"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污染源</w:t>
            </w:r>
          </w:p>
        </w:tc>
        <w:tc>
          <w:tcPr>
            <w:tcW w:w="1276"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名称</w:t>
            </w:r>
          </w:p>
        </w:tc>
        <w:tc>
          <w:tcPr>
            <w:tcW w:w="1978"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防治措施</w:t>
            </w:r>
          </w:p>
        </w:tc>
        <w:tc>
          <w:tcPr>
            <w:tcW w:w="3256" w:type="dxa"/>
            <w:tcBorders>
              <w:top w:val="single" w:color="auto" w:sz="12"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预期治理效果</w:t>
            </w:r>
          </w:p>
        </w:tc>
      </w:tr>
      <w:tr>
        <w:tblPrEx>
          <w:tblCellMar>
            <w:top w:w="0" w:type="dxa"/>
            <w:left w:w="108" w:type="dxa"/>
            <w:bottom w:w="0" w:type="dxa"/>
            <w:right w:w="108" w:type="dxa"/>
          </w:tblCellMar>
        </w:tblPrEx>
        <w:trPr>
          <w:trHeight w:val="1318"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大气</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卸油、储存、加油过程</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VOCs(</w:t>
            </w:r>
            <w:r>
              <w:rPr>
                <w:rFonts w:hint="eastAsia" w:ascii="Times New Roman" w:hAnsi="Times New Roman" w:eastAsia="宋体" w:cs="Times New Roman"/>
                <w:color w:val="000000"/>
                <w:sz w:val="21"/>
                <w:szCs w:val="21"/>
              </w:rPr>
              <w:t>非甲烷总烃</w:t>
            </w:r>
            <w:r>
              <w:rPr>
                <w:rFonts w:hint="eastAsia" w:ascii="Times New Roman" w:hAnsi="Times New Roman" w:eastAsia="宋体" w:cs="Times New Roman"/>
                <w:color w:val="000000"/>
                <w:sz w:val="21"/>
                <w:szCs w:val="21"/>
                <w:lang w:val="en-US" w:eastAsia="zh-CN"/>
              </w:rPr>
              <w:t>)</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油气回收装置</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满足《加油站大气污染物排放标准》（</w:t>
            </w:r>
            <w:r>
              <w:rPr>
                <w:rFonts w:hint="default" w:ascii="Times New Roman" w:hAnsi="Times New Roman" w:eastAsia="宋体" w:cs="Times New Roman"/>
                <w:color w:val="000000"/>
                <w:sz w:val="21"/>
                <w:szCs w:val="21"/>
              </w:rPr>
              <w:t>GB20952-2007</w:t>
            </w:r>
            <w:r>
              <w:rPr>
                <w:rFonts w:hint="eastAsia" w:ascii="Times New Roman" w:hAnsi="Times New Roman" w:eastAsia="宋体" w:cs="Times New Roman"/>
                <w:color w:val="000000"/>
                <w:sz w:val="21"/>
                <w:szCs w:val="21"/>
              </w:rPr>
              <w:t>）和《大气污染物综合排放标准》（</w:t>
            </w:r>
            <w:r>
              <w:rPr>
                <w:rFonts w:hint="default" w:ascii="Times New Roman" w:hAnsi="Times New Roman" w:eastAsia="宋体" w:cs="Times New Roman"/>
                <w:color w:val="000000"/>
                <w:sz w:val="21"/>
                <w:szCs w:val="21"/>
              </w:rPr>
              <w:t>GB16297-1996</w:t>
            </w:r>
            <w:r>
              <w:rPr>
                <w:rFonts w:hint="eastAsia" w:ascii="Times New Roman" w:hAnsi="Times New Roman" w:eastAsia="宋体" w:cs="Times New Roman"/>
                <w:color w:val="000000"/>
                <w:sz w:val="21"/>
                <w:szCs w:val="21"/>
              </w:rPr>
              <w:t>）表2要求</w:t>
            </w:r>
          </w:p>
        </w:tc>
      </w:tr>
      <w:tr>
        <w:tblPrEx>
          <w:tblCellMar>
            <w:top w:w="0" w:type="dxa"/>
            <w:left w:w="108" w:type="dxa"/>
            <w:bottom w:w="0" w:type="dxa"/>
            <w:right w:w="108" w:type="dxa"/>
          </w:tblCellMar>
        </w:tblPrEx>
        <w:trPr>
          <w:trHeight w:val="1318"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汽车尾气</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Theme="minorEastAsia" w:cstheme="minorBidi"/>
                <w:sz w:val="21"/>
                <w:szCs w:val="21"/>
              </w:rPr>
              <w:t>CO、NOx</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r>
              <w:rPr>
                <w:rFonts w:hint="default" w:ascii="Times New Roman" w:hAnsi="Times New Roman" w:eastAsiaTheme="minorEastAsia" w:cstheme="minorBidi"/>
                <w:sz w:val="21"/>
                <w:szCs w:val="21"/>
              </w:rPr>
              <w:t>加强管理，合理引导车辆通行，降低车辆在项目区域内的行驶距离较小</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达标排放</w:t>
            </w:r>
          </w:p>
        </w:tc>
      </w:tr>
      <w:tr>
        <w:tblPrEx>
          <w:tblCellMar>
            <w:top w:w="0" w:type="dxa"/>
            <w:left w:w="108" w:type="dxa"/>
            <w:bottom w:w="0" w:type="dxa"/>
            <w:right w:w="108" w:type="dxa"/>
          </w:tblCellMar>
        </w:tblPrEx>
        <w:trPr>
          <w:trHeight w:val="1067"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水污</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染物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生活污水</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rPr>
              <w:t>NH</w:t>
            </w:r>
            <w:r>
              <w:rPr>
                <w:rFonts w:hint="default" w:ascii="Times New Roman" w:hAnsi="Times New Roman" w:eastAsia="宋体" w:cs="Times New Roman"/>
                <w:color w:val="000000"/>
                <w:sz w:val="21"/>
                <w:szCs w:val="21"/>
                <w:vertAlign w:val="subscript"/>
              </w:rPr>
              <w:t>3</w:t>
            </w:r>
            <w:r>
              <w:rPr>
                <w:rFonts w:hint="default" w:ascii="Times New Roman" w:hAnsi="Times New Roman" w:eastAsia="宋体" w:cs="Times New Roman"/>
                <w:color w:val="000000"/>
                <w:sz w:val="21"/>
                <w:szCs w:val="21"/>
              </w:rPr>
              <w:t>-N</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依托服务区污水处理站统一处理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w:t>
            </w:r>
          </w:p>
        </w:tc>
      </w:tr>
      <w:tr>
        <w:tblPrEx>
          <w:tblCellMar>
            <w:top w:w="0" w:type="dxa"/>
            <w:left w:w="108" w:type="dxa"/>
            <w:bottom w:w="0" w:type="dxa"/>
            <w:right w:w="108" w:type="dxa"/>
          </w:tblCellMar>
        </w:tblPrEx>
        <w:trPr>
          <w:trHeight w:val="831"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固体</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废物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职工及顾客</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生活垃圾</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垃圾桶收集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定期清运至生活垃圾填埋场</w:t>
            </w:r>
          </w:p>
        </w:tc>
      </w:tr>
      <w:tr>
        <w:tblPrEx>
          <w:tblCellMar>
            <w:top w:w="0" w:type="dxa"/>
            <w:left w:w="108" w:type="dxa"/>
            <w:bottom w:w="0" w:type="dxa"/>
            <w:right w:w="108" w:type="dxa"/>
          </w:tblCellMar>
        </w:tblPrEx>
        <w:trPr>
          <w:trHeight w:val="697"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油罐清理</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油泥及清罐废水</w:t>
            </w:r>
          </w:p>
        </w:tc>
        <w:tc>
          <w:tcPr>
            <w:tcW w:w="5234" w:type="dxa"/>
            <w:gridSpan w:val="2"/>
            <w:tcBorders>
              <w:top w:val="single" w:color="auto" w:sz="6" w:space="0"/>
              <w:left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rPr>
              <w:t>委托有资质公司清理处置</w:t>
            </w:r>
            <w:r>
              <w:rPr>
                <w:rFonts w:hint="eastAsia" w:cs="Times New Roman"/>
                <w:color w:val="000000"/>
                <w:sz w:val="21"/>
                <w:szCs w:val="21"/>
                <w:lang w:eastAsia="zh-CN"/>
              </w:rPr>
              <w:t>即产即运</w:t>
            </w:r>
          </w:p>
        </w:tc>
      </w:tr>
      <w:tr>
        <w:tblPrEx>
          <w:tblCellMar>
            <w:top w:w="0" w:type="dxa"/>
            <w:left w:w="108" w:type="dxa"/>
            <w:bottom w:w="0" w:type="dxa"/>
            <w:right w:w="108" w:type="dxa"/>
          </w:tblCellMar>
        </w:tblPrEx>
        <w:trPr>
          <w:trHeight w:val="1664"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噪声</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tcPr>
          <w:p>
            <w:pPr>
              <w:keepNext w:val="0"/>
              <w:keepLines w:val="0"/>
              <w:suppressLineNumbers w:val="0"/>
              <w:spacing w:before="0" w:beforeAutospacing="0" w:after="0" w:afterAutospacing="0" w:line="360" w:lineRule="exact"/>
              <w:ind w:left="0" w:right="0" w:firstLine="420" w:firstLineChars="200"/>
              <w:rPr>
                <w:rFonts w:hint="default"/>
              </w:rPr>
            </w:pPr>
            <w:r>
              <w:rPr>
                <w:sz w:val="21"/>
                <w:szCs w:val="21"/>
              </w:rPr>
              <w:t>项目噪声源主要为</w:t>
            </w:r>
            <w:r>
              <w:rPr>
                <w:rFonts w:hint="eastAsia"/>
                <w:sz w:val="21"/>
                <w:szCs w:val="21"/>
              </w:rPr>
              <w:t>加油机等</w:t>
            </w:r>
            <w:r>
              <w:rPr>
                <w:sz w:val="21"/>
                <w:szCs w:val="21"/>
              </w:rPr>
              <w:t>设备</w:t>
            </w:r>
            <w:r>
              <w:rPr>
                <w:rFonts w:hint="eastAsia"/>
                <w:sz w:val="21"/>
                <w:szCs w:val="21"/>
              </w:rPr>
              <w:t>运行时产生的噪声及</w:t>
            </w:r>
            <w:r>
              <w:rPr>
                <w:sz w:val="21"/>
                <w:szCs w:val="21"/>
              </w:rPr>
              <w:t>进出车辆噪声。经采取有效的控制措施、再经过距离衰减后，均满足《工业企业厂界环境噪声排放标准》（GB12348-2008）2类</w:t>
            </w:r>
            <w:r>
              <w:rPr>
                <w:rFonts w:hint="eastAsia"/>
                <w:sz w:val="21"/>
                <w:szCs w:val="21"/>
                <w:lang w:eastAsia="zh-CN"/>
              </w:rPr>
              <w:t>和</w:t>
            </w:r>
            <w:r>
              <w:rPr>
                <w:rFonts w:hint="eastAsia"/>
                <w:sz w:val="21"/>
                <w:szCs w:val="21"/>
                <w:lang w:val="en-US" w:eastAsia="zh-CN"/>
              </w:rPr>
              <w:t>4类</w:t>
            </w:r>
            <w:r>
              <w:rPr>
                <w:sz w:val="21"/>
                <w:szCs w:val="21"/>
              </w:rPr>
              <w:t>标准，因此本项目在生产过程中产生的噪声对周围声环境影响较小</w:t>
            </w:r>
          </w:p>
        </w:tc>
      </w:tr>
      <w:tr>
        <w:tblPrEx>
          <w:tblCellMar>
            <w:top w:w="0" w:type="dxa"/>
            <w:left w:w="108" w:type="dxa"/>
            <w:bottom w:w="0" w:type="dxa"/>
            <w:right w:w="108" w:type="dxa"/>
          </w:tblCellMar>
        </w:tblPrEx>
        <w:trPr>
          <w:trHeight w:val="90"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其他</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both"/>
              <w:textAlignment w:val="auto"/>
              <w:rPr>
                <w:rFonts w:hint="default"/>
              </w:rPr>
            </w:pPr>
            <w:r>
              <w:rPr>
                <w:rFonts w:hint="eastAsia"/>
                <w:sz w:val="21"/>
                <w:szCs w:val="21"/>
              </w:rPr>
              <w:t>环境</w:t>
            </w:r>
            <w:r>
              <w:rPr>
                <w:sz w:val="21"/>
                <w:szCs w:val="21"/>
              </w:rPr>
              <w:t>风险：本项目按消防、加油站防火规范设计、建设和管理</w:t>
            </w:r>
            <w:r>
              <w:rPr>
                <w:rFonts w:hint="eastAsia"/>
                <w:sz w:val="21"/>
                <w:szCs w:val="21"/>
              </w:rPr>
              <w:t>，</w:t>
            </w:r>
            <w:r>
              <w:rPr>
                <w:sz w:val="21"/>
                <w:szCs w:val="21"/>
              </w:rPr>
              <w:t>并采取</w:t>
            </w:r>
            <w:r>
              <w:rPr>
                <w:rFonts w:hint="eastAsia"/>
                <w:sz w:val="21"/>
                <w:szCs w:val="21"/>
              </w:rPr>
              <w:t>防火</w:t>
            </w:r>
            <w:r>
              <w:rPr>
                <w:sz w:val="21"/>
                <w:szCs w:val="21"/>
              </w:rPr>
              <w:t>、防爆、防雷</w:t>
            </w:r>
            <w:r>
              <w:rPr>
                <w:rFonts w:hint="eastAsia"/>
                <w:sz w:val="21"/>
                <w:szCs w:val="21"/>
              </w:rPr>
              <w:t>等</w:t>
            </w:r>
            <w:r>
              <w:rPr>
                <w:sz w:val="21"/>
                <w:szCs w:val="21"/>
              </w:rPr>
              <w:t>措施，防范生产事故的发生，降低环境风险发生的概</w:t>
            </w:r>
            <w:r>
              <w:rPr>
                <w:rFonts w:hint="eastAsia"/>
                <w:sz w:val="21"/>
                <w:szCs w:val="21"/>
              </w:rPr>
              <w:t>率</w:t>
            </w:r>
            <w:r>
              <w:rPr>
                <w:sz w:val="21"/>
                <w:szCs w:val="21"/>
              </w:rPr>
              <w:t>。</w:t>
            </w:r>
          </w:p>
        </w:tc>
      </w:tr>
      <w:tr>
        <w:tblPrEx>
          <w:tblCellMar>
            <w:top w:w="0" w:type="dxa"/>
            <w:left w:w="108" w:type="dxa"/>
            <w:bottom w:w="0" w:type="dxa"/>
            <w:right w:w="108" w:type="dxa"/>
          </w:tblCellMar>
        </w:tblPrEx>
        <w:trPr>
          <w:trHeight w:val="90" w:hRule="atLeast"/>
        </w:trPr>
        <w:tc>
          <w:tcPr>
            <w:tcW w:w="8920" w:type="dxa"/>
            <w:gridSpan w:val="5"/>
            <w:tcBorders>
              <w:top w:val="single" w:color="auto" w:sz="6" w:space="0"/>
              <w:left w:val="single" w:color="auto" w:sz="12"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生态保护措施及预期效果</w:t>
            </w:r>
          </w:p>
          <w:p>
            <w:pPr>
              <w:keepNext w:val="0"/>
              <w:keepLines w:val="0"/>
              <w:suppressLineNumbers w:val="0"/>
              <w:spacing w:before="0" w:beforeAutospacing="0" w:after="0" w:afterAutospacing="0" w:line="360" w:lineRule="exact"/>
              <w:ind w:left="0" w:right="0" w:firstLine="480" w:firstLineChars="200"/>
              <w:rPr>
                <w:rFonts w:hint="default"/>
              </w:rPr>
            </w:pPr>
            <w:r>
              <w:rPr>
                <w:rFonts w:hint="eastAsia" w:ascii="Times New Roman" w:hAnsi="Times New Roman" w:eastAsia="宋体" w:cs="Times New Roman"/>
                <w:color w:val="000000"/>
                <w:szCs w:val="20"/>
              </w:rPr>
              <w:t>项目在施工过程中，由于土方开挖和地面硬化，会对项目地块局部生态环境产生一定的影响。项目建成对站区进行合理绿化后，对该区域生态环境影响很小。</w:t>
            </w:r>
          </w:p>
          <w:p>
            <w:pPr>
              <w:pStyle w:val="20"/>
              <w:rPr>
                <w:rFonts w:hint="default"/>
              </w:rPr>
            </w:pPr>
          </w:p>
          <w:p>
            <w:pPr>
              <w:pStyle w:val="20"/>
              <w:rPr>
                <w:rFonts w:hint="default"/>
              </w:rPr>
            </w:pPr>
          </w:p>
          <w:p>
            <w:pPr>
              <w:pStyle w:val="20"/>
              <w:rPr>
                <w:rFonts w:hint="default"/>
              </w:rPr>
            </w:pPr>
          </w:p>
          <w:p>
            <w:pPr>
              <w:pStyle w:val="20"/>
              <w:ind w:left="0" w:leftChars="0" w:firstLine="0" w:firstLineChars="0"/>
              <w:rPr>
                <w:rFonts w:hint="default"/>
              </w:rPr>
            </w:pPr>
          </w:p>
          <w:p>
            <w:pPr>
              <w:pStyle w:val="20"/>
              <w:rPr>
                <w:rFonts w:hint="default"/>
              </w:rPr>
            </w:pPr>
          </w:p>
        </w:tc>
      </w:tr>
    </w:tbl>
    <w:p>
      <w:pPr>
        <w:adjustRightInd w:val="0"/>
        <w:snapToGrid w:val="0"/>
        <w:spacing w:line="240" w:lineRule="auto"/>
        <w:ind w:firstLine="0" w:firstLineChars="0"/>
        <w:rPr>
          <w:rFonts w:ascii="Times New Roman" w:hAnsi="Times New Roman" w:eastAsia="宋体" w:cs="Times New Roman"/>
          <w:b/>
          <w:color w:val="000000"/>
          <w:sz w:val="30"/>
          <w:szCs w:val="30"/>
        </w:rPr>
      </w:pPr>
      <w:r>
        <w:rPr>
          <w:rFonts w:ascii="Times New Roman" w:hAnsi="Times New Roman" w:eastAsia="宋体" w:cs="Times New Roman"/>
          <w:b/>
          <w:color w:val="000000"/>
          <w:sz w:val="30"/>
          <w:szCs w:val="30"/>
        </w:rPr>
        <w:br w:type="page"/>
      </w:r>
      <w:r>
        <w:rPr>
          <w:rFonts w:hint="eastAsia" w:ascii="Times New Roman" w:hAnsi="Times New Roman" w:eastAsia="宋体" w:cs="Times New Roman"/>
          <w:b/>
          <w:color w:val="000000"/>
          <w:sz w:val="30"/>
          <w:szCs w:val="30"/>
        </w:rPr>
        <w:t>结论与建议</w:t>
      </w:r>
    </w:p>
    <w:tbl>
      <w:tblPr>
        <w:tblStyle w:val="22"/>
        <w:tblW w:w="9300" w:type="dxa"/>
        <w:jc w:val="center"/>
        <w:tblLayout w:type="fixed"/>
        <w:tblCellMar>
          <w:top w:w="0" w:type="dxa"/>
          <w:left w:w="108" w:type="dxa"/>
          <w:bottom w:w="0" w:type="dxa"/>
          <w:right w:w="108" w:type="dxa"/>
        </w:tblCellMar>
      </w:tblPr>
      <w:tblGrid>
        <w:gridCol w:w="8945"/>
        <w:gridCol w:w="355"/>
      </w:tblGrid>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b/>
                <w:color w:val="000000"/>
                <w:szCs w:val="24"/>
              </w:rPr>
            </w:pPr>
            <w:r>
              <w:rPr>
                <w:rFonts w:hint="default" w:ascii="Times New Roman" w:hAnsi="Times New Roman" w:eastAsia="宋体" w:cs="Times New Roman"/>
                <w:b/>
                <w:color w:val="000000"/>
                <w:szCs w:val="24"/>
              </w:rPr>
              <w:t xml:space="preserve">1. </w:t>
            </w:r>
            <w:r>
              <w:rPr>
                <w:rFonts w:hint="eastAsia" w:ascii="Times New Roman" w:hAnsi="Times New Roman" w:eastAsia="宋体" w:cs="Times New Roman"/>
                <w:b/>
                <w:color w:val="000000"/>
                <w:szCs w:val="24"/>
              </w:rPr>
              <w:t>评价结论</w:t>
            </w:r>
          </w:p>
          <w:p>
            <w:pPr>
              <w:pStyle w:val="12"/>
              <w:spacing w:line="360" w:lineRule="auto"/>
              <w:ind w:firstLine="482" w:firstLineChars="200"/>
              <w:rPr>
                <w:rFonts w:hint="eastAsia" w:ascii="Times New Roman" w:hAnsi="Times New Roman"/>
                <w:sz w:val="24"/>
                <w:szCs w:val="24"/>
              </w:rPr>
            </w:pPr>
            <w:r>
              <w:rPr>
                <w:rFonts w:ascii="Times New Roman" w:hAnsi="Times New Roman"/>
                <w:b/>
                <w:bCs/>
                <w:sz w:val="24"/>
                <w:szCs w:val="24"/>
              </w:rPr>
              <w:t>1、</w:t>
            </w:r>
            <w:r>
              <w:rPr>
                <w:rFonts w:hint="eastAsia" w:ascii="Times New Roman" w:hAnsi="Times New Roman"/>
                <w:b/>
                <w:bCs/>
                <w:sz w:val="24"/>
                <w:szCs w:val="24"/>
              </w:rPr>
              <w:t>项目概况</w:t>
            </w:r>
          </w:p>
          <w:p>
            <w:pPr>
              <w:bidi w:val="0"/>
              <w:rPr>
                <w:rFonts w:hint="eastAsia"/>
              </w:rPr>
            </w:pPr>
            <w:r>
              <w:rPr>
                <w:rFonts w:hint="eastAsia"/>
                <w:lang w:eastAsia="zh-CN"/>
              </w:rPr>
              <w:t>河南高速能源有限责任公司鲁山经营部平顶山南服务区南加油站项目</w:t>
            </w:r>
            <w:r>
              <w:t>位于</w:t>
            </w:r>
            <w:r>
              <w:rPr>
                <w:rFonts w:hint="eastAsia"/>
              </w:rPr>
              <w:t>平顶山市鲁山县</w:t>
            </w:r>
            <w:r>
              <w:rPr>
                <w:rFonts w:hint="eastAsia"/>
                <w:lang w:eastAsia="zh-CN"/>
              </w:rPr>
              <w:t>郑石高速公路平顶山南服务区北侧</w:t>
            </w:r>
            <w:r>
              <w:rPr>
                <w:rFonts w:hint="eastAsia"/>
              </w:rPr>
              <w:t>，占地面积</w:t>
            </w:r>
            <w:r>
              <w:rPr>
                <w:rFonts w:hint="eastAsia"/>
                <w:lang w:val="en-US" w:eastAsia="zh-CN"/>
              </w:rPr>
              <w:t>4000</w:t>
            </w:r>
            <w:r>
              <w:rPr>
                <w:rFonts w:hint="eastAsia"/>
              </w:rPr>
              <w:t>m</w:t>
            </w:r>
            <w:r>
              <w:rPr>
                <w:rFonts w:hint="eastAsia"/>
                <w:vertAlign w:val="superscript"/>
              </w:rPr>
              <w:t>2</w:t>
            </w:r>
            <w:r>
              <w:rPr>
                <w:rFonts w:hint="eastAsia"/>
              </w:rPr>
              <w:t>。</w:t>
            </w:r>
            <w:r>
              <w:rPr>
                <w:rFonts w:hint="eastAsia"/>
                <w:b/>
                <w:bCs/>
                <w:sz w:val="24"/>
                <w:u w:val="single"/>
              </w:rPr>
              <w:t>本项目为加油站</w:t>
            </w:r>
            <w:r>
              <w:rPr>
                <w:rFonts w:hint="eastAsia"/>
                <w:b/>
                <w:bCs/>
                <w:sz w:val="24"/>
                <w:u w:val="single"/>
                <w:lang w:eastAsia="zh-CN"/>
              </w:rPr>
              <w:t>改扩</w:t>
            </w:r>
            <w:r>
              <w:rPr>
                <w:rFonts w:hint="eastAsia"/>
                <w:b/>
                <w:bCs/>
                <w:sz w:val="24"/>
                <w:u w:val="single"/>
              </w:rPr>
              <w:t>建项目，</w:t>
            </w:r>
            <w:r>
              <w:rPr>
                <w:rFonts w:hint="eastAsia"/>
                <w:b/>
                <w:bCs/>
                <w:u w:val="single"/>
                <w:lang w:eastAsia="zh-CN"/>
              </w:rPr>
              <w:t>对加油站罐区、加油站</w:t>
            </w:r>
            <w:r>
              <w:rPr>
                <w:rFonts w:hint="eastAsia"/>
                <w:b/>
                <w:bCs/>
                <w:u w:val="single"/>
              </w:rPr>
              <w:t>罩棚等设施</w:t>
            </w:r>
            <w:r>
              <w:rPr>
                <w:rFonts w:hint="eastAsia"/>
                <w:b/>
                <w:bCs/>
                <w:u w:val="single"/>
                <w:lang w:eastAsia="zh-CN"/>
              </w:rPr>
              <w:t>进行整修扩建</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卧式储罐，将柴油储罐由</w:t>
            </w:r>
            <w:r>
              <w:rPr>
                <w:rFonts w:hint="default" w:ascii="Times New Roman" w:hAnsi="Times New Roman" w:cs="Times New Roman"/>
                <w:b/>
                <w:bCs/>
                <w:u w:val="single"/>
                <w:lang w:val="en-US" w:eastAsia="zh-CN"/>
              </w:rPr>
              <w:t>30m³更换为50m³</w:t>
            </w:r>
            <w:r>
              <w:rPr>
                <w:rFonts w:hint="eastAsia"/>
                <w:b/>
                <w:bCs/>
                <w:u w:val="single"/>
              </w:rPr>
              <w:t>。</w:t>
            </w:r>
          </w:p>
          <w:p>
            <w:pPr>
              <w:bidi w:val="0"/>
              <w:rPr>
                <w:rFonts w:ascii="Times New Roman" w:hAnsi="Times New Roman"/>
                <w:szCs w:val="24"/>
              </w:rPr>
            </w:pPr>
            <w:r>
              <w:rPr>
                <w:rFonts w:hint="eastAsia"/>
                <w:b/>
                <w:bCs/>
              </w:rPr>
              <w:t>2</w:t>
            </w:r>
            <w:r>
              <w:rPr>
                <w:b/>
                <w:bCs/>
              </w:rPr>
              <w:t>、</w:t>
            </w:r>
            <w:r>
              <w:rPr>
                <w:rFonts w:hint="eastAsia"/>
                <w:b/>
                <w:bCs/>
                <w:lang w:eastAsia="zh-CN"/>
              </w:rPr>
              <w:t>项目选址及规划</w:t>
            </w:r>
            <w:r>
              <w:rPr>
                <w:b/>
                <w:bCs/>
              </w:rPr>
              <w:t>相符性</w:t>
            </w:r>
          </w:p>
          <w:p>
            <w:pPr>
              <w:spacing w:line="500" w:lineRule="exact"/>
              <w:ind w:firstLine="482" w:firstLineChars="200"/>
              <w:rPr>
                <w:rFonts w:hint="eastAsia" w:ascii="Times New Roman" w:hAnsi="Times New Roman" w:cs="宋体"/>
                <w:sz w:val="24"/>
                <w:szCs w:val="24"/>
              </w:rPr>
            </w:pPr>
            <w:r>
              <w:rPr>
                <w:rFonts w:hint="eastAsia" w:ascii="Times New Roman" w:hAnsi="Times New Roman" w:cs="宋体"/>
                <w:b/>
                <w:bCs/>
                <w:color w:val="auto"/>
                <w:sz w:val="24"/>
                <w:szCs w:val="24"/>
                <w:u w:val="single"/>
                <w:lang w:val="zh-CN"/>
              </w:rPr>
              <w:t>本项目为</w:t>
            </w:r>
            <w:r>
              <w:rPr>
                <w:rFonts w:hint="eastAsia" w:cs="宋体"/>
                <w:b/>
                <w:bCs/>
                <w:color w:val="auto"/>
                <w:sz w:val="24"/>
                <w:szCs w:val="24"/>
                <w:u w:val="single"/>
                <w:lang w:val="zh-CN"/>
              </w:rPr>
              <w:t>扩</w:t>
            </w:r>
            <w:r>
              <w:rPr>
                <w:rFonts w:hint="eastAsia" w:ascii="Times New Roman" w:hAnsi="Times New Roman" w:cs="宋体"/>
                <w:b/>
                <w:bCs/>
                <w:color w:val="auto"/>
                <w:sz w:val="24"/>
                <w:szCs w:val="24"/>
                <w:u w:val="single"/>
                <w:lang w:val="zh-CN"/>
              </w:rPr>
              <w:t>建性质，已由</w:t>
            </w:r>
            <w:r>
              <w:rPr>
                <w:rFonts w:hint="eastAsia" w:ascii="Times New Roman" w:hAnsi="Times New Roman"/>
                <w:b/>
                <w:bCs/>
                <w:color w:val="auto"/>
                <w:sz w:val="24"/>
                <w:szCs w:val="22"/>
                <w:u w:val="single"/>
              </w:rPr>
              <w:t>鲁山县发展和改革委员会</w:t>
            </w:r>
            <w:r>
              <w:rPr>
                <w:rFonts w:hint="eastAsia" w:ascii="Times New Roman" w:hAnsi="Times New Roman" w:cs="宋体"/>
                <w:b/>
                <w:bCs/>
                <w:color w:val="auto"/>
                <w:sz w:val="24"/>
                <w:szCs w:val="24"/>
                <w:u w:val="single"/>
                <w:lang w:val="zh-CN"/>
              </w:rPr>
              <w:t xml:space="preserve">备案，项目代码为 </w:t>
            </w:r>
            <w:r>
              <w:rPr>
                <w:rFonts w:hint="eastAsia"/>
                <w:b/>
                <w:bCs/>
                <w:color w:val="auto"/>
                <w:sz w:val="24"/>
                <w:szCs w:val="22"/>
                <w:u w:val="single"/>
                <w:lang w:eastAsia="zh-CN"/>
              </w:rPr>
              <w:t>2020-410423-52-03-101096</w:t>
            </w:r>
            <w:r>
              <w:rPr>
                <w:rFonts w:hint="eastAsia" w:ascii="Times New Roman" w:hAnsi="Times New Roman" w:cs="宋体"/>
                <w:b/>
                <w:bCs/>
                <w:color w:val="auto"/>
                <w:sz w:val="24"/>
                <w:szCs w:val="24"/>
                <w:u w:val="single"/>
                <w:lang w:val="zh-CN"/>
              </w:rPr>
              <w:t>。</w:t>
            </w:r>
            <w:r>
              <w:rPr>
                <w:rFonts w:hint="eastAsia" w:ascii="Times New Roman" w:hAnsi="Times New Roman" w:cs="宋体"/>
                <w:sz w:val="24"/>
                <w:szCs w:val="24"/>
              </w:rPr>
              <w:t>经查阅《产业结构调整指导目录（201</w:t>
            </w:r>
            <w:r>
              <w:rPr>
                <w:rFonts w:hint="eastAsia" w:ascii="Times New Roman" w:hAnsi="Times New Roman" w:cs="宋体"/>
                <w:sz w:val="24"/>
                <w:szCs w:val="24"/>
                <w:lang w:val="en-US" w:eastAsia="zh-CN"/>
              </w:rPr>
              <w:t>9</w:t>
            </w:r>
            <w:r>
              <w:rPr>
                <w:rFonts w:hint="eastAsia" w:ascii="Times New Roman" w:hAnsi="Times New Roman" w:cs="宋体"/>
                <w:sz w:val="24"/>
                <w:szCs w:val="24"/>
              </w:rPr>
              <w:t>年）》，本项目不属于鼓励类、限制类和淘汰类，属于允许类。因此本项目符合国家有关产业政策。</w:t>
            </w:r>
          </w:p>
          <w:p>
            <w:pPr>
              <w:spacing w:line="520" w:lineRule="exact"/>
              <w:ind w:firstLine="480" w:firstLineChars="200"/>
              <w:rPr>
                <w:rFonts w:hint="eastAsia" w:ascii="Times New Roman" w:hAnsi="Times New Roman"/>
                <w:color w:val="auto"/>
                <w:sz w:val="24"/>
                <w:szCs w:val="22"/>
                <w:lang w:eastAsia="zh-CN"/>
              </w:rPr>
            </w:pPr>
            <w:r>
              <w:rPr>
                <w:rFonts w:hint="eastAsia" w:ascii="Times New Roman" w:hAnsi="Times New Roman"/>
                <w:color w:val="auto"/>
                <w:sz w:val="24"/>
                <w:szCs w:val="22"/>
              </w:rPr>
              <w:t>本项目选址位于平顶山市鲁山县</w:t>
            </w:r>
            <w:r>
              <w:rPr>
                <w:rFonts w:hint="eastAsia" w:ascii="Times New Roman" w:hAnsi="Times New Roman"/>
                <w:color w:val="auto"/>
                <w:sz w:val="24"/>
                <w:szCs w:val="22"/>
                <w:lang w:eastAsia="zh-CN"/>
              </w:rPr>
              <w:t>郑</w:t>
            </w:r>
            <w:r>
              <w:rPr>
                <w:rFonts w:hint="eastAsia"/>
                <w:color w:val="auto"/>
                <w:sz w:val="24"/>
                <w:szCs w:val="22"/>
                <w:lang w:eastAsia="zh-CN"/>
              </w:rPr>
              <w:t>石</w:t>
            </w:r>
            <w:r>
              <w:rPr>
                <w:rFonts w:hint="eastAsia" w:ascii="Times New Roman" w:hAnsi="Times New Roman"/>
                <w:color w:val="auto"/>
                <w:sz w:val="24"/>
                <w:szCs w:val="22"/>
                <w:lang w:eastAsia="zh-CN"/>
              </w:rPr>
              <w:t>高速公路</w:t>
            </w:r>
            <w:r>
              <w:rPr>
                <w:rFonts w:hint="eastAsia"/>
                <w:color w:val="auto"/>
                <w:sz w:val="24"/>
                <w:szCs w:val="22"/>
                <w:lang w:eastAsia="zh-CN"/>
              </w:rPr>
              <w:t>石人山北</w:t>
            </w:r>
            <w:r>
              <w:rPr>
                <w:rFonts w:hint="eastAsia" w:ascii="Times New Roman" w:hAnsi="Times New Roman"/>
                <w:color w:val="auto"/>
                <w:sz w:val="24"/>
                <w:szCs w:val="22"/>
                <w:lang w:eastAsia="zh-CN"/>
              </w:rPr>
              <w:t>服务区</w:t>
            </w:r>
            <w:r>
              <w:rPr>
                <w:rFonts w:hint="eastAsia"/>
                <w:color w:val="auto"/>
                <w:sz w:val="24"/>
                <w:szCs w:val="22"/>
                <w:lang w:eastAsia="zh-CN"/>
              </w:rPr>
              <w:t>南</w:t>
            </w:r>
            <w:r>
              <w:rPr>
                <w:rFonts w:hint="eastAsia" w:ascii="Times New Roman" w:hAnsi="Times New Roman"/>
                <w:color w:val="auto"/>
                <w:sz w:val="24"/>
                <w:szCs w:val="22"/>
                <w:lang w:eastAsia="zh-CN"/>
              </w:rPr>
              <w:t>侧</w:t>
            </w:r>
            <w:r>
              <w:rPr>
                <w:rFonts w:hint="eastAsia" w:ascii="Times New Roman" w:hAnsi="Times New Roman"/>
                <w:color w:val="auto"/>
                <w:sz w:val="24"/>
                <w:szCs w:val="22"/>
              </w:rPr>
              <w:t>，</w:t>
            </w:r>
            <w:r>
              <w:rPr>
                <w:rFonts w:hint="eastAsia" w:ascii="Times New Roman" w:hAnsi="Times New Roman"/>
                <w:color w:val="auto"/>
                <w:sz w:val="24"/>
                <w:szCs w:val="22"/>
                <w:lang w:eastAsia="zh-CN"/>
              </w:rPr>
              <w:t>项目用地为</w:t>
            </w:r>
            <w:r>
              <w:rPr>
                <w:rFonts w:hint="eastAsia" w:ascii="Times New Roman" w:hAnsi="Times New Roman"/>
                <w:color w:val="auto"/>
                <w:sz w:val="24"/>
                <w:szCs w:val="22"/>
              </w:rPr>
              <w:t>平顶山市鲁山县</w:t>
            </w:r>
            <w:r>
              <w:rPr>
                <w:rFonts w:hint="eastAsia"/>
                <w:color w:val="auto"/>
                <w:sz w:val="24"/>
                <w:szCs w:val="22"/>
                <w:lang w:eastAsia="zh-CN"/>
              </w:rPr>
              <w:t>郑石高速公路</w:t>
            </w:r>
            <w:r>
              <w:rPr>
                <w:rFonts w:hint="eastAsia" w:ascii="Times New Roman" w:hAnsi="Times New Roman"/>
                <w:color w:val="auto"/>
                <w:sz w:val="24"/>
                <w:szCs w:val="22"/>
                <w:lang w:eastAsia="zh-CN"/>
              </w:rPr>
              <w:t>附属的</w:t>
            </w:r>
            <w:r>
              <w:rPr>
                <w:rFonts w:hint="eastAsia"/>
                <w:color w:val="auto"/>
                <w:sz w:val="24"/>
                <w:szCs w:val="22"/>
                <w:lang w:eastAsia="zh-CN"/>
              </w:rPr>
              <w:t>石人山</w:t>
            </w:r>
            <w:r>
              <w:rPr>
                <w:rFonts w:hint="eastAsia" w:ascii="Times New Roman" w:hAnsi="Times New Roman"/>
                <w:color w:val="auto"/>
                <w:sz w:val="24"/>
                <w:szCs w:val="22"/>
                <w:lang w:eastAsia="zh-CN"/>
              </w:rPr>
              <w:t>服务区建设用地，该项目用地为鲁山县国土资源局划拨用地，项目选址符合鲁山县规划建设。</w:t>
            </w:r>
          </w:p>
          <w:p>
            <w:pPr>
              <w:spacing w:line="520" w:lineRule="exact"/>
              <w:ind w:firstLine="480" w:firstLineChars="200"/>
              <w:rPr>
                <w:rFonts w:hint="eastAsia" w:ascii="Times New Roman" w:hAnsi="Times New Roman" w:cs="宋体"/>
                <w:sz w:val="24"/>
                <w:szCs w:val="24"/>
              </w:rPr>
            </w:pPr>
            <w:r>
              <w:rPr>
                <w:rFonts w:hint="eastAsia" w:ascii="Times New Roman" w:hAnsi="Times New Roman" w:cs="宋体"/>
                <w:sz w:val="24"/>
                <w:szCs w:val="24"/>
              </w:rPr>
              <w:t>本项目汽油、柴油设备与站外建（构）筑物的安全距离均可达到《汽车加油加气站设计与施工规范》（GB50516-2012）中相关标准。</w:t>
            </w:r>
          </w:p>
          <w:p>
            <w:pPr>
              <w:pStyle w:val="43"/>
              <w:ind w:firstLine="480"/>
              <w:rPr>
                <w:rFonts w:hint="eastAsia" w:ascii="Times New Roman" w:hAnsi="Times New Roman" w:cs="宋体"/>
                <w:szCs w:val="24"/>
              </w:rPr>
            </w:pPr>
            <w:r>
              <w:rPr>
                <w:rFonts w:hint="eastAsia" w:ascii="Times New Roman" w:hAnsi="Times New Roman"/>
                <w:szCs w:val="24"/>
              </w:rPr>
              <w:t>本项目在设计中充分考虑了消防、安全、环保等规范规定的要求；总图布置功能分区明确，布局较合理，将加油区、油罐区、站房分区设置，各功能区相对独立，减少了彼此的干扰，整个布置既方便管理，又减少了安全隐患，满足《汽车加油加气站设计与施工规范》（GB50156-2012）要求</w:t>
            </w:r>
            <w:r>
              <w:rPr>
                <w:rFonts w:hint="eastAsia" w:ascii="Times New Roman" w:hAnsi="Times New Roman"/>
                <w:szCs w:val="24"/>
                <w:lang w:eastAsia="zh-CN"/>
              </w:rPr>
              <w:t>，</w:t>
            </w:r>
            <w:r>
              <w:rPr>
                <w:rFonts w:hint="eastAsia" w:ascii="Times New Roman" w:hAnsi="Times New Roman" w:cs="宋体"/>
                <w:szCs w:val="24"/>
              </w:rPr>
              <w:t>本项目选址合理可行。</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3</w:t>
            </w:r>
            <w:r>
              <w:rPr>
                <w:rFonts w:hint="eastAsia" w:ascii="Times New Roman" w:hAnsi="Times New Roman"/>
                <w:b/>
                <w:bCs/>
                <w:sz w:val="24"/>
                <w:szCs w:val="24"/>
              </w:rPr>
              <w:t>、施工期影响分析结论</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施工期间污染环境的因素，可采取一定的措施避免或减轻其污染，使其达标排放，采取本报告提出的施工期污染防治措施，本项目施工噪声和扬尘对周围保护目标的影响小，且这些影响也是短期的，随着施工期结束，施工噪声、扬尘等问题也会消失。</w:t>
            </w:r>
          </w:p>
          <w:p>
            <w:pPr>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、营运期影响分析结论</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.1大气环境影响分析结论</w:t>
            </w:r>
          </w:p>
          <w:p>
            <w:pPr>
              <w:spacing w:line="360" w:lineRule="auto"/>
              <w:ind w:firstLine="480" w:firstLineChars="200"/>
              <w:rPr>
                <w:rFonts w:hint="eastAsia" w:ascii="Times New Roman" w:hAnsi="Times New Roman"/>
                <w:bCs/>
                <w:sz w:val="24"/>
                <w:szCs w:val="24"/>
              </w:rPr>
            </w:pPr>
            <w:r>
              <w:rPr>
                <w:rFonts w:ascii="Times New Roman" w:hAnsi="Times New Roman"/>
                <w:bCs/>
                <w:sz w:val="24"/>
              </w:rPr>
              <w:t>加油站废气主要是来往加油的汽车尾气、油罐大小呼吸及加油作业等排放的非甲烷总烃</w:t>
            </w:r>
            <w:r>
              <w:rPr>
                <w:rFonts w:ascii="Times New Roman" w:hAnsi="Times New Roman"/>
                <w:bCs/>
                <w:sz w:val="24"/>
                <w:szCs w:val="22"/>
              </w:rPr>
              <w:t>。加油</w:t>
            </w:r>
            <w:r>
              <w:rPr>
                <w:rFonts w:ascii="Times New Roman" w:hAnsi="Times New Roman"/>
                <w:bCs/>
                <w:sz w:val="24"/>
              </w:rPr>
              <w:t>时车辆均熄火，汽车尾气产生量较小，不会改变区域环境空气质量，对周围环境影响很小。</w:t>
            </w:r>
            <w:r>
              <w:rPr>
                <w:rFonts w:ascii="Times New Roman" w:hAnsi="Times New Roman"/>
                <w:sz w:val="24"/>
              </w:rPr>
              <w:t>项目将安装油气回收系统，</w:t>
            </w:r>
            <w:r>
              <w:rPr>
                <w:rFonts w:ascii="Times New Roman" w:hAnsi="Times New Roman"/>
                <w:bCs/>
                <w:sz w:val="24"/>
                <w:szCs w:val="24"/>
              </w:rPr>
              <w:t>项目污染</w:t>
            </w:r>
            <w:r>
              <w:rPr>
                <w:rFonts w:ascii="Times New Roman" w:hAnsi="Times New Roman"/>
                <w:bCs/>
                <w:color w:val="000000"/>
                <w:sz w:val="24"/>
                <w:szCs w:val="24"/>
              </w:rPr>
              <w:t>物在各厂界浓度值</w:t>
            </w:r>
            <w:r>
              <w:rPr>
                <w:rFonts w:ascii="Times New Roman" w:hAnsi="Times New Roman"/>
                <w:bCs/>
                <w:sz w:val="24"/>
                <w:szCs w:val="24"/>
              </w:rPr>
              <w:t>满足《大气污染物综合排放标准》（GB16297-1996）表2中非甲烷总烃周界外浓度最高点4.0 mg/m³的要求，</w:t>
            </w:r>
            <w:r>
              <w:rPr>
                <w:rFonts w:hint="eastAsia" w:ascii="Times New Roman" w:hAnsi="Times New Roman"/>
                <w:bCs/>
                <w:sz w:val="24"/>
                <w:szCs w:val="24"/>
              </w:rPr>
              <w:t>满足《加油站大气污染物排放标准》（GB20952-2007）中的油气控制浓度限值（≦25 mg/m</w:t>
            </w:r>
            <w:r>
              <w:rPr>
                <w:rFonts w:hint="eastAsia" w:ascii="Times New Roman" w:hAnsi="Times New Roman"/>
                <w:bCs/>
                <w:sz w:val="24"/>
                <w:szCs w:val="24"/>
                <w:vertAlign w:val="superscript"/>
              </w:rPr>
              <w:t>3</w:t>
            </w:r>
            <w:r>
              <w:rPr>
                <w:rFonts w:hint="eastAsia" w:ascii="Times New Roman" w:hAnsi="Times New Roman"/>
                <w:bCs/>
                <w:sz w:val="24"/>
                <w:szCs w:val="24"/>
              </w:rPr>
              <w:t>）</w:t>
            </w:r>
            <w:r>
              <w:rPr>
                <w:rFonts w:ascii="Times New Roman" w:hAnsi="Times New Roman"/>
                <w:bCs/>
                <w:sz w:val="24"/>
                <w:szCs w:val="24"/>
              </w:rPr>
              <w:t>的要求</w:t>
            </w:r>
            <w:r>
              <w:rPr>
                <w:rFonts w:hint="eastAsia" w:ascii="Times New Roman" w:hAnsi="Times New Roman"/>
                <w:bCs/>
                <w:sz w:val="24"/>
                <w:szCs w:val="24"/>
              </w:rPr>
              <w:t>，</w:t>
            </w:r>
            <w:r>
              <w:rPr>
                <w:rFonts w:ascii="Times New Roman" w:hAnsi="Times New Roman"/>
                <w:bCs/>
                <w:sz w:val="24"/>
                <w:szCs w:val="24"/>
              </w:rPr>
              <w:t>以及河南省环境污染防治攻坚战领导小组办公室《关于全省开展工业企业挥发性有机物专项治理工作中排放建议值的通知》（豫环攻坚办[2017]162号）中企业边界挥发性有机物排放建议值</w:t>
            </w:r>
            <w:r>
              <w:rPr>
                <w:rFonts w:hint="eastAsia" w:ascii="Times New Roman" w:hAnsi="Times New Roman"/>
                <w:bCs/>
                <w:sz w:val="24"/>
                <w:szCs w:val="24"/>
              </w:rPr>
              <w:t>非甲烷总烃</w:t>
            </w:r>
            <w:r>
              <w:rPr>
                <w:rFonts w:ascii="Times New Roman" w:hAnsi="Times New Roman"/>
                <w:bCs/>
                <w:sz w:val="24"/>
                <w:szCs w:val="24"/>
              </w:rPr>
              <w:t>2.0mg/m³的要求</w:t>
            </w:r>
            <w:r>
              <w:rPr>
                <w:rFonts w:ascii="Times New Roman" w:hAnsi="Times New Roman"/>
                <w:sz w:val="24"/>
              </w:rPr>
              <w:t>。</w:t>
            </w:r>
            <w:r>
              <w:rPr>
                <w:rFonts w:hint="eastAsia" w:ascii="Times New Roman" w:hAnsi="Times New Roman"/>
                <w:sz w:val="24"/>
              </w:rPr>
              <w:t>根据估算软件计算，项目营运期无组织非甲烷总烃无超标点，</w:t>
            </w:r>
            <w:r>
              <w:rPr>
                <w:rFonts w:hint="eastAsia" w:ascii="Times New Roman" w:hAnsi="Times New Roman"/>
                <w:bCs/>
                <w:sz w:val="24"/>
                <w:szCs w:val="24"/>
              </w:rPr>
              <w:t>不设大气防护距离。根据《制定地方大气污染物排放标准的技术方法》（GB/T3840-91）本项目无组织非甲烷总烃最大落地浓度低于质量标准，无需设施卫生防护距离。营运期挥发油气对周边环境影响较小。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.2水环境影响评价结论</w:t>
            </w:r>
          </w:p>
          <w:p>
            <w:pPr>
              <w:adjustRightInd w:val="0"/>
              <w:snapToGrid w:val="0"/>
              <w:spacing w:line="360" w:lineRule="auto"/>
              <w:ind w:firstLine="480" w:firstLineChars="200"/>
              <w:rPr>
                <w:rFonts w:hint="eastAsia" w:ascii="Times New Roman" w:hAnsi="Times New Roman" w:cs="Arial"/>
                <w:sz w:val="24"/>
              </w:rPr>
            </w:pPr>
            <w:r>
              <w:rPr>
                <w:rFonts w:ascii="Times New Roman" w:hAnsi="Times New Roman"/>
                <w:sz w:val="24"/>
                <w:szCs w:val="24"/>
              </w:rPr>
              <w:t>本项目产</w:t>
            </w:r>
            <w:r>
              <w:rPr>
                <w:rFonts w:hint="eastAsia" w:ascii="Times New Roman" w:hAnsi="Times New Roman"/>
                <w:sz w:val="24"/>
                <w:szCs w:val="22"/>
              </w:rPr>
              <w:t>生生活</w:t>
            </w:r>
            <w:r>
              <w:rPr>
                <w:rFonts w:hint="eastAsia" w:ascii="Times New Roman" w:hAnsi="Times New Roman"/>
                <w:sz w:val="24"/>
                <w:szCs w:val="22"/>
                <w:lang w:eastAsia="zh-CN"/>
              </w:rPr>
              <w:t>污水经服务区生活污水处理站处理后用于服务区洒水降尘；站区内不设卫生间，依托服务区卫生间，卫生间废水经化粪池处理后由附近村民拉走肥田。</w:t>
            </w:r>
            <w:r>
              <w:rPr>
                <w:rFonts w:hint="eastAsia" w:ascii="Times New Roman" w:hAnsi="Times New Roman"/>
                <w:sz w:val="24"/>
                <w:szCs w:val="22"/>
              </w:rPr>
              <w:t>不外排</w:t>
            </w:r>
            <w:r>
              <w:rPr>
                <w:rFonts w:hint="eastAsia" w:ascii="Times New Roman" w:hAnsi="Times New Roman"/>
                <w:sz w:val="24"/>
                <w:szCs w:val="22"/>
                <w:lang w:val="en-US" w:eastAsia="zh-CN"/>
              </w:rPr>
              <w:t>，</w:t>
            </w:r>
            <w:r>
              <w:rPr>
                <w:rFonts w:hint="eastAsia" w:ascii="Times New Roman" w:hAnsi="Times New Roman"/>
                <w:sz w:val="24"/>
                <w:szCs w:val="22"/>
              </w:rPr>
              <w:t>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.3声环境影响评价结论</w:t>
            </w:r>
          </w:p>
          <w:p>
            <w:pPr>
              <w:spacing w:line="360" w:lineRule="auto"/>
              <w:ind w:firstLine="480"/>
              <w:rPr>
                <w:rFonts w:hint="eastAsia" w:ascii="Times New Roman" w:hAnsi="Times New Roman"/>
                <w:sz w:val="24"/>
                <w:szCs w:val="24"/>
              </w:rPr>
            </w:pPr>
            <w:r>
              <w:rPr>
                <w:rFonts w:ascii="Times New Roman" w:hAnsi="Times New Roman"/>
                <w:sz w:val="24"/>
              </w:rPr>
              <w:t>本项目噪声源主要为油罐车和加油车辆在进出加油站时产生的交通噪声以及加油泵、潜油泵产生的运行噪声。经采取车辆进站时减速、禁止鸣笛、加油时车辆熄火和平稳启动等措施，可使区域内的交通噪声降到最低值；对加油泵、潜油泵</w:t>
            </w:r>
            <w:r>
              <w:rPr>
                <w:rFonts w:ascii="Times New Roman" w:hAnsi="Times New Roman"/>
                <w:kern w:val="0"/>
                <w:sz w:val="24"/>
              </w:rPr>
              <w:t>采取减振、消声等措施，项目营运期噪声对周围环境影响较小。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.4固体废物环境影响评价结论</w:t>
            </w:r>
          </w:p>
          <w:p>
            <w:pPr>
              <w:adjustRightInd w:val="0"/>
              <w:snapToGrid w:val="0"/>
              <w:spacing w:line="500" w:lineRule="exact"/>
              <w:ind w:firstLine="480" w:firstLineChars="200"/>
              <w:rPr>
                <w:rFonts w:ascii="Times New Roman" w:hAnsi="Times New Roman"/>
                <w:sz w:val="24"/>
                <w:szCs w:val="24"/>
              </w:rPr>
            </w:pPr>
            <w:r>
              <w:rPr>
                <w:rFonts w:ascii="Times New Roman" w:hAnsi="Times New Roman"/>
                <w:sz w:val="24"/>
                <w:szCs w:val="24"/>
              </w:rPr>
              <w:t>项目运营期产生的固体废物主要为职工办公生活垃圾及顾客生活垃圾、油罐清洗废油渣。</w:t>
            </w:r>
          </w:p>
          <w:p>
            <w:pPr>
              <w:adjustRightInd w:val="0"/>
              <w:snapToGrid w:val="0"/>
              <w:spacing w:line="500" w:lineRule="exact"/>
              <w:ind w:firstLine="480" w:firstLineChars="200"/>
              <w:rPr>
                <w:rFonts w:ascii="Times New Roman" w:hAnsi="Times New Roman"/>
                <w:bCs/>
                <w:sz w:val="24"/>
                <w:szCs w:val="24"/>
              </w:rPr>
            </w:pPr>
            <w:r>
              <w:rPr>
                <w:rFonts w:ascii="Times New Roman" w:hAnsi="Times New Roman"/>
                <w:bCs/>
                <w:sz w:val="24"/>
                <w:szCs w:val="24"/>
              </w:rPr>
              <w:t>生活垃圾产生量为</w:t>
            </w:r>
            <w:r>
              <w:rPr>
                <w:rFonts w:hint="eastAsia" w:ascii="Times New Roman" w:hAnsi="Times New Roman"/>
                <w:bCs/>
                <w:sz w:val="24"/>
                <w:szCs w:val="24"/>
                <w:lang w:val="en-US" w:eastAsia="zh-CN"/>
              </w:rPr>
              <w:t>1.095</w:t>
            </w:r>
            <w:r>
              <w:rPr>
                <w:rFonts w:ascii="Times New Roman" w:hAnsi="Times New Roman"/>
                <w:bCs/>
                <w:sz w:val="24"/>
                <w:szCs w:val="24"/>
              </w:rPr>
              <w:t>t/a。评价建议</w:t>
            </w:r>
            <w:r>
              <w:rPr>
                <w:rFonts w:ascii="Times New Roman" w:hAnsi="Times New Roman"/>
                <w:sz w:val="24"/>
                <w:szCs w:val="24"/>
              </w:rPr>
              <w:t>在项目区内作好垃圾收集系统建设，因地制宜地设置垃圾箱，</w:t>
            </w:r>
            <w:r>
              <w:rPr>
                <w:rFonts w:ascii="Times New Roman" w:hAnsi="Times New Roman"/>
                <w:kern w:val="0"/>
                <w:sz w:val="24"/>
                <w:szCs w:val="24"/>
              </w:rPr>
              <w:t>垃圾分类收集，</w:t>
            </w:r>
            <w:r>
              <w:rPr>
                <w:rFonts w:ascii="Times New Roman" w:hAnsi="Times New Roman"/>
                <w:bCs/>
                <w:sz w:val="24"/>
                <w:szCs w:val="24"/>
              </w:rPr>
              <w:t>运入市政垃圾收集处，定期由环卫部门运走。</w:t>
            </w:r>
          </w:p>
          <w:p>
            <w:pPr>
              <w:pStyle w:val="21"/>
              <w:spacing w:line="500" w:lineRule="exact"/>
              <w:ind w:left="0" w:leftChars="0" w:firstLine="480" w:firstLineChars="200"/>
              <w:rPr>
                <w:rFonts w:hint="eastAsia" w:ascii="Times New Roman" w:hAnsi="Times New Roman"/>
                <w:sz w:val="24"/>
                <w:szCs w:val="24"/>
              </w:rPr>
            </w:pPr>
            <w:r>
              <w:rPr>
                <w:rFonts w:ascii="Times New Roman" w:hAnsi="Times New Roman"/>
                <w:sz w:val="24"/>
                <w:szCs w:val="24"/>
              </w:rPr>
              <w:t>项目运营期危险废物主要为油罐定期清洗产生的清洗废水和油泥。根据建设单位介绍，油罐每</w:t>
            </w:r>
            <w:r>
              <w:rPr>
                <w:rFonts w:hint="eastAsia"/>
                <w:sz w:val="24"/>
                <w:szCs w:val="24"/>
                <w:lang w:val="en-US" w:eastAsia="zh-CN"/>
              </w:rPr>
              <w:t>5</w:t>
            </w:r>
            <w:r>
              <w:rPr>
                <w:rFonts w:ascii="Times New Roman" w:hAnsi="Times New Roman"/>
                <w:sz w:val="24"/>
                <w:szCs w:val="24"/>
              </w:rPr>
              <w:t>年清洗一次，委托</w:t>
            </w:r>
            <w:r>
              <w:rPr>
                <w:rFonts w:hint="eastAsia" w:ascii="Times New Roman" w:hAnsi="Times New Roman"/>
                <w:sz w:val="24"/>
                <w:szCs w:val="24"/>
              </w:rPr>
              <w:t>相关单位</w:t>
            </w:r>
            <w:r>
              <w:rPr>
                <w:rFonts w:ascii="Times New Roman" w:hAnsi="Times New Roman"/>
                <w:sz w:val="24"/>
                <w:szCs w:val="24"/>
              </w:rPr>
              <w:t>进行清洗，清洗废水产生量约</w:t>
            </w:r>
            <w:r>
              <w:rPr>
                <w:rFonts w:hint="eastAsia"/>
                <w:sz w:val="24"/>
                <w:szCs w:val="24"/>
                <w:lang w:val="en-US" w:eastAsia="zh-CN"/>
              </w:rPr>
              <w:t>2</w:t>
            </w:r>
            <w:r>
              <w:rPr>
                <w:rFonts w:ascii="Times New Roman" w:hAnsi="Times New Roman"/>
                <w:sz w:val="24"/>
                <w:szCs w:val="24"/>
              </w:rPr>
              <w:t>t/次，油泥产生量约为</w:t>
            </w:r>
            <w:r>
              <w:rPr>
                <w:rFonts w:hint="eastAsia"/>
                <w:sz w:val="24"/>
                <w:szCs w:val="24"/>
                <w:lang w:eastAsia="zh-CN"/>
              </w:rPr>
              <w:t>0.22t/次</w:t>
            </w:r>
            <w:r>
              <w:rPr>
                <w:rFonts w:ascii="Times New Roman" w:hAnsi="Times New Roman"/>
                <w:sz w:val="24"/>
                <w:szCs w:val="24"/>
              </w:rPr>
              <w:t>。根据《国家危险废物名录》（环境保护部第39号令，2016年8月1日起施行），油罐清洗废水的危废编号为HW09，油泥的危废编号为HW08，本项目油罐清洗产生的清洗废水、油泥均</w:t>
            </w:r>
            <w:r>
              <w:rPr>
                <w:rFonts w:hint="eastAsia" w:ascii="Times New Roman" w:hAnsi="Times New Roman"/>
                <w:sz w:val="24"/>
                <w:szCs w:val="24"/>
              </w:rPr>
              <w:t>应交由有资质单位进行</w:t>
            </w:r>
            <w:r>
              <w:rPr>
                <w:rFonts w:ascii="Times New Roman" w:hAnsi="Times New Roman"/>
                <w:sz w:val="24"/>
                <w:szCs w:val="24"/>
              </w:rPr>
              <w:t>处理，不在站内暂存</w:t>
            </w:r>
            <w:r>
              <w:rPr>
                <w:rFonts w:hint="eastAsia" w:ascii="Times New Roman" w:hAnsi="Times New Roman"/>
                <w:sz w:val="24"/>
                <w:szCs w:val="24"/>
              </w:rPr>
              <w:t>。</w:t>
            </w:r>
          </w:p>
          <w:p>
            <w:pPr>
              <w:adjustRightInd w:val="0"/>
              <w:snapToGrid w:val="0"/>
              <w:spacing w:line="500" w:lineRule="exact"/>
              <w:ind w:firstLine="480" w:firstLineChars="200"/>
              <w:rPr>
                <w:rFonts w:ascii="Times New Roman" w:hAnsi="Times New Roman"/>
                <w:bCs/>
                <w:sz w:val="24"/>
              </w:rPr>
            </w:pPr>
            <w:r>
              <w:rPr>
                <w:rFonts w:ascii="Times New Roman" w:hAnsi="Times New Roman"/>
                <w:bCs/>
                <w:sz w:val="24"/>
              </w:rPr>
              <w:t>综上所述，</w:t>
            </w:r>
            <w:r>
              <w:rPr>
                <w:rFonts w:hint="eastAsia" w:ascii="Times New Roman" w:hAnsi="Times New Roman"/>
                <w:bCs/>
                <w:sz w:val="24"/>
              </w:rPr>
              <w:t>本项目</w:t>
            </w:r>
            <w:r>
              <w:rPr>
                <w:rFonts w:ascii="Times New Roman" w:hAnsi="Times New Roman"/>
                <w:bCs/>
                <w:sz w:val="24"/>
              </w:rPr>
              <w:t>固废均得到妥善处置，处理率100%</w:t>
            </w:r>
            <w:r>
              <w:rPr>
                <w:rFonts w:hint="eastAsia" w:ascii="Times New Roman" w:hAnsi="Times New Roman"/>
                <w:bCs/>
                <w:sz w:val="24"/>
              </w:rPr>
              <w:t>，</w:t>
            </w:r>
            <w:r>
              <w:rPr>
                <w:rFonts w:ascii="Times New Roman" w:hAnsi="Times New Roman"/>
                <w:bCs/>
                <w:sz w:val="24"/>
              </w:rPr>
              <w:t>对</w:t>
            </w:r>
            <w:r>
              <w:rPr>
                <w:rFonts w:hint="eastAsia" w:ascii="Times New Roman" w:hAnsi="Times New Roman"/>
                <w:bCs/>
                <w:sz w:val="24"/>
              </w:rPr>
              <w:t>周围</w:t>
            </w:r>
            <w:r>
              <w:rPr>
                <w:rFonts w:ascii="Times New Roman" w:hAnsi="Times New Roman"/>
                <w:bCs/>
                <w:sz w:val="24"/>
              </w:rPr>
              <w:t>环境影响</w:t>
            </w:r>
            <w:r>
              <w:rPr>
                <w:rFonts w:hint="eastAsia" w:ascii="Times New Roman" w:hAnsi="Times New Roman"/>
                <w:bCs/>
                <w:sz w:val="24"/>
              </w:rPr>
              <w:t>较小</w:t>
            </w:r>
            <w:r>
              <w:rPr>
                <w:rFonts w:ascii="Times New Roman" w:hAnsi="Times New Roman"/>
                <w:bCs/>
                <w:sz w:val="24"/>
              </w:rPr>
              <w:t>。</w:t>
            </w:r>
          </w:p>
          <w:p>
            <w:pPr>
              <w:pStyle w:val="21"/>
              <w:spacing w:line="500" w:lineRule="exact"/>
              <w:ind w:left="0" w:leftChars="0" w:firstLine="482" w:firstLineChars="200"/>
              <w:rPr>
                <w:rFonts w:ascii="Times New Roman" w:hAnsi="Times New Roman"/>
                <w:sz w:val="24"/>
                <w:szCs w:val="24"/>
              </w:rPr>
            </w:pPr>
            <w:r>
              <w:rPr>
                <w:rFonts w:hint="eastAsia"/>
                <w:b/>
                <w:bCs/>
                <w:sz w:val="24"/>
                <w:szCs w:val="24"/>
                <w:lang w:val="en-US" w:eastAsia="zh-CN"/>
              </w:rPr>
              <w:t>5</w:t>
            </w:r>
            <w:r>
              <w:rPr>
                <w:rFonts w:hint="eastAsia" w:ascii="Times New Roman" w:hAnsi="Times New Roman"/>
                <w:b/>
                <w:bCs/>
                <w:sz w:val="24"/>
                <w:szCs w:val="24"/>
              </w:rPr>
              <w:t>、</w:t>
            </w:r>
            <w:r>
              <w:rPr>
                <w:rFonts w:ascii="Times New Roman" w:hAnsi="Times New Roman"/>
                <w:b/>
                <w:bCs/>
                <w:sz w:val="24"/>
                <w:szCs w:val="24"/>
              </w:rPr>
              <w:t>环境风险评价结论</w:t>
            </w:r>
          </w:p>
          <w:p>
            <w:pPr>
              <w:pStyle w:val="21"/>
              <w:spacing w:line="500" w:lineRule="exact"/>
              <w:ind w:left="0" w:leftChars="0" w:firstLine="480" w:firstLineChars="200"/>
              <w:rPr>
                <w:rFonts w:ascii="Times New Roman" w:hAnsi="Times New Roman"/>
                <w:sz w:val="24"/>
                <w:szCs w:val="24"/>
              </w:rPr>
            </w:pPr>
            <w:r>
              <w:rPr>
                <w:rFonts w:ascii="Times New Roman" w:hAnsi="Times New Roman" w:cs="Arial"/>
                <w:sz w:val="24"/>
              </w:rPr>
              <w:t>由于环境风险具有突发性和短暂性及危害较大等特点，必须采取相应有效预防措施加以防范，加强控制和管理，杜绝、减轻和避免环境风险。本项目主要事故类型可以分为火灾与爆炸、溢出与泄漏两大类。为防止事故的发生，项目严格按照《汽车加油加气站设计与施工规范》（GB50156-2012）</w:t>
            </w:r>
            <w:r>
              <w:rPr>
                <w:rFonts w:hint="eastAsia" w:ascii="Times New Roman" w:hAnsi="Times New Roman" w:cs="Arial"/>
                <w:sz w:val="24"/>
              </w:rPr>
              <w:t>（2014修订版）</w:t>
            </w:r>
            <w:r>
              <w:rPr>
                <w:rFonts w:ascii="Times New Roman" w:hAnsi="Times New Roman" w:cs="Arial"/>
                <w:sz w:val="24"/>
              </w:rPr>
              <w:t>进行了设计与施工，</w:t>
            </w:r>
            <w:r>
              <w:rPr>
                <w:rFonts w:hint="eastAsia" w:ascii="Times New Roman" w:hAnsi="Times New Roman" w:cs="Arial"/>
                <w:sz w:val="24"/>
              </w:rPr>
              <w:t>确保安全距离，</w:t>
            </w:r>
            <w:r>
              <w:rPr>
                <w:rFonts w:ascii="Times New Roman" w:hAnsi="Times New Roman" w:cs="Arial"/>
                <w:sz w:val="24"/>
              </w:rPr>
              <w:t>采取风险防范措施，并加强安全管理，编制应急预案。在严格按照以上措施实行风险防范的前提下，本项目的环境风险在可接受范围内</w:t>
            </w:r>
            <w:r>
              <w:rPr>
                <w:rFonts w:ascii="Times New Roman" w:hAnsi="Times New Roman"/>
                <w:sz w:val="24"/>
                <w:szCs w:val="24"/>
              </w:rPr>
              <w:t>。</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6</w:t>
            </w:r>
            <w:r>
              <w:rPr>
                <w:rFonts w:ascii="Times New Roman" w:hAnsi="Times New Roman"/>
                <w:b/>
                <w:bCs/>
                <w:sz w:val="24"/>
                <w:szCs w:val="24"/>
              </w:rPr>
              <w:t>、</w:t>
            </w:r>
            <w:r>
              <w:rPr>
                <w:rFonts w:hint="eastAsia" w:ascii="Times New Roman" w:hAnsi="Times New Roman"/>
                <w:b/>
                <w:bCs/>
                <w:sz w:val="24"/>
                <w:szCs w:val="24"/>
              </w:rPr>
              <w:t>总量控制分析</w:t>
            </w:r>
          </w:p>
          <w:p>
            <w:pPr>
              <w:pStyle w:val="6"/>
              <w:spacing w:line="360" w:lineRule="auto"/>
              <w:ind w:firstLine="480" w:firstLineChars="200"/>
              <w:rPr>
                <w:rFonts w:ascii="Times New Roman" w:hAnsi="Times New Roman"/>
                <w:lang w:val="fr-FR"/>
              </w:rPr>
            </w:pPr>
            <w:r>
              <w:rPr>
                <w:rFonts w:hint="eastAsia" w:ascii="Times New Roman" w:hAnsi="Times New Roman" w:cs="宋体"/>
                <w:sz w:val="24"/>
                <w:szCs w:val="24"/>
              </w:rPr>
              <w:t>本项目不涉及二氧化硫和氮氧化物废气。</w:t>
            </w:r>
            <w:r>
              <w:rPr>
                <w:rFonts w:hint="eastAsia" w:ascii="Times New Roman" w:hAnsi="Times New Roman" w:cs="宋体"/>
                <w:sz w:val="24"/>
                <w:szCs w:val="24"/>
                <w:lang w:eastAsia="zh-CN"/>
              </w:rPr>
              <w:t>生活污水经服务区污水处理站处理后用于服务区洒水降尘，不外排；站内不设卫生间，依托服务区卫生间，卫生间废水经化粪池处理后由附近村民拉走肥田，不外排，</w:t>
            </w:r>
            <w:r>
              <w:rPr>
                <w:rFonts w:hint="eastAsia" w:ascii="Times New Roman" w:hAnsi="Times New Roman" w:cs="宋体"/>
                <w:sz w:val="24"/>
                <w:szCs w:val="24"/>
              </w:rPr>
              <w:t>不涉及COD和NH</w:t>
            </w:r>
            <w:r>
              <w:rPr>
                <w:rFonts w:hint="eastAsia" w:ascii="Times New Roman" w:hAnsi="Times New Roman" w:cs="宋体"/>
                <w:sz w:val="24"/>
                <w:szCs w:val="24"/>
                <w:vertAlign w:val="subscript"/>
              </w:rPr>
              <w:t>3</w:t>
            </w:r>
            <w:r>
              <w:rPr>
                <w:rFonts w:hint="eastAsia" w:ascii="Times New Roman" w:hAnsi="Times New Roman" w:cs="宋体"/>
                <w:sz w:val="24"/>
                <w:szCs w:val="24"/>
              </w:rPr>
              <w:t>-N</w:t>
            </w:r>
            <w:r>
              <w:rPr>
                <w:rFonts w:hint="eastAsia" w:ascii="Times New Roman" w:hAnsi="Times New Roman" w:cs="宋体"/>
                <w:sz w:val="24"/>
                <w:szCs w:val="24"/>
                <w:lang w:eastAsia="zh-CN"/>
              </w:rPr>
              <w:t>；</w:t>
            </w:r>
            <w:r>
              <w:rPr>
                <w:rFonts w:hint="eastAsia" w:ascii="Times New Roman" w:hAnsi="Times New Roman" w:eastAsia="宋体" w:cs="Times New Roman"/>
                <w:color w:val="auto"/>
                <w:sz w:val="24"/>
                <w:szCs w:val="24"/>
                <w:lang w:val="en-US" w:eastAsia="zh-CN"/>
              </w:rPr>
              <w:t>建成后运行期间有无组织废气非甲烷总烃排放，</w:t>
            </w:r>
            <w:r>
              <w:rPr>
                <w:rFonts w:hint="default" w:ascii="Times New Roman" w:hAnsi="Times New Roman" w:eastAsia="宋体" w:cs="Times New Roman"/>
                <w:color w:val="auto"/>
                <w:sz w:val="24"/>
                <w:szCs w:val="24"/>
              </w:rPr>
              <w:t>因此本项目总量控制因子为VOCs，其总量控制指标为</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1.2525t/a。</w:t>
            </w:r>
          </w:p>
          <w:p>
            <w:pPr>
              <w:tabs>
                <w:tab w:val="left" w:pos="540"/>
              </w:tabs>
              <w:spacing w:line="360" w:lineRule="auto"/>
              <w:rPr>
                <w:rFonts w:ascii="Times New Roman" w:hAnsi="Times New Roman"/>
                <w:b/>
                <w:bCs/>
                <w:sz w:val="24"/>
                <w:szCs w:val="24"/>
              </w:rPr>
            </w:pPr>
            <w:r>
              <w:rPr>
                <w:rFonts w:ascii="Times New Roman" w:hAnsi="Times New Roman"/>
                <w:b/>
                <w:bCs/>
                <w:sz w:val="24"/>
                <w:szCs w:val="24"/>
              </w:rPr>
              <w:t>二、建议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1、加油加气站加强操作人员的业务培训和学习，严格按照行业操作规程作业，从管理和作业上减少排污量。</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2、加油站内的电器设备严格按照防爆区划分配置。工程项目运营过程中要加强管理，遵守相应的规章制度。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3、在加油加气站入口处设立“严禁烟火”警告牌。</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4、对储油系统及管道定期进行检查和维护，定期检查加油机内各油管、油泵及流量计是否有渗漏情况发生，并在火灾危险场所设置报警装置。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5、汽油易吸收空气中的水分产生分层，建议对汽油定期更换干燥设施。</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6、站内的电器设备严格按照防爆区划分配置。工程项目运营过程中要加强管理，遵守相应的规章制度。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7、加强站内事故的防范措施，一旦出现加气区火灾事故应尽量避免引发加气区火灾和爆炸事故。</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8、定期、不定期开展风险大检查，严防风险事故的发生。</w:t>
            </w:r>
          </w:p>
          <w:p>
            <w:pPr>
              <w:keepNext w:val="0"/>
              <w:keepLines w:val="0"/>
              <w:suppressLineNumbers w:val="0"/>
              <w:adjustRightInd w:val="0"/>
              <w:snapToGrid w:val="0"/>
              <w:spacing w:before="0" w:beforeAutospacing="0" w:after="0" w:afterAutospacing="0" w:line="360" w:lineRule="auto"/>
              <w:ind w:left="0" w:right="0" w:firstLine="0" w:firstLineChars="0"/>
              <w:rPr>
                <w:rFonts w:hint="eastAsia" w:ascii="Times New Roman" w:hAnsi="Times New Roman"/>
                <w:sz w:val="24"/>
                <w:szCs w:val="24"/>
              </w:rPr>
            </w:pPr>
            <w:r>
              <w:rPr>
                <w:rFonts w:ascii="Times New Roman" w:hAnsi="Times New Roman"/>
                <w:sz w:val="24"/>
                <w:szCs w:val="24"/>
              </w:rPr>
              <w:t>评价结论：本项目符合国家产业政策，</w:t>
            </w:r>
            <w:r>
              <w:rPr>
                <w:rFonts w:hint="eastAsia" w:ascii="Times New Roman" w:hAnsi="Times New Roman"/>
                <w:sz w:val="24"/>
                <w:szCs w:val="24"/>
              </w:rPr>
              <w:t>项目</w:t>
            </w:r>
            <w:r>
              <w:rPr>
                <w:rFonts w:ascii="Times New Roman" w:hAnsi="Times New Roman"/>
                <w:sz w:val="24"/>
                <w:szCs w:val="24"/>
              </w:rPr>
              <w:t>选址可行</w:t>
            </w:r>
            <w:r>
              <w:rPr>
                <w:rFonts w:hint="eastAsia" w:ascii="Times New Roman" w:hAnsi="Times New Roman"/>
                <w:sz w:val="24"/>
                <w:szCs w:val="24"/>
              </w:rPr>
              <w:t>。</w:t>
            </w:r>
            <w:r>
              <w:rPr>
                <w:rFonts w:ascii="Times New Roman" w:hAnsi="Times New Roman"/>
                <w:sz w:val="24"/>
                <w:szCs w:val="24"/>
              </w:rPr>
              <w:t>在严格执行有关环保法规和“三同时”制度，落实报告提出的污染防治措施后，污染物能够达标排放</w:t>
            </w:r>
            <w:r>
              <w:rPr>
                <w:rFonts w:hint="eastAsia" w:ascii="Times New Roman" w:hAnsi="Times New Roman"/>
                <w:sz w:val="24"/>
                <w:szCs w:val="24"/>
              </w:rPr>
              <w:t>或合理处置</w:t>
            </w:r>
            <w:r>
              <w:rPr>
                <w:rFonts w:ascii="Times New Roman" w:hAnsi="Times New Roman"/>
                <w:sz w:val="24"/>
                <w:szCs w:val="24"/>
              </w:rPr>
              <w:t>，对环境影响很小，从环境</w:t>
            </w:r>
            <w:r>
              <w:rPr>
                <w:rFonts w:hint="eastAsia" w:ascii="Times New Roman" w:hAnsi="Times New Roman"/>
                <w:sz w:val="24"/>
                <w:szCs w:val="24"/>
              </w:rPr>
              <w:t>影响</w:t>
            </w:r>
            <w:r>
              <w:rPr>
                <w:rFonts w:ascii="Times New Roman" w:hAnsi="Times New Roman"/>
                <w:sz w:val="24"/>
                <w:szCs w:val="24"/>
              </w:rPr>
              <w:t>角度分析，项目建设可行</w:t>
            </w:r>
            <w:r>
              <w:rPr>
                <w:rFonts w:hint="eastAsia" w:ascii="Times New Roman" w:hAnsi="Times New Roman"/>
                <w:sz w:val="24"/>
                <w:szCs w:val="24"/>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color w:val="000000"/>
                <w:szCs w:val="24"/>
              </w:rPr>
            </w:pPr>
            <w:r>
              <w:rPr>
                <w:rFonts w:hint="default" w:ascii="Times New Roman" w:hAnsi="Times New Roman" w:eastAsia="宋体" w:cs="Times New Roman"/>
                <w:b/>
                <w:color w:val="000000"/>
                <w:szCs w:val="24"/>
              </w:rPr>
              <w:t xml:space="preserve">3. </w:t>
            </w:r>
            <w:r>
              <w:rPr>
                <w:rFonts w:hint="eastAsia" w:ascii="Times New Roman" w:hAnsi="Times New Roman" w:eastAsia="宋体" w:cs="Times New Roman"/>
                <w:b/>
                <w:color w:val="000000"/>
                <w:szCs w:val="24"/>
              </w:rPr>
              <w:t>评价总结论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color w:val="000000"/>
                <w:szCs w:val="24"/>
              </w:rPr>
            </w:pPr>
            <w:r>
              <w:rPr>
                <w:rFonts w:hint="eastAsia" w:ascii="Times New Roman" w:hAnsi="Times New Roman" w:eastAsia="宋体" w:cs="Times New Roman"/>
                <w:b w:val="0"/>
                <w:bCs/>
                <w:color w:val="000000"/>
                <w:szCs w:val="24"/>
              </w:rPr>
              <w:t>综上所述，</w:t>
            </w:r>
            <w:r>
              <w:rPr>
                <w:rFonts w:hint="eastAsia" w:cs="Times New Roman"/>
                <w:b w:val="0"/>
                <w:bCs/>
                <w:color w:val="000000"/>
                <w:szCs w:val="24"/>
                <w:lang w:eastAsia="zh-CN"/>
              </w:rPr>
              <w:t>河南高速能源有限责任公司鲁山经营部石人山服务区北加油站</w:t>
            </w:r>
            <w:r>
              <w:rPr>
                <w:rFonts w:hint="eastAsia" w:ascii="Times New Roman" w:hAnsi="Times New Roman" w:eastAsia="宋体" w:cs="Times New Roman"/>
                <w:b w:val="0"/>
                <w:bCs/>
                <w:color w:val="000000"/>
                <w:szCs w:val="24"/>
                <w:lang w:eastAsia="zh-CN"/>
              </w:rPr>
              <w:t>项目</w:t>
            </w:r>
            <w:r>
              <w:rPr>
                <w:rFonts w:hint="eastAsia" w:ascii="Times New Roman" w:hAnsi="Times New Roman" w:eastAsia="宋体" w:cs="Times New Roman"/>
                <w:b w:val="0"/>
                <w:bCs/>
                <w:color w:val="000000"/>
                <w:szCs w:val="24"/>
              </w:rPr>
              <w:t>建设符合国家和地方相关政策的要求，场址选择合理。项目建成后，产生的污染物经采取措施治理后，能够实现污染物的达标排放，不会对环境造成大的影响。在严格执行有关环保法规和“三同时”制度，认真落实环评提出的各项环保措施和对策的基础上能够实现污染物达标排放，实现社会效益、经济效益和环境效益的协调发展，从环保角度分析，该项目建设是可行的。</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widowControl w:val="0"/>
              <w:suppressLineNumbers w:val="0"/>
              <w:autoSpaceDE w:val="0"/>
              <w:autoSpaceDN/>
              <w:adjustRightInd w:val="0"/>
              <w:snapToGrid w:val="0"/>
              <w:spacing w:before="318" w:beforeLines="100" w:beforeAutospacing="0" w:after="0" w:afterAutospacing="0" w:line="520" w:lineRule="exact"/>
              <w:ind w:left="0" w:right="0"/>
              <w:jc w:val="center"/>
              <w:rPr>
                <w:rFonts w:hint="default" w:ascii="Times New Roman" w:hAnsi="Times New Roman" w:eastAsia="宋体" w:cs="Times New Roman"/>
                <w:b/>
                <w:kern w:val="2"/>
                <w:sz w:val="36"/>
                <w:szCs w:val="36"/>
              </w:rPr>
            </w:pPr>
            <w:r>
              <w:rPr>
                <w:rFonts w:hint="eastAsia" w:ascii="Times New Roman" w:hAnsi="Times New Roman" w:eastAsia="宋体" w:cs="宋体"/>
                <w:b/>
                <w:kern w:val="2"/>
                <w:sz w:val="36"/>
                <w:szCs w:val="36"/>
                <w:lang w:val="en-US" w:eastAsia="zh-CN" w:bidi="ar"/>
              </w:rPr>
              <w:t>注</w:t>
            </w:r>
            <w:r>
              <w:rPr>
                <w:rFonts w:hint="default" w:ascii="Times New Roman" w:hAnsi="Times New Roman" w:eastAsia="宋体" w:cs="Times New Roman"/>
                <w:b/>
                <w:kern w:val="2"/>
                <w:sz w:val="36"/>
                <w:szCs w:val="36"/>
                <w:lang w:val="en-US" w:eastAsia="zh-CN" w:bidi="ar"/>
              </w:rPr>
              <w:t xml:space="preserve">    </w:t>
            </w:r>
            <w:r>
              <w:rPr>
                <w:rFonts w:hint="eastAsia" w:ascii="Times New Roman" w:hAnsi="Times New Roman" w:eastAsia="宋体" w:cs="宋体"/>
                <w:b/>
                <w:kern w:val="2"/>
                <w:sz w:val="36"/>
                <w:szCs w:val="36"/>
                <w:lang w:val="en-US" w:eastAsia="zh-CN" w:bidi="ar"/>
              </w:rPr>
              <w:t>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一、本报告表应附以下附图、附件：</w:t>
            </w:r>
          </w:p>
          <w:p>
            <w:pPr>
              <w:bidi w:val="0"/>
              <w:rPr>
                <w:rFonts w:hint="default"/>
              </w:rPr>
            </w:pPr>
            <w:r>
              <w:rPr>
                <w:rFonts w:hint="eastAsia"/>
                <w:lang w:val="en-US" w:eastAsia="zh-CN"/>
              </w:rPr>
              <w:t>附图1</w:t>
            </w:r>
            <w:r>
              <w:rPr>
                <w:rFonts w:hint="default"/>
                <w:lang w:val="en-US" w:eastAsia="zh-CN"/>
              </w:rPr>
              <w:t xml:space="preserve">   </w:t>
            </w:r>
            <w:r>
              <w:rPr>
                <w:rFonts w:hint="eastAsia"/>
                <w:lang w:val="en-US" w:eastAsia="zh-CN"/>
              </w:rPr>
              <w:t>项目地理位置图</w:t>
            </w:r>
            <w:r>
              <w:rPr>
                <w:rFonts w:hint="default"/>
                <w:lang w:val="en-US" w:eastAsia="zh-CN"/>
              </w:rPr>
              <w:t xml:space="preserve">  </w:t>
            </w:r>
          </w:p>
          <w:p>
            <w:pPr>
              <w:bidi w:val="0"/>
              <w:rPr>
                <w:rFonts w:hint="default"/>
              </w:rPr>
            </w:pPr>
            <w:r>
              <w:rPr>
                <w:rFonts w:hint="eastAsia"/>
                <w:lang w:val="en-US" w:eastAsia="zh-CN"/>
              </w:rPr>
              <w:t>附图2</w:t>
            </w:r>
            <w:r>
              <w:rPr>
                <w:rFonts w:hint="default"/>
                <w:lang w:val="en-US" w:eastAsia="zh-CN"/>
              </w:rPr>
              <w:t xml:space="preserve">   </w:t>
            </w:r>
            <w:r>
              <w:rPr>
                <w:rFonts w:hint="eastAsia"/>
                <w:lang w:val="en-US" w:eastAsia="zh-CN"/>
              </w:rPr>
              <w:t>项目四邻关系图</w:t>
            </w:r>
          </w:p>
          <w:p>
            <w:pPr>
              <w:bidi w:val="0"/>
              <w:rPr>
                <w:rFonts w:hint="eastAsia"/>
                <w:lang w:val="en-US" w:eastAsia="zh-CN"/>
              </w:rPr>
            </w:pPr>
            <w:r>
              <w:rPr>
                <w:rFonts w:hint="eastAsia"/>
                <w:lang w:val="en-US" w:eastAsia="zh-CN"/>
              </w:rPr>
              <w:t>附图3</w:t>
            </w:r>
            <w:r>
              <w:rPr>
                <w:rFonts w:hint="default"/>
                <w:lang w:val="en-US" w:eastAsia="zh-CN"/>
              </w:rPr>
              <w:t xml:space="preserve">   </w:t>
            </w:r>
            <w:r>
              <w:rPr>
                <w:rFonts w:hint="eastAsia"/>
                <w:lang w:val="en-US" w:eastAsia="zh-CN"/>
              </w:rPr>
              <w:t>项目平面布置图</w:t>
            </w:r>
          </w:p>
          <w:p>
            <w:pPr>
              <w:bidi w:val="0"/>
              <w:rPr>
                <w:rFonts w:hint="eastAsia"/>
                <w:lang w:val="en-US" w:eastAsia="zh-CN"/>
              </w:rPr>
            </w:pPr>
            <w:r>
              <w:rPr>
                <w:rFonts w:hint="eastAsia"/>
                <w:lang w:val="en-US" w:eastAsia="zh-CN"/>
              </w:rPr>
              <w:t>附图4   项目与饮用水源保护区位置关系图</w:t>
            </w:r>
          </w:p>
          <w:p>
            <w:pPr>
              <w:bidi w:val="0"/>
              <w:rPr>
                <w:rFonts w:hint="default"/>
                <w:lang w:val="en-US" w:eastAsia="zh-CN"/>
              </w:rPr>
            </w:pPr>
            <w:r>
              <w:rPr>
                <w:rFonts w:hint="eastAsia"/>
                <w:lang w:val="en-US" w:eastAsia="zh-CN"/>
              </w:rPr>
              <w:t>附图5   风险评价范围图</w:t>
            </w:r>
          </w:p>
          <w:p>
            <w:pPr>
              <w:bidi w:val="0"/>
              <w:rPr>
                <w:rFonts w:hint="eastAsia"/>
                <w:lang w:val="en-US" w:eastAsia="zh-CN"/>
              </w:rPr>
            </w:pPr>
            <w:r>
              <w:rPr>
                <w:rFonts w:hint="eastAsia"/>
                <w:lang w:val="en-US" w:eastAsia="zh-CN"/>
              </w:rPr>
              <w:t>附图6</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项目现状照片图</w:t>
            </w:r>
          </w:p>
          <w:p>
            <w:pPr>
              <w:bidi w:val="0"/>
              <w:rPr>
                <w:rFonts w:hint="default"/>
                <w:lang w:val="en-US"/>
              </w:rPr>
            </w:pPr>
            <w:r>
              <w:rPr>
                <w:rFonts w:hint="eastAsia"/>
                <w:lang w:val="en-US" w:eastAsia="zh-CN"/>
              </w:rPr>
              <w:t>附图7   噪声检测点位图</w:t>
            </w:r>
          </w:p>
          <w:p>
            <w:pPr>
              <w:bidi w:val="0"/>
              <w:rPr>
                <w:rFonts w:hint="default"/>
              </w:rPr>
            </w:pPr>
            <w:r>
              <w:rPr>
                <w:rFonts w:hint="eastAsia"/>
                <w:lang w:val="en-US" w:eastAsia="zh-CN"/>
              </w:rPr>
              <w:t>附件1</w:t>
            </w:r>
            <w:r>
              <w:rPr>
                <w:rFonts w:hint="default"/>
                <w:lang w:val="en-US" w:eastAsia="zh-CN"/>
              </w:rPr>
              <w:t xml:space="preserve">   </w:t>
            </w:r>
            <w:r>
              <w:rPr>
                <w:rFonts w:hint="eastAsia"/>
                <w:lang w:val="en-US" w:eastAsia="zh-CN"/>
              </w:rPr>
              <w:t>委托书</w:t>
            </w:r>
          </w:p>
          <w:p>
            <w:pPr>
              <w:bidi w:val="0"/>
              <w:rPr>
                <w:rFonts w:hint="eastAsia"/>
                <w:lang w:val="en-US" w:eastAsia="zh-CN"/>
              </w:rPr>
            </w:pPr>
            <w:r>
              <w:rPr>
                <w:rFonts w:hint="eastAsia"/>
                <w:lang w:val="en-US" w:eastAsia="zh-CN"/>
              </w:rPr>
              <w:t>附件2</w:t>
            </w:r>
            <w:r>
              <w:rPr>
                <w:rFonts w:hint="default"/>
                <w:lang w:val="en-US" w:eastAsia="zh-CN"/>
              </w:rPr>
              <w:t xml:space="preserve">   </w:t>
            </w:r>
            <w:r>
              <w:rPr>
                <w:rFonts w:hint="eastAsia"/>
                <w:lang w:val="en-US" w:eastAsia="zh-CN"/>
              </w:rPr>
              <w:t>备案表</w:t>
            </w:r>
          </w:p>
          <w:p>
            <w:pPr>
              <w:bidi w:val="0"/>
              <w:rPr>
                <w:rFonts w:hint="default"/>
              </w:rPr>
            </w:pPr>
            <w:r>
              <w:rPr>
                <w:rFonts w:hint="eastAsia"/>
                <w:lang w:val="en-US" w:eastAsia="zh-CN"/>
              </w:rPr>
              <w:t>附件3</w:t>
            </w:r>
            <w:r>
              <w:rPr>
                <w:rFonts w:hint="default"/>
                <w:lang w:val="en-US" w:eastAsia="zh-CN"/>
              </w:rPr>
              <w:t xml:space="preserve">   </w:t>
            </w:r>
            <w:r>
              <w:rPr>
                <w:rFonts w:hint="eastAsia"/>
                <w:lang w:val="en-US" w:eastAsia="zh-CN"/>
              </w:rPr>
              <w:t>营业执照</w:t>
            </w:r>
          </w:p>
          <w:p>
            <w:pPr>
              <w:bidi w:val="0"/>
              <w:rPr>
                <w:rFonts w:hint="default"/>
              </w:rPr>
            </w:pPr>
            <w:r>
              <w:rPr>
                <w:rFonts w:hint="eastAsia"/>
                <w:lang w:val="en-US" w:eastAsia="zh-CN"/>
              </w:rPr>
              <w:t>附件4</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加油站使用权转让协议</w:t>
            </w:r>
          </w:p>
          <w:p>
            <w:pPr>
              <w:bidi w:val="0"/>
              <w:rPr>
                <w:rFonts w:hint="default"/>
              </w:rPr>
            </w:pPr>
            <w:r>
              <w:rPr>
                <w:rFonts w:hint="eastAsia"/>
                <w:lang w:val="en-US" w:eastAsia="zh-CN"/>
              </w:rPr>
              <w:t>附件5</w:t>
            </w:r>
            <w:r>
              <w:rPr>
                <w:rFonts w:hint="default"/>
                <w:lang w:val="en-US" w:eastAsia="zh-CN"/>
              </w:rPr>
              <w:t xml:space="preserve">   </w:t>
            </w:r>
            <w:r>
              <w:rPr>
                <w:rFonts w:hint="eastAsia"/>
                <w:lang w:val="en-US" w:eastAsia="zh-CN"/>
              </w:rPr>
              <w:t>郑石高速环评批复</w:t>
            </w:r>
          </w:p>
          <w:p>
            <w:pPr>
              <w:bidi w:val="0"/>
              <w:rPr>
                <w:rFonts w:hint="eastAsia"/>
                <w:lang w:val="en-US" w:eastAsia="zh-CN"/>
              </w:rPr>
            </w:pPr>
            <w:r>
              <w:rPr>
                <w:rFonts w:hint="eastAsia"/>
                <w:lang w:val="en-US" w:eastAsia="zh-CN"/>
              </w:rPr>
              <w:t>附件6</w:t>
            </w:r>
            <w:r>
              <w:rPr>
                <w:rFonts w:hint="default"/>
                <w:lang w:val="en-US" w:eastAsia="zh-CN"/>
              </w:rPr>
              <w:t xml:space="preserve">   </w:t>
            </w:r>
            <w:r>
              <w:rPr>
                <w:rFonts w:hint="eastAsia"/>
                <w:lang w:val="en-US" w:eastAsia="zh-CN"/>
              </w:rPr>
              <w:t>郑石高速验收意见</w:t>
            </w:r>
          </w:p>
          <w:p>
            <w:pPr>
              <w:bidi w:val="0"/>
              <w:rPr>
                <w:rFonts w:hint="eastAsia"/>
                <w:lang w:val="en-US" w:eastAsia="zh-CN"/>
              </w:rPr>
            </w:pPr>
            <w:r>
              <w:rPr>
                <w:rFonts w:hint="eastAsia"/>
                <w:lang w:val="en-US" w:eastAsia="zh-CN"/>
              </w:rPr>
              <w:t>附件7   检测报告</w:t>
            </w:r>
          </w:p>
          <w:p>
            <w:pPr>
              <w:bidi w:val="0"/>
              <w:rPr>
                <w:rFonts w:hint="default"/>
                <w:lang w:val="en-US"/>
              </w:rPr>
            </w:pPr>
            <w:r>
              <w:rPr>
                <w:rFonts w:hint="eastAsia"/>
                <w:lang w:val="en-US" w:eastAsia="zh-CN"/>
              </w:rPr>
              <w:t>附件8   专家评审意见表</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二、如果本报告表不能说明项目产生的污染及对环境造成的影响，应进行专项评价。根据建设项目的特点和当地环境特征，应选下列</w:t>
            </w:r>
            <w:r>
              <w:rPr>
                <w:rFonts w:hint="default" w:ascii="Times New Roman" w:hAnsi="Times New Roman" w:eastAsia="宋体" w:cs="Times New Roman"/>
                <w:kern w:val="2"/>
                <w:sz w:val="24"/>
                <w:szCs w:val="24"/>
                <w:lang w:val="en-US" w:eastAsia="zh-CN" w:bidi="ar"/>
              </w:rPr>
              <w:t>1-2</w:t>
            </w:r>
            <w:r>
              <w:rPr>
                <w:rFonts w:hint="eastAsia" w:ascii="Times New Roman" w:hAnsi="Times New Roman" w:eastAsia="宋体" w:cs="宋体"/>
                <w:kern w:val="2"/>
                <w:sz w:val="24"/>
                <w:szCs w:val="24"/>
                <w:lang w:val="en-US" w:eastAsia="zh-CN" w:bidi="ar"/>
              </w:rPr>
              <w:t>项进行专项评价。</w:t>
            </w:r>
          </w:p>
          <w:p>
            <w:pPr>
              <w:bidi w:val="0"/>
              <w:rPr>
                <w:rFonts w:hint="default"/>
              </w:rPr>
            </w:pPr>
            <w:r>
              <w:rPr>
                <w:rFonts w:hint="eastAsia"/>
                <w:lang w:val="en-US" w:eastAsia="zh-CN"/>
              </w:rPr>
              <w:t>1、大气环境影响专项评价</w:t>
            </w:r>
          </w:p>
          <w:p>
            <w:pPr>
              <w:bidi w:val="0"/>
              <w:rPr>
                <w:rFonts w:hint="default"/>
              </w:rPr>
            </w:pPr>
            <w:r>
              <w:rPr>
                <w:rFonts w:hint="eastAsia"/>
                <w:lang w:val="en-US" w:eastAsia="zh-CN"/>
              </w:rPr>
              <w:t>2、水环境影响专项评价（包括地表水和地下水）</w:t>
            </w:r>
          </w:p>
          <w:p>
            <w:pPr>
              <w:bidi w:val="0"/>
              <w:rPr>
                <w:rFonts w:hint="default"/>
              </w:rPr>
            </w:pPr>
            <w:r>
              <w:rPr>
                <w:rFonts w:hint="eastAsia"/>
                <w:lang w:val="en-US" w:eastAsia="zh-CN"/>
              </w:rPr>
              <w:t>3、生态影响专项评价</w:t>
            </w:r>
          </w:p>
          <w:p>
            <w:pPr>
              <w:bidi w:val="0"/>
              <w:rPr>
                <w:rFonts w:hint="default"/>
              </w:rPr>
            </w:pPr>
            <w:r>
              <w:rPr>
                <w:rFonts w:hint="eastAsia"/>
                <w:lang w:val="en-US" w:eastAsia="zh-CN"/>
              </w:rPr>
              <w:t>4、声影响专项评价</w:t>
            </w:r>
          </w:p>
          <w:p>
            <w:pPr>
              <w:bidi w:val="0"/>
              <w:rPr>
                <w:rFonts w:hint="default"/>
              </w:rPr>
            </w:pPr>
            <w:r>
              <w:rPr>
                <w:rFonts w:hint="eastAsia"/>
                <w:lang w:val="en-US" w:eastAsia="zh-CN"/>
              </w:rPr>
              <w:t>5、土壤影响专项评价</w:t>
            </w:r>
          </w:p>
          <w:p>
            <w:pPr>
              <w:bidi w:val="0"/>
              <w:rPr>
                <w:rFonts w:hint="default" w:ascii="Times New Roman" w:hAnsi="Times New Roman" w:eastAsia="宋体" w:cs="Times New Roman"/>
                <w:kern w:val="2"/>
                <w:szCs w:val="24"/>
              </w:rPr>
            </w:pPr>
            <w:r>
              <w:rPr>
                <w:rFonts w:hint="eastAsia"/>
                <w:lang w:val="en-US" w:eastAsia="zh-CN"/>
              </w:rPr>
              <w:t>6、固体废弃物影响专项评价</w:t>
            </w:r>
          </w:p>
          <w:p>
            <w:pPr>
              <w:keepNext w:val="0"/>
              <w:keepLines w:val="0"/>
              <w:widowControl w:val="0"/>
              <w:suppressLineNumbers w:val="0"/>
              <w:autoSpaceDE w:val="0"/>
              <w:autoSpaceDN/>
              <w:spacing w:before="0" w:beforeAutospacing="0" w:after="0" w:afterAutospacing="0" w:line="520" w:lineRule="exact"/>
              <w:ind w:left="0" w:right="0" w:rightChars="0" w:firstLine="480" w:firstLineChars="200"/>
              <w:jc w:val="both"/>
              <w:rPr>
                <w:rFonts w:hint="default" w:ascii="Times New Roman" w:hAnsi="Times New Roman" w:eastAsia="宋体" w:cs="Times New Roman"/>
                <w:b/>
                <w:color w:val="000000"/>
                <w:szCs w:val="24"/>
              </w:rPr>
            </w:pPr>
            <w:r>
              <w:rPr>
                <w:rFonts w:hint="eastAsia" w:ascii="Times New Roman" w:hAnsi="Times New Roman" w:eastAsia="宋体" w:cs="宋体"/>
                <w:kern w:val="2"/>
                <w:sz w:val="24"/>
                <w:szCs w:val="24"/>
                <w:lang w:val="en-US" w:eastAsia="zh-CN" w:bidi="ar"/>
              </w:rPr>
              <w:t>以上专项评价未包括的可另列专项，专项评价按照《环境影响评价技术导则》中的要求进行。</w:t>
            </w:r>
          </w:p>
        </w:tc>
      </w:tr>
      <w:tr>
        <w:tblPrEx>
          <w:tblCellMar>
            <w:top w:w="0" w:type="dxa"/>
            <w:left w:w="108" w:type="dxa"/>
            <w:bottom w:w="0" w:type="dxa"/>
            <w:right w:w="108" w:type="dxa"/>
          </w:tblCellMar>
        </w:tblPrEx>
        <w:trPr>
          <w:gridAfter w:val="1"/>
          <w:wAfter w:w="355" w:type="dxa"/>
          <w:cantSplit/>
          <w:trHeight w:val="4749" w:hRule="atLeast"/>
          <w:jc w:val="center"/>
        </w:trPr>
        <w:tc>
          <w:tcPr>
            <w:tcW w:w="8945" w:type="dxa"/>
            <w:tcBorders>
              <w:top w:val="single" w:color="auto" w:sz="12" w:space="0"/>
              <w:left w:val="single" w:color="auto" w:sz="12" w:space="0"/>
              <w:bottom w:val="single" w:color="auto" w:sz="4" w:space="0"/>
              <w:right w:val="single" w:color="auto" w:sz="12" w:space="0"/>
            </w:tcBorders>
            <w:shd w:val="clear" w:color="auto" w:fill="auto"/>
            <w:vAlign w:val="top"/>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color w:val="000000"/>
                <w:sz w:val="21"/>
                <w:szCs w:val="21"/>
              </w:rPr>
              <w:t xml:space="preserve"> </w:t>
            </w:r>
            <w:r>
              <w:rPr>
                <w:rFonts w:hint="eastAsia" w:ascii="Times New Roman" w:hAnsi="Times New Roman" w:eastAsia="宋体" w:cs="Times New Roman"/>
                <w:b/>
                <w:color w:val="000000"/>
                <w:szCs w:val="24"/>
              </w:rPr>
              <w:t>预审意见：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r>
        <w:tblPrEx>
          <w:tblCellMar>
            <w:top w:w="0" w:type="dxa"/>
            <w:left w:w="108" w:type="dxa"/>
            <w:bottom w:w="0" w:type="dxa"/>
            <w:right w:w="108" w:type="dxa"/>
          </w:tblCellMar>
        </w:tblPrEx>
        <w:trPr>
          <w:gridAfter w:val="1"/>
          <w:wAfter w:w="355" w:type="dxa"/>
          <w:cantSplit/>
          <w:trHeight w:val="6271" w:hRule="atLeast"/>
          <w:jc w:val="center"/>
        </w:trPr>
        <w:tc>
          <w:tcPr>
            <w:tcW w:w="8945" w:type="dxa"/>
            <w:tcBorders>
              <w:top w:val="single" w:color="auto" w:sz="4" w:space="0"/>
              <w:left w:val="single" w:color="auto" w:sz="12" w:space="0"/>
              <w:bottom w:val="single" w:color="auto" w:sz="12" w:space="0"/>
              <w:right w:val="single" w:color="auto" w:sz="12" w:space="0"/>
            </w:tcBorders>
            <w:shd w:val="clear" w:color="auto" w:fill="auto"/>
            <w:vAlign w:val="top"/>
          </w:tcPr>
          <w:p>
            <w:pPr>
              <w:keepNext w:val="0"/>
              <w:keepLines w:val="0"/>
              <w:suppressLineNumbers w:val="0"/>
              <w:spacing w:before="0" w:beforeAutospacing="0" w:after="0" w:afterAutospacing="0" w:line="520" w:lineRule="exact"/>
              <w:ind w:left="0" w:right="0" w:firstLine="0" w:firstLineChars="0"/>
              <w:rPr>
                <w:rFonts w:hint="default"/>
              </w:rPr>
            </w:pPr>
            <w:r>
              <w:rPr>
                <w:rFonts w:hint="eastAsia"/>
                <w:b/>
                <w:bCs/>
              </w:rPr>
              <w:t>下一级环境保护行政主管部门审查意见：</w:t>
            </w: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240" w:lineRule="auto"/>
              <w:ind w:left="0" w:right="0" w:firstLine="0" w:firstLineChars="0"/>
              <w:rPr>
                <w:rFonts w:hint="default"/>
              </w:rPr>
            </w:pPr>
          </w:p>
          <w:p>
            <w:pPr>
              <w:keepNext w:val="0"/>
              <w:keepLines w:val="0"/>
              <w:suppressLineNumbers w:val="0"/>
              <w:spacing w:before="0" w:beforeAutospacing="0" w:after="0" w:afterAutospacing="0" w:line="520" w:lineRule="exact"/>
              <w:ind w:left="0" w:right="0" w:firstLine="0" w:firstLineChars="0"/>
              <w:rPr>
                <w:rFonts w:hint="default"/>
                <w:b/>
                <w:bCs/>
              </w:rPr>
            </w:pPr>
            <w:r>
              <w:rPr>
                <w:rFonts w:hint="default"/>
              </w:rPr>
              <w:t xml:space="preserve">                                              </w:t>
            </w:r>
            <w:r>
              <w:rPr>
                <w:rFonts w:hint="default"/>
                <w:b/>
                <w:bCs/>
              </w:rPr>
              <w:t xml:space="preserve">    </w:t>
            </w:r>
            <w:r>
              <w:rPr>
                <w:rFonts w:hint="eastAsia"/>
                <w:b/>
                <w:bCs/>
              </w:rPr>
              <w:t>公</w:t>
            </w:r>
            <w:r>
              <w:rPr>
                <w:rFonts w:hint="default"/>
                <w:b/>
                <w:bCs/>
              </w:rPr>
              <w:t xml:space="preserve">    </w:t>
            </w:r>
            <w:r>
              <w:rPr>
                <w:rFonts w:hint="eastAsia"/>
                <w:b/>
                <w:bCs/>
              </w:rPr>
              <w:t>章</w:t>
            </w:r>
          </w:p>
          <w:p>
            <w:pPr>
              <w:keepNext w:val="0"/>
              <w:keepLines w:val="0"/>
              <w:suppressLineNumbers w:val="0"/>
              <w:spacing w:before="0" w:beforeAutospacing="0" w:after="0" w:afterAutospacing="0" w:line="520" w:lineRule="exact"/>
              <w:ind w:left="0" w:right="0" w:firstLine="0" w:firstLineChars="0"/>
              <w:rPr>
                <w:rFonts w:hint="default"/>
                <w:b/>
                <w:bCs/>
              </w:rPr>
            </w:pPr>
          </w:p>
          <w:p>
            <w:pPr>
              <w:keepNext w:val="0"/>
              <w:keepLines w:val="0"/>
              <w:suppressLineNumbers w:val="0"/>
              <w:spacing w:before="0" w:beforeAutospacing="0" w:after="0" w:afterAutospacing="0" w:line="520" w:lineRule="exact"/>
              <w:ind w:left="0" w:right="0" w:firstLine="0" w:firstLineChars="0"/>
              <w:rPr>
                <w:rFonts w:hint="default"/>
              </w:rPr>
            </w:pPr>
            <w:r>
              <w:rPr>
                <w:rFonts w:hint="eastAsia"/>
                <w:b/>
                <w:bCs/>
              </w:rPr>
              <w:t>经办人：</w:t>
            </w:r>
            <w:r>
              <w:rPr>
                <w:rFonts w:hint="default"/>
                <w:b/>
                <w:bCs/>
              </w:rPr>
              <w:t xml:space="preserve">                                       </w:t>
            </w:r>
            <w:r>
              <w:rPr>
                <w:rFonts w:hint="eastAsia"/>
                <w:b/>
                <w:bCs/>
              </w:rPr>
              <w:t>年</w:t>
            </w:r>
            <w:r>
              <w:rPr>
                <w:rFonts w:hint="default"/>
                <w:b/>
                <w:bCs/>
              </w:rPr>
              <w:t xml:space="preserve">     </w:t>
            </w:r>
            <w:r>
              <w:rPr>
                <w:rFonts w:hint="eastAsia"/>
                <w:b/>
                <w:bCs/>
              </w:rPr>
              <w:t>月</w:t>
            </w:r>
            <w:r>
              <w:rPr>
                <w:rFonts w:hint="default"/>
                <w:b/>
                <w:bCs/>
              </w:rPr>
              <w:t xml:space="preserve">     </w:t>
            </w:r>
            <w:r>
              <w:rPr>
                <w:rFonts w:hint="eastAsia"/>
                <w:b/>
                <w:bCs/>
              </w:rPr>
              <w:t>日</w:t>
            </w:r>
          </w:p>
          <w:p>
            <w:pPr>
              <w:keepNext w:val="0"/>
              <w:keepLines w:val="0"/>
              <w:suppressLineNumbers w:val="0"/>
              <w:spacing w:before="0" w:beforeAutospacing="0" w:after="0" w:afterAutospacing="0" w:line="520" w:lineRule="exact"/>
              <w:ind w:left="0" w:right="0" w:firstLine="0" w:firstLineChars="0"/>
              <w:rPr>
                <w:rFonts w:hint="default"/>
              </w:rPr>
            </w:pPr>
          </w:p>
          <w:p>
            <w:pPr>
              <w:pStyle w:val="2"/>
              <w:rPr>
                <w:rFonts w:hint="default"/>
              </w:rPr>
            </w:pPr>
          </w:p>
        </w:tc>
      </w:tr>
      <w:tr>
        <w:tblPrEx>
          <w:tblCellMar>
            <w:top w:w="0" w:type="dxa"/>
            <w:left w:w="108" w:type="dxa"/>
            <w:bottom w:w="0" w:type="dxa"/>
            <w:right w:w="108" w:type="dxa"/>
          </w:tblCellMar>
        </w:tblPrEx>
        <w:trPr>
          <w:gridAfter w:val="1"/>
          <w:wAfter w:w="355" w:type="dxa"/>
          <w:cantSplit/>
          <w:trHeight w:val="12748" w:hRule="atLeast"/>
          <w:jc w:val="center"/>
        </w:trPr>
        <w:tc>
          <w:tcPr>
            <w:tcW w:w="8945" w:type="dxa"/>
            <w:tcBorders>
              <w:top w:val="single" w:color="auto" w:sz="12"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审批意见</w:t>
            </w:r>
            <w:r>
              <w:rPr>
                <w:rFonts w:hint="eastAsia" w:ascii="Times New Roman" w:hAnsi="Times New Roman" w:eastAsia="宋体" w:cs="Times New Roman"/>
                <w:b/>
                <w:color w:val="000000"/>
                <w:szCs w:val="24"/>
                <w:lang w:eastAsia="zh-CN"/>
              </w:rPr>
              <w:t>：</w:t>
            </w:r>
            <w:r>
              <w:rPr>
                <w:rFonts w:hint="default" w:ascii="Times New Roman" w:hAnsi="Times New Roman" w:eastAsia="宋体" w:cs="Times New Roman"/>
                <w:b/>
                <w:color w:val="000000"/>
                <w:szCs w:val="24"/>
              </w:rPr>
              <w:t xml:space="preserve">                                  </w:t>
            </w:r>
            <w:r>
              <w:rPr>
                <w:rFonts w:hint="default" w:ascii="Times New Roman" w:hAnsi="Times New Roman" w:eastAsia="宋体" w:cs="Times New Roman"/>
                <w:color w:val="000000"/>
                <w:szCs w:val="24"/>
              </w:rPr>
              <w:t xml:space="preserve">          </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bl>
    <w:p>
      <w:pPr>
        <w:spacing w:line="240" w:lineRule="auto"/>
        <w:ind w:firstLine="0" w:firstLineChars="0"/>
        <w:jc w:val="center"/>
        <w:rPr>
          <w:rFonts w:ascii="Times New Roman" w:hAnsi="Times New Roman" w:eastAsia="宋体" w:cs="Times New Roman"/>
          <w:sz w:val="28"/>
          <w:szCs w:val="30"/>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240" w:lineRule="auto"/>
        <w:ind w:firstLine="0" w:firstLineChars="0"/>
        <w:jc w:val="center"/>
        <w:rPr>
          <w:rFonts w:hint="eastAsia" w:ascii="Times New Roman" w:hAnsi="Times New Roman" w:eastAsia="黑体" w:cstheme="minorBidi"/>
          <w:sz w:val="44"/>
          <w:szCs w:val="44"/>
          <w:lang w:val="en-US" w:eastAsia="zh-CN"/>
        </w:rPr>
      </w:pPr>
      <w:r>
        <w:rPr>
          <w:rFonts w:ascii="Times New Roman" w:hAnsi="Times New Roman" w:eastAsia="宋体" w:cs="Times New Roman"/>
          <w:sz w:val="28"/>
          <w:szCs w:val="30"/>
        </w:rPr>
        <w:br w:type="page"/>
      </w:r>
      <w:r>
        <w:rPr>
          <w:rFonts w:hint="eastAsia" w:ascii="Times New Roman" w:hAnsi="Times New Roman" w:eastAsia="黑体" w:cstheme="minorBidi"/>
          <w:sz w:val="44"/>
          <w:szCs w:val="44"/>
          <w:lang w:val="en-US" w:eastAsia="zh-CN"/>
        </w:rPr>
        <w:t>河南高速能源有限责任公司鲁山经营部石人山服务区</w:t>
      </w:r>
      <w:r>
        <w:rPr>
          <w:rFonts w:hint="eastAsia" w:eastAsia="黑体" w:cstheme="minorBidi"/>
          <w:sz w:val="44"/>
          <w:szCs w:val="44"/>
          <w:lang w:val="en-US" w:eastAsia="zh-CN"/>
        </w:rPr>
        <w:t>北</w:t>
      </w:r>
      <w:r>
        <w:rPr>
          <w:rFonts w:hint="eastAsia" w:ascii="Times New Roman" w:hAnsi="Times New Roman" w:eastAsia="黑体" w:cstheme="minorBidi"/>
          <w:sz w:val="44"/>
          <w:szCs w:val="44"/>
          <w:lang w:val="en-US" w:eastAsia="zh-CN"/>
        </w:rPr>
        <w:t>加油站项目</w:t>
      </w: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环境风险评价专题</w:t>
      </w:r>
    </w:p>
    <w:p>
      <w:pPr>
        <w:widowControl w:val="0"/>
        <w:autoSpaceDE w:val="0"/>
        <w:autoSpaceDN w:val="0"/>
        <w:adjustRightInd w:val="0"/>
        <w:jc w:val="center"/>
        <w:rPr>
          <w:rFonts w:hint="eastAsia" w:ascii="Times New Roman" w:hAnsi="Times New Roman" w:eastAsia="黑体" w:cs="Times New Roman"/>
          <w:color w:val="000000"/>
          <w:sz w:val="44"/>
          <w:szCs w:val="44"/>
          <w:lang w:val="en-US" w:eastAsia="zh-CN" w:bidi="ar-SA"/>
        </w:rPr>
      </w:pPr>
      <w:r>
        <w:rPr>
          <w:rFonts w:hint="eastAsia" w:ascii="Times New Roman" w:hAnsi="Times New Roman" w:eastAsia="黑体" w:cs="Times New Roman"/>
          <w:color w:val="000000"/>
          <w:sz w:val="44"/>
          <w:szCs w:val="44"/>
          <w:lang w:val="en-US" w:eastAsia="zh-CN" w:bidi="ar-SA"/>
        </w:rPr>
        <w:t>（报批版）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eastAsia="黑体" w:cs="Times New Roman"/>
          <w:color w:val="000000"/>
          <w:sz w:val="32"/>
          <w:szCs w:val="32"/>
          <w:lang w:val="en-US" w:eastAsia="zh-CN" w:bidi="ar-SA"/>
        </w:rPr>
        <w:t>河北科祥环保科技</w:t>
      </w:r>
      <w:r>
        <w:rPr>
          <w:rFonts w:hint="eastAsia" w:ascii="Times New Roman" w:hAnsi="Times New Roman" w:eastAsia="黑体" w:cs="Times New Roman"/>
          <w:color w:val="000000"/>
          <w:sz w:val="32"/>
          <w:szCs w:val="32"/>
          <w:lang w:val="en-US" w:eastAsia="zh-CN" w:bidi="ar-SA"/>
        </w:rPr>
        <w:t>有限公司</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ascii="Times New Roman" w:hAnsi="Times New Roman" w:eastAsia="黑体" w:cs="Times New Roman"/>
          <w:color w:val="000000"/>
          <w:sz w:val="32"/>
          <w:szCs w:val="32"/>
          <w:lang w:val="en-US" w:eastAsia="zh-CN" w:bidi="ar-SA"/>
        </w:rPr>
        <w:t>二〇二〇年十</w:t>
      </w:r>
      <w:r>
        <w:rPr>
          <w:rFonts w:hint="eastAsia" w:eastAsia="黑体" w:cs="Times New Roman"/>
          <w:color w:val="000000"/>
          <w:sz w:val="32"/>
          <w:szCs w:val="32"/>
          <w:lang w:val="en-US" w:eastAsia="zh-CN" w:bidi="ar-SA"/>
        </w:rPr>
        <w:t>二</w:t>
      </w:r>
      <w:r>
        <w:rPr>
          <w:rFonts w:hint="eastAsia" w:ascii="Times New Roman" w:hAnsi="Times New Roman" w:eastAsia="黑体" w:cs="Times New Roman"/>
          <w:color w:val="000000"/>
          <w:sz w:val="32"/>
          <w:szCs w:val="32"/>
          <w:lang w:val="en-US" w:eastAsia="zh-CN" w:bidi="ar-SA"/>
        </w:rPr>
        <w:t>月</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1、评价依据</w:t>
      </w:r>
    </w:p>
    <w:p>
      <w:pPr>
        <w:spacing w:line="520" w:lineRule="exact"/>
        <w:ind w:firstLine="482" w:firstLineChars="200"/>
        <w:jc w:val="both"/>
        <w:outlineLvl w:val="1"/>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（1）评价目的</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的事故率、损失和环境影响达到可接受的水平</w:t>
      </w:r>
      <w:r>
        <w:rPr>
          <w:rFonts w:hint="default" w:ascii="Times New Roman" w:hAnsi="Times New Roman" w:cs="Times New Roman" w:eastAsiaTheme="minorEastAsia"/>
          <w:sz w:val="24"/>
          <w:szCs w:val="21"/>
          <w:u w:val="none"/>
          <w:lang w:eastAsia="zh-CN"/>
        </w:rPr>
        <w:t>。</w:t>
      </w:r>
    </w:p>
    <w:p>
      <w:pPr>
        <w:spacing w:line="520" w:lineRule="exact"/>
        <w:ind w:firstLine="482" w:firstLineChars="200"/>
        <w:jc w:val="both"/>
        <w:outlineLvl w:val="1"/>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（2）风险调查</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根</w:t>
      </w:r>
      <w:r>
        <w:rPr>
          <w:rFonts w:hint="default" w:ascii="Times New Roman" w:hAnsi="Times New Roman" w:eastAsia="TimesNewRomanPSMT" w:cs="Times New Roman"/>
          <w:sz w:val="24"/>
          <w:szCs w:val="21"/>
          <w:u w:val="none"/>
        </w:rPr>
        <w:t>据GB18218-20</w:t>
      </w:r>
      <w:r>
        <w:rPr>
          <w:rFonts w:hint="eastAsia" w:ascii="Times New Roman" w:hAnsi="Times New Roman" w:eastAsia="宋体" w:cs="Times New Roman"/>
          <w:sz w:val="24"/>
          <w:szCs w:val="21"/>
          <w:u w:val="none"/>
          <w:lang w:val="en-US" w:eastAsia="zh-CN"/>
        </w:rPr>
        <w:t>18</w:t>
      </w:r>
      <w:r>
        <w:rPr>
          <w:rFonts w:hint="default" w:ascii="Times New Roman" w:hAnsi="Times New Roman" w:eastAsia="TimesNewRomanPSMT" w:cs="Times New Roman"/>
          <w:sz w:val="24"/>
          <w:szCs w:val="21"/>
          <w:u w:val="none"/>
        </w:rPr>
        <w:t>《危险化学品重大危险源辩识》，重大危险源辨识指标有两种情况：</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（1）</w:t>
      </w:r>
      <w:r>
        <w:rPr>
          <w:rFonts w:hint="default" w:ascii="Times New Roman" w:hAnsi="Times New Roman" w:eastAsia="TimesNewRomanPSMT" w:cs="Times New Roman"/>
          <w:sz w:val="24"/>
          <w:szCs w:val="21"/>
          <w:u w:val="none"/>
        </w:rPr>
        <w:t>单元内存在的危险物质为单一品种，则该物质的数量即为单元内危险物质的总量，若等于或超过相应的临界量，则定为重大危险源。</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（2）</w:t>
      </w:r>
      <w:r>
        <w:rPr>
          <w:rFonts w:hint="default" w:ascii="Times New Roman" w:hAnsi="Times New Roman" w:eastAsia="TimesNewRomanPSMT" w:cs="Times New Roman"/>
          <w:sz w:val="24"/>
          <w:szCs w:val="21"/>
          <w:u w:val="none"/>
        </w:rPr>
        <w:t>单元内存在的危险物质为多品种时，则按下式计算，若满足下式，则定为重大危险源。</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1"/>
          <w:u w:val="none"/>
          <w:lang w:eastAsia="zh-CN"/>
        </w:rPr>
        <w:pict>
          <v:shape id="_x0000_s1089" o:spid="_x0000_s1089" o:spt="75" type="#_x0000_t75" style="position:absolute;left:0pt;margin-left:181.8pt;margin-top:1.8pt;height:33pt;width:94pt;mso-wrap-distance-bottom:0pt;mso-wrap-distance-top:0pt;z-index:843662336;mso-width-relative:page;mso-height-relative:page;" o:ole="t" filled="f" o:preferrelative="t" stroked="f" coordsize="21600,21600">
            <v:path/>
            <v:fill on="f" focussize="0,0"/>
            <v:stroke on="f"/>
            <v:imagedata r:id="rId27" o:title=""/>
            <o:lock v:ext="edit" aspectratio="t"/>
            <w10:wrap type="topAndBottom"/>
          </v:shape>
          <o:OLEObject Type="Embed" ProgID="Equation.3" ShapeID="_x0000_s1089" DrawAspect="Content" ObjectID="_1468075726" r:id="rId26">
            <o:LockedField>false</o:LockedField>
          </o:OLEObject>
        </w:pict>
      </w:r>
      <w:r>
        <w:rPr>
          <w:rFonts w:hint="default" w:ascii="Times New Roman" w:hAnsi="Times New Roman" w:cs="Times New Roman" w:eastAsiaTheme="minorEastAsia"/>
          <w:sz w:val="24"/>
          <w:szCs w:val="21"/>
          <w:u w:val="none"/>
        </w:rPr>
        <w:t>式中，</w:t>
      </w:r>
      <w:r>
        <w:rPr>
          <w:rFonts w:hint="eastAsia" w:ascii="Times New Roman" w:hAnsi="Times New Roman" w:cs="Times New Roman" w:eastAsiaTheme="minorEastAsia"/>
          <w:sz w:val="24"/>
          <w:szCs w:val="21"/>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每种危险物质实际存在量</w:t>
      </w:r>
      <w:r>
        <w:rPr>
          <w:rFonts w:hint="eastAsia" w:ascii="Times New Roman" w:hAnsi="Times New Roman" w:cs="Times New Roman" w:eastAsiaTheme="minorEastAsia"/>
          <w:sz w:val="24"/>
          <w:szCs w:val="24"/>
          <w:u w:val="none"/>
          <w:lang w:val="en-US" w:eastAsia="zh-CN"/>
        </w:rPr>
        <w:t>，t；</w:t>
      </w:r>
    </w:p>
    <w:p>
      <w:pPr>
        <w:spacing w:line="520" w:lineRule="exact"/>
        <w:ind w:firstLine="1200" w:firstLineChars="5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与各危险</w:t>
      </w:r>
      <w:r>
        <w:rPr>
          <w:rFonts w:hint="eastAsia" w:ascii="Times New Roman" w:hAnsi="Times New Roman" w:cs="Times New Roman" w:eastAsiaTheme="minorEastAsia"/>
          <w:sz w:val="24"/>
          <w:szCs w:val="21"/>
          <w:u w:val="none"/>
          <w:lang w:eastAsia="zh-CN"/>
        </w:rPr>
        <w:t>化学品</w:t>
      </w:r>
      <w:r>
        <w:rPr>
          <w:rFonts w:hint="default" w:ascii="Times New Roman" w:hAnsi="Times New Roman" w:cs="Times New Roman" w:eastAsiaTheme="minorEastAsia"/>
          <w:sz w:val="24"/>
          <w:szCs w:val="21"/>
          <w:u w:val="none"/>
        </w:rPr>
        <w:t>相对应的临界量</w:t>
      </w:r>
      <w:r>
        <w:rPr>
          <w:rFonts w:hint="eastAsia" w:ascii="Times New Roman" w:hAnsi="Times New Roman" w:cs="Times New Roman" w:eastAsiaTheme="minorEastAsia"/>
          <w:sz w:val="24"/>
          <w:szCs w:val="24"/>
          <w:u w:val="none"/>
          <w:lang w:val="en-US" w:eastAsia="zh-CN"/>
        </w:rPr>
        <w:t>，t。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本项目加油站储罐区汽</w:t>
      </w:r>
      <w:r>
        <w:rPr>
          <w:rFonts w:hint="eastAsia" w:cs="Times New Roman" w:eastAsiaTheme="minorEastAsia"/>
          <w:sz w:val="24"/>
          <w:szCs w:val="21"/>
          <w:u w:val="none"/>
          <w:lang w:eastAsia="zh-CN"/>
        </w:rPr>
        <w:t>油</w:t>
      </w:r>
      <w:r>
        <w:rPr>
          <w:rFonts w:hint="default" w:ascii="Times New Roman" w:hAnsi="Times New Roman" w:cs="Times New Roman" w:eastAsiaTheme="minorEastAsia"/>
          <w:sz w:val="24"/>
          <w:szCs w:val="21"/>
          <w:u w:val="none"/>
        </w:rPr>
        <w:t>单罐容量为</w:t>
      </w:r>
      <w:r>
        <w:rPr>
          <w:rFonts w:hint="eastAsia" w:cs="Times New Roman" w:eastAsiaTheme="minorEastAsia"/>
          <w:sz w:val="24"/>
          <w:szCs w:val="21"/>
          <w:u w:val="none"/>
          <w:lang w:val="en-US" w:eastAsia="zh-CN"/>
        </w:rPr>
        <w:t>3</w:t>
      </w:r>
      <w:r>
        <w:rPr>
          <w:rFonts w:hint="eastAsia" w:ascii="Times New Roman" w:hAnsi="Times New Roman" w:eastAsia="宋体" w:cs="Times New Roman"/>
          <w:sz w:val="24"/>
          <w:szCs w:val="21"/>
          <w:u w:val="none"/>
          <w:lang w:val="en-US" w:eastAsia="zh-CN"/>
        </w:rPr>
        <w:t xml:space="preserve">0 </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w:t>
      </w:r>
      <w:r>
        <w:rPr>
          <w:rFonts w:hint="eastAsia" w:cs="Times New Roman" w:eastAsiaTheme="minorEastAsia"/>
          <w:sz w:val="24"/>
          <w:szCs w:val="21"/>
          <w:u w:val="none"/>
          <w:lang w:eastAsia="zh-CN"/>
        </w:rPr>
        <w:t>柴油储罐单罐容量为</w:t>
      </w:r>
      <w:r>
        <w:rPr>
          <w:rFonts w:hint="eastAsia" w:cs="Times New Roman" w:eastAsiaTheme="minorEastAsia"/>
          <w:sz w:val="24"/>
          <w:szCs w:val="21"/>
          <w:u w:val="none"/>
          <w:lang w:val="en-US" w:eastAsia="zh-CN"/>
        </w:rPr>
        <w:t>50</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eastAsia" w:cs="Times New Roman" w:eastAsiaTheme="minorEastAsia"/>
          <w:sz w:val="24"/>
          <w:szCs w:val="21"/>
          <w:u w:val="none"/>
          <w:vertAlign w:val="baseline"/>
          <w:lang w:eastAsia="zh-CN"/>
        </w:rPr>
        <w:t>，</w:t>
      </w:r>
      <w:r>
        <w:rPr>
          <w:rFonts w:hint="default" w:ascii="Times New Roman" w:hAnsi="Times New Roman" w:cs="Times New Roman" w:eastAsiaTheme="minorEastAsia"/>
          <w:sz w:val="24"/>
          <w:szCs w:val="21"/>
          <w:u w:val="none"/>
        </w:rPr>
        <w:t>项目使用</w:t>
      </w:r>
      <w:r>
        <w:rPr>
          <w:rFonts w:hint="eastAsia" w:ascii="Times New Roman" w:hAnsi="Times New Roman"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个汽油罐和</w:t>
      </w:r>
      <w:r>
        <w:rPr>
          <w:rFonts w:hint="eastAsia"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个柴油罐，汽油密度</w:t>
      </w:r>
      <w:r>
        <w:rPr>
          <w:rFonts w:hint="default" w:ascii="Times New Roman" w:hAnsi="Times New Roman" w:eastAsia="TimesNewRomanPSMT" w:cs="Times New Roman"/>
          <w:sz w:val="24"/>
          <w:szCs w:val="21"/>
          <w:u w:val="none"/>
        </w:rPr>
        <w:t>0.70</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0.7</w:t>
      </w:r>
      <w:r>
        <w:rPr>
          <w:rFonts w:hint="eastAsia" w:ascii="Times New Roman" w:hAnsi="Times New Roman" w:eastAsia="宋体" w:cs="Times New Roman"/>
          <w:sz w:val="24"/>
          <w:szCs w:val="21"/>
          <w:u w:val="none"/>
          <w:lang w:val="en-US" w:eastAsia="zh-CN"/>
        </w:rPr>
        <w:t>8</w:t>
      </w:r>
      <w:r>
        <w:rPr>
          <w:rFonts w:hint="default" w:ascii="Times New Roman" w:hAnsi="Times New Roman" w:cs="Times New Roman" w:eastAsiaTheme="minorEastAsia"/>
          <w:sz w:val="24"/>
          <w:szCs w:val="21"/>
          <w:u w:val="none"/>
        </w:rPr>
        <w:t>，本次取</w:t>
      </w:r>
      <w:r>
        <w:rPr>
          <w:rFonts w:hint="default" w:ascii="Times New Roman" w:hAnsi="Times New Roman" w:eastAsia="TimesNewRomanPSMT" w:cs="Times New Roman"/>
          <w:sz w:val="24"/>
          <w:szCs w:val="21"/>
          <w:u w:val="none"/>
        </w:rPr>
        <w:t>0.75</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，柴油密度</w:t>
      </w:r>
      <w:r>
        <w:rPr>
          <w:rFonts w:hint="default" w:ascii="Times New Roman" w:hAnsi="Times New Roman" w:eastAsia="TimesNewRomanPSMT" w:cs="Times New Roman"/>
          <w:sz w:val="24"/>
          <w:szCs w:val="21"/>
          <w:u w:val="none"/>
        </w:rPr>
        <w:t>0.8</w:t>
      </w:r>
      <w:r>
        <w:rPr>
          <w:rFonts w:hint="eastAsia" w:ascii="Times New Roman" w:hAnsi="Times New Roman" w:eastAsia="宋体" w:cs="Times New Roman"/>
          <w:sz w:val="24"/>
          <w:szCs w:val="21"/>
          <w:u w:val="none"/>
          <w:lang w:val="en-US" w:eastAsia="zh-CN"/>
        </w:rPr>
        <w:t>3</w:t>
      </w:r>
      <w:r>
        <w:rPr>
          <w:rFonts w:hint="default" w:ascii="Times New Roman" w:hAnsi="Times New Roman" w:cs="Times New Roman" w:eastAsiaTheme="minorEastAsia"/>
          <w:sz w:val="24"/>
          <w:szCs w:val="21"/>
          <w:u w:val="none"/>
        </w:rPr>
        <w:t>～</w:t>
      </w:r>
      <w:r>
        <w:rPr>
          <w:rFonts w:hint="eastAsia" w:ascii="Times New Roman" w:hAnsi="Times New Roman" w:eastAsia="宋体" w:cs="Times New Roman"/>
          <w:sz w:val="24"/>
          <w:szCs w:val="21"/>
          <w:u w:val="none"/>
          <w:lang w:val="en-US" w:eastAsia="zh-CN"/>
        </w:rPr>
        <w:t>0.855</w:t>
      </w:r>
      <w:r>
        <w:rPr>
          <w:rFonts w:hint="default" w:ascii="Times New Roman" w:hAnsi="Times New Roman" w:cs="Times New Roman" w:eastAsiaTheme="minorEastAsia"/>
          <w:sz w:val="24"/>
          <w:szCs w:val="21"/>
          <w:u w:val="none"/>
        </w:rPr>
        <w:t>，本项目取</w:t>
      </w:r>
      <w:r>
        <w:rPr>
          <w:rFonts w:hint="default" w:ascii="Times New Roman" w:hAnsi="Times New Roman" w:eastAsia="TimesNewRomanPSMT" w:cs="Times New Roman"/>
          <w:sz w:val="24"/>
          <w:szCs w:val="21"/>
          <w:u w:val="none"/>
        </w:rPr>
        <w:t>0.</w:t>
      </w:r>
      <w:r>
        <w:rPr>
          <w:rFonts w:hint="eastAsia" w:ascii="Times New Roman" w:hAnsi="Times New Roman" w:eastAsia="宋体" w:cs="Times New Roman"/>
          <w:sz w:val="24"/>
          <w:szCs w:val="21"/>
          <w:u w:val="none"/>
          <w:lang w:val="en-US" w:eastAsia="zh-CN"/>
        </w:rPr>
        <w:t>84</w:t>
      </w:r>
      <w:r>
        <w:rPr>
          <w:rFonts w:hint="default" w:ascii="Times New Roman" w:hAnsi="Times New Roman" w:cs="Times New Roman" w:eastAsiaTheme="minorEastAsia"/>
          <w:sz w:val="24"/>
          <w:szCs w:val="21"/>
          <w:u w:val="none"/>
        </w:rPr>
        <w:t>，最大储量按储油罐</w:t>
      </w:r>
      <w:r>
        <w:rPr>
          <w:rFonts w:hint="eastAsia" w:ascii="Times New Roman" w:hAnsi="Times New Roman" w:cs="Times New Roman" w:eastAsiaTheme="minorEastAsia"/>
          <w:sz w:val="24"/>
          <w:szCs w:val="21"/>
          <w:u w:val="none"/>
          <w:lang w:eastAsia="zh-CN"/>
        </w:rPr>
        <w:t>的</w:t>
      </w:r>
      <w:r>
        <w:rPr>
          <w:rFonts w:hint="default" w:ascii="Times New Roman" w:hAnsi="Times New Roman" w:cs="Times New Roman" w:eastAsiaTheme="minorEastAsia"/>
          <w:sz w:val="24"/>
          <w:szCs w:val="21"/>
          <w:u w:val="none"/>
        </w:rPr>
        <w:t>90%，则汽油的最大存储量为</w:t>
      </w:r>
      <w:r>
        <w:rPr>
          <w:rFonts w:hint="eastAsia" w:cs="Times New Roman" w:eastAsiaTheme="minorEastAsia"/>
          <w:sz w:val="24"/>
          <w:szCs w:val="21"/>
          <w:u w:val="none"/>
          <w:lang w:val="en-US" w:eastAsia="zh-CN"/>
        </w:rPr>
        <w:t>60.75</w:t>
      </w:r>
      <w:r>
        <w:rPr>
          <w:rFonts w:hint="default" w:ascii="Times New Roman" w:hAnsi="Times New Roman" w:cs="Times New Roman" w:eastAsiaTheme="minorEastAsia"/>
          <w:sz w:val="24"/>
          <w:szCs w:val="21"/>
          <w:u w:val="none"/>
        </w:rPr>
        <w:t>t，柴油最大存储量为</w:t>
      </w:r>
      <w:r>
        <w:rPr>
          <w:rFonts w:hint="eastAsia" w:cs="Times New Roman" w:eastAsiaTheme="minorEastAsia"/>
          <w:sz w:val="24"/>
          <w:szCs w:val="21"/>
          <w:u w:val="none"/>
          <w:lang w:val="en-US" w:eastAsia="zh-CN"/>
        </w:rPr>
        <w:t>113.4</w:t>
      </w:r>
      <w:r>
        <w:rPr>
          <w:rFonts w:hint="default" w:ascii="Times New Roman" w:hAnsi="Times New Roman" w:cs="Times New Roman" w:eastAsiaTheme="minorEastAsia"/>
          <w:sz w:val="24"/>
          <w:szCs w:val="21"/>
          <w:u w:val="none"/>
        </w:rPr>
        <w:t>t。</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1-1</w:t>
      </w:r>
      <w:r>
        <w:rPr>
          <w:rFonts w:hint="default" w:ascii="Times New Roman" w:hAnsi="Times New Roman" w:eastAsia="黑体" w:cs="Times New Roman"/>
          <w:sz w:val="24"/>
          <w:szCs w:val="21"/>
          <w:u w:val="none"/>
        </w:rPr>
        <w:t xml:space="preserve">  </w:t>
      </w:r>
      <w:r>
        <w:rPr>
          <w:rFonts w:hint="eastAsia" w:ascii="Times New Roman" w:hAnsi="Times New Roman" w:eastAsia="黑体" w:cs="Times New Roman"/>
          <w:sz w:val="24"/>
          <w:szCs w:val="21"/>
          <w:u w:val="none"/>
          <w:lang w:eastAsia="zh-CN"/>
        </w:rPr>
        <w:t>项目危险化学品情况</w:t>
      </w:r>
    </w:p>
    <w:tbl>
      <w:tblPr>
        <w:tblStyle w:val="22"/>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45"/>
        <w:gridCol w:w="2223"/>
        <w:gridCol w:w="2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eastAsia" w:ascii="Times New Roman" w:hAnsi="Times New Roman" w:cs="Times New Roman" w:eastAsiaTheme="minorEastAsia"/>
                <w:b/>
                <w:bCs/>
                <w:szCs w:val="21"/>
                <w:u w:val="none"/>
                <w:lang w:eastAsia="zh-CN"/>
              </w:rPr>
              <w:t>危险物质</w:t>
            </w:r>
            <w:r>
              <w:rPr>
                <w:rFonts w:hint="default" w:ascii="Times New Roman" w:hAnsi="Times New Roman" w:cs="Times New Roman" w:eastAsiaTheme="minorEastAsia"/>
                <w:b/>
                <w:bCs/>
                <w:szCs w:val="21"/>
                <w:u w:val="none"/>
              </w:rPr>
              <w:t>名称</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最大储量（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临界量（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eastAsia="TimesNewRomanPSMT" w:cs="Times New Roman"/>
                <w:b/>
                <w:bCs/>
                <w:szCs w:val="21"/>
                <w:u w:val="none"/>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汽油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60.75</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ascii="Times New Roman" w:hAnsi="Times New Roman" w:eastAsia="宋体" w:cs="Times New Roman"/>
                <w:szCs w:val="21"/>
                <w:u w:val="none"/>
                <w:lang w:val="en-US" w:eastAsia="zh-CN"/>
              </w:rPr>
              <w:t>0.0</w:t>
            </w:r>
            <w:r>
              <w:rPr>
                <w:rFonts w:hint="eastAsia" w:cs="Times New Roman"/>
                <w:szCs w:val="21"/>
                <w:u w:val="none"/>
                <w:lang w:val="en-US" w:eastAsia="zh-CN"/>
              </w:rPr>
              <w:t>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柴油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113.4</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cs="Times New Roman"/>
                <w:szCs w:val="21"/>
                <w:u w:val="none"/>
                <w:lang w:val="en-US" w:eastAsia="zh-CN"/>
              </w:rPr>
              <w:t>0.0453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eastAsia="TimesNewRomanPSMT" w:cs="Times New Roman"/>
                <w:szCs w:val="21"/>
                <w:u w:val="none"/>
              </w:rPr>
              <w:t>Σqn/Qn</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eastAsia" w:cs="Times New Roman"/>
                <w:szCs w:val="21"/>
                <w:u w:val="none"/>
                <w:lang w:eastAsia="zh-CN"/>
              </w:rPr>
              <w:t>0.0699</w:t>
            </w:r>
            <w:r>
              <w:rPr>
                <w:rFonts w:hint="default" w:ascii="Times New Roman" w:hAnsi="Times New Roman" w:cs="Times New Roman" w:eastAsiaTheme="minorEastAsia"/>
                <w:szCs w:val="21"/>
                <w:u w:val="none"/>
              </w:rPr>
              <w:t>＜</w:t>
            </w:r>
            <w:r>
              <w:rPr>
                <w:rFonts w:hint="default" w:ascii="Times New Roman" w:hAnsi="Times New Roman" w:eastAsia="TimesNewRomanPSMT" w:cs="Times New Roman"/>
                <w:szCs w:val="21"/>
                <w:u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重大危险源判定</w:t>
            </w:r>
          </w:p>
        </w:tc>
        <w:tc>
          <w:tcPr>
            <w:tcW w:w="2406" w:type="dxa"/>
            <w:noWrap w:val="0"/>
            <w:vAlign w:val="center"/>
          </w:tcPr>
          <w:p>
            <w:pPr>
              <w:keepNext w:val="0"/>
              <w:keepLines w:val="0"/>
              <w:suppressLineNumbers w:val="0"/>
              <w:spacing w:before="0" w:beforeAutospacing="0" w:after="0" w:afterAutospacing="0" w:line="360" w:lineRule="exact"/>
              <w:ind w:left="0" w:right="0" w:firstLine="480" w:firstLineChars="20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不构成</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项目危险品物储存量小于临界量，按上式计算，不满足，即本项目不构成重大危险源。</w:t>
      </w:r>
    </w:p>
    <w:p>
      <w:pPr>
        <w:spacing w:line="520" w:lineRule="exact"/>
        <w:ind w:firstLine="482" w:firstLineChars="200"/>
        <w:jc w:val="both"/>
        <w:outlineLvl w:val="9"/>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（3）风险潜势初判</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①危险物质及工艺系统危险性（P）的判定</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val="en-US" w:eastAsia="zh-CN"/>
        </w:rPr>
        <w:t>.危险物质数量与临界量的比值（Q）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当</w:t>
      </w:r>
      <w:r>
        <w:rPr>
          <w:rFonts w:hint="eastAsia" w:ascii="Times New Roman" w:hAnsi="Times New Roman" w:cs="Times New Roman" w:eastAsiaTheme="minorEastAsia"/>
          <w:sz w:val="24"/>
          <w:szCs w:val="24"/>
          <w:u w:val="none"/>
          <w:lang w:eastAsia="zh-CN"/>
        </w:rPr>
        <w:t>只涉及一种</w:t>
      </w:r>
      <w:r>
        <w:rPr>
          <w:rFonts w:hint="default" w:ascii="Times New Roman" w:hAnsi="Times New Roman" w:cs="Times New Roman" w:eastAsiaTheme="minorEastAsia"/>
          <w:sz w:val="24"/>
          <w:szCs w:val="24"/>
          <w:u w:val="none"/>
          <w:lang w:eastAsia="zh-CN"/>
        </w:rPr>
        <w:t>危险物质</w:t>
      </w:r>
      <w:r>
        <w:rPr>
          <w:rFonts w:hint="eastAsia" w:ascii="Times New Roman" w:hAnsi="Times New Roman" w:cs="Times New Roman" w:eastAsiaTheme="minorEastAsia"/>
          <w:sz w:val="24"/>
          <w:szCs w:val="24"/>
          <w:u w:val="none"/>
          <w:lang w:eastAsia="zh-CN"/>
        </w:rPr>
        <w:t>时，计算该物质的总量与其临界量的比值，即为</w:t>
      </w:r>
      <w:r>
        <w:rPr>
          <w:rFonts w:hint="eastAsia" w:ascii="Times New Roman" w:hAnsi="Times New Roman" w:cs="Times New Roman" w:eastAsiaTheme="minorEastAsia"/>
          <w:sz w:val="24"/>
          <w:szCs w:val="24"/>
          <w:u w:val="none"/>
          <w:lang w:val="en-US" w:eastAsia="zh-CN"/>
        </w:rPr>
        <w:t>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当存在</w:t>
      </w:r>
      <w:r>
        <w:rPr>
          <w:rFonts w:hint="default" w:ascii="Times New Roman" w:hAnsi="Times New Roman" w:cs="Times New Roman" w:eastAsiaTheme="minorEastAsia"/>
          <w:sz w:val="24"/>
          <w:szCs w:val="24"/>
          <w:u w:val="none"/>
          <w:lang w:eastAsia="zh-CN"/>
        </w:rPr>
        <w:t>多种危险物质</w:t>
      </w:r>
      <w:r>
        <w:rPr>
          <w:rFonts w:hint="eastAsia" w:ascii="Times New Roman" w:hAnsi="Times New Roman" w:cs="Times New Roman" w:eastAsiaTheme="minorEastAsia"/>
          <w:sz w:val="24"/>
          <w:szCs w:val="24"/>
          <w:u w:val="none"/>
          <w:lang w:eastAsia="zh-CN"/>
        </w:rPr>
        <w:t>时，</w:t>
      </w:r>
      <w:r>
        <w:rPr>
          <w:rFonts w:hint="default" w:ascii="Times New Roman" w:hAnsi="Times New Roman" w:cs="Times New Roman" w:eastAsiaTheme="minorEastAsia"/>
          <w:sz w:val="24"/>
          <w:szCs w:val="24"/>
          <w:u w:val="none"/>
          <w:lang w:eastAsia="zh-CN"/>
        </w:rPr>
        <w:t>则按下式计算</w:t>
      </w:r>
      <w:r>
        <w:rPr>
          <w:rFonts w:hint="eastAsia" w:ascii="Times New Roman" w:hAnsi="Times New Roman" w:cs="Times New Roman" w:eastAsiaTheme="minorEastAsia"/>
          <w:sz w:val="24"/>
          <w:szCs w:val="24"/>
          <w:u w:val="none"/>
          <w:lang w:eastAsia="zh-CN"/>
        </w:rPr>
        <w:t>物质总量与其临界量的比值（</w:t>
      </w:r>
      <w:r>
        <w:rPr>
          <w:rFonts w:hint="eastAsia" w:ascii="Times New Roman" w:hAnsi="Times New Roman" w:cs="Times New Roman" w:eastAsiaTheme="minorEastAsia"/>
          <w:sz w:val="24"/>
          <w:szCs w:val="24"/>
          <w:u w:val="none"/>
          <w:lang w:val="en-US" w:eastAsia="zh-CN"/>
        </w:rPr>
        <w:t>Q）；</w:t>
      </w:r>
    </w:p>
    <w:p>
      <w:pPr>
        <w:spacing w:line="240" w:lineRule="auto"/>
        <w:ind w:firstLine="0" w:firstLineChars="0"/>
        <w:jc w:val="center"/>
        <w:rPr>
          <w:rFonts w:hint="eastAsia" w:ascii="Times New Roman" w:hAnsi="Times New Roman" w:eastAsia="宋体" w:cstheme="minorBidi"/>
          <w:szCs w:val="24"/>
          <w:u w:val="none"/>
          <w:lang w:eastAsia="zh-CN"/>
        </w:rPr>
      </w:pPr>
      <w:r>
        <w:rPr>
          <w:rFonts w:hint="eastAsia" w:ascii="Times New Roman" w:hAnsi="Times New Roman" w:eastAsia="宋体" w:cstheme="minorBidi"/>
          <w:position w:val="-28"/>
          <w:szCs w:val="24"/>
          <w:u w:val="none"/>
          <w:lang w:eastAsia="zh-CN"/>
        </w:rPr>
        <w:object>
          <v:shape id="_x0000_i1026" o:spt="75" type="#_x0000_t75" style="height:33pt;width:101pt;" o:ole="t" filled="f" o:preferrelative="t" stroked="f" coordsize="21600,21600">
            <v:path/>
            <v:fill on="f" focussize="0,0"/>
            <v:stroke on="f"/>
            <v:imagedata r:id="rId29" o:title=""/>
            <o:lock v:ext="edit" aspectratio="t"/>
            <w10:wrap type="none"/>
            <w10:anchorlock/>
          </v:shape>
          <o:OLEObject Type="Embed" ProgID="Equation.KSEE3" ShapeID="_x0000_i1026" DrawAspect="Content" ObjectID="_1468075727" r:id="rId28">
            <o:LockedField>false</o:LockedField>
          </o:OLEObject>
        </w:objec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val="en-US" w:eastAsia="zh-CN"/>
        </w:rPr>
        <w:t>式中</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——每种危险物质的最大存在总量，t；</w:t>
      </w:r>
    </w:p>
    <w:p>
      <w:pPr>
        <w:spacing w:line="520" w:lineRule="exact"/>
        <w:ind w:firstLine="1200" w:firstLineChars="500"/>
        <w:jc w:val="left"/>
        <w:outlineLvl w:val="1"/>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——每种危险物质的临界量，t。</w:t>
      </w:r>
    </w:p>
    <w:p>
      <w:pPr>
        <w:spacing w:line="520" w:lineRule="exact"/>
        <w:ind w:firstLine="1200" w:firstLineChars="500"/>
        <w:jc w:val="left"/>
        <w:rPr>
          <w:rFonts w:hint="eastAsia" w:ascii="Times New Roman" w:hAnsi="Times New Roman" w:cs="Times New Roman" w:eastAsiaTheme="minorEastAsia"/>
          <w:sz w:val="24"/>
          <w:szCs w:val="24"/>
          <w:u w:val="none"/>
          <w:lang w:eastAsia="zh-CN"/>
        </w:rPr>
      </w:pPr>
      <w:r>
        <w:rPr>
          <w:rFonts w:hint="eastAsia" w:ascii="Times New Roman" w:hAnsi="Times New Roman" w:cs="Times New Roman" w:eastAsiaTheme="minorEastAsia"/>
          <w:sz w:val="24"/>
          <w:szCs w:val="24"/>
          <w:u w:val="none"/>
          <w:lang w:val="en-US" w:eastAsia="zh-CN"/>
        </w:rPr>
        <w:t>当Q＜1时，该项目环境风险潜势为</w:t>
      </w: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eastAsia="zh-CN"/>
        </w:rPr>
        <w:t>。</w:t>
      </w:r>
    </w:p>
    <w:p>
      <w:pPr>
        <w:spacing w:line="520" w:lineRule="exact"/>
        <w:ind w:firstLine="1200" w:firstLineChars="500"/>
        <w:jc w:val="left"/>
        <w:rPr>
          <w:rFonts w:hint="default"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w:t>
      </w:r>
      <w:r>
        <w:rPr>
          <w:rFonts w:hint="eastAsia" w:ascii="Times New Roman" w:hAnsi="Times New Roman" w:cs="Times New Roman" w:eastAsiaTheme="minorEastAsia"/>
          <w:sz w:val="24"/>
          <w:szCs w:val="24"/>
          <w:u w:val="none"/>
          <w:lang w:val="en-US" w:eastAsia="zh-CN"/>
        </w:rPr>
        <w:t>Q≥1时，将Q值划分：1≤Q＜10、10≤Q＜100、Q≥100；</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经计算，</w:t>
      </w:r>
      <w:r>
        <w:rPr>
          <w:rFonts w:hint="eastAsia" w:ascii="Times New Roman" w:hAnsi="Times New Roman" w:cs="Times New Roman" w:eastAsiaTheme="minorEastAsia"/>
          <w:sz w:val="24"/>
          <w:szCs w:val="21"/>
          <w:u w:val="none"/>
          <w:lang w:val="en-US" w:eastAsia="zh-CN"/>
        </w:rPr>
        <w:t>该</w:t>
      </w:r>
      <w:r>
        <w:rPr>
          <w:rFonts w:hint="default" w:ascii="Times New Roman" w:hAnsi="Times New Roman" w:cs="Times New Roman" w:eastAsiaTheme="minorEastAsia"/>
          <w:sz w:val="24"/>
          <w:szCs w:val="21"/>
          <w:u w:val="none"/>
          <w:lang w:val="en-US" w:eastAsia="zh-CN"/>
        </w:rPr>
        <w:t>项目危险物质数量与临界量比值Q=</w:t>
      </w:r>
      <w:r>
        <w:rPr>
          <w:rFonts w:hint="eastAsia" w:cs="Times New Roman" w:eastAsiaTheme="minorEastAsia"/>
          <w:sz w:val="24"/>
          <w:szCs w:val="21"/>
          <w:u w:val="none"/>
          <w:lang w:val="en-US" w:eastAsia="zh-CN"/>
        </w:rPr>
        <w:t>0.0699</w:t>
      </w:r>
      <w:r>
        <w:rPr>
          <w:rFonts w:hint="default" w:ascii="Times New Roman" w:hAnsi="Times New Roman" w:cs="Times New Roman" w:eastAsiaTheme="minorEastAsia"/>
          <w:sz w:val="24"/>
          <w:szCs w:val="21"/>
          <w:u w:val="none"/>
          <w:lang w:val="en-US" w:eastAsia="zh-CN"/>
        </w:rPr>
        <w:t>&lt;1，</w:t>
      </w:r>
      <w:r>
        <w:rPr>
          <w:rFonts w:hint="eastAsia" w:ascii="Times New Roman" w:hAnsi="Times New Roman" w:cs="Times New Roman" w:eastAsiaTheme="minorEastAsia"/>
          <w:sz w:val="24"/>
          <w:szCs w:val="21"/>
          <w:u w:val="none"/>
          <w:lang w:val="en-US" w:eastAsia="zh-CN"/>
        </w:rPr>
        <w:t>因此本</w:t>
      </w:r>
      <w:r>
        <w:rPr>
          <w:rFonts w:hint="default" w:ascii="Times New Roman" w:hAnsi="Times New Roman" w:cs="Times New Roman" w:eastAsiaTheme="minorEastAsia"/>
          <w:sz w:val="24"/>
          <w:szCs w:val="21"/>
          <w:u w:val="none"/>
          <w:lang w:val="en-US" w:eastAsia="zh-CN"/>
        </w:rPr>
        <w:t>项目环境风险潜势为Ⅰ。</w:t>
      </w:r>
    </w:p>
    <w:p>
      <w:pPr>
        <w:spacing w:line="520" w:lineRule="exact"/>
        <w:ind w:firstLine="482" w:firstLineChars="200"/>
        <w:jc w:val="both"/>
        <w:outlineLvl w:val="9"/>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（4）评价等级</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环境风险评价工作等级划分为一级、二级、三级。根据建设项目涉及的物质及工艺系统危险性和所在地的环境敏感性确定环境风险潜势，按照表1确定评价工作等级。风险潜势为Ⅳ及以上，进行一级评价；风险潜势为Ⅲ，进行二级评价；风险潜势为Ⅱ，进行三级评价；风险潜势为Ⅰ，可开展简单分析。</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lang w:val="en-US" w:eastAsia="zh-CN"/>
        </w:rPr>
        <w:t xml:space="preserve"> </w:t>
      </w:r>
      <w:r>
        <w:rPr>
          <w:rFonts w:hint="eastAsia" w:ascii="Times New Roman" w:hAnsi="Times New Roman" w:eastAsia="黑体" w:cs="Times New Roman"/>
          <w:sz w:val="24"/>
          <w:szCs w:val="21"/>
          <w:u w:val="none"/>
          <w:lang w:val="en-US" w:eastAsia="zh-CN"/>
        </w:rPr>
        <w:t xml:space="preserve">表1-2    </w:t>
      </w:r>
      <w:r>
        <w:rPr>
          <w:rFonts w:hint="default" w:ascii="Times New Roman" w:hAnsi="Times New Roman" w:eastAsia="黑体" w:cs="Times New Roman"/>
          <w:sz w:val="24"/>
          <w:szCs w:val="21"/>
          <w:u w:val="none"/>
        </w:rPr>
        <w:t>评价工作</w:t>
      </w:r>
      <w:r>
        <w:rPr>
          <w:rFonts w:hint="eastAsia" w:ascii="Times New Roman" w:hAnsi="Times New Roman" w:eastAsia="黑体" w:cs="Times New Roman"/>
          <w:sz w:val="24"/>
          <w:szCs w:val="21"/>
          <w:u w:val="none"/>
          <w:lang w:eastAsia="zh-CN"/>
        </w:rPr>
        <w:t>等级</w:t>
      </w:r>
      <w:r>
        <w:rPr>
          <w:rFonts w:hint="default" w:ascii="Times New Roman" w:hAnsi="Times New Roman" w:eastAsia="黑体" w:cs="Times New Roman"/>
          <w:sz w:val="24"/>
          <w:szCs w:val="21"/>
          <w:u w:val="none"/>
        </w:rPr>
        <w:t>划分</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85" w:type="dxa"/>
          <w:bottom w:w="85" w:type="dxa"/>
          <w:right w:w="85" w:type="dxa"/>
        </w:tblCellMar>
      </w:tblPr>
      <w:tblGrid>
        <w:gridCol w:w="1799"/>
        <w:gridCol w:w="1703"/>
        <w:gridCol w:w="2003"/>
        <w:gridCol w:w="1641"/>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16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环境风险潜势</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lang w:eastAsia="zh-CN"/>
              </w:rPr>
              <w:t>、</w:t>
            </w: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vertAlign w:val="superscript"/>
                <w:lang w:val="en-US" w:eastAsia="zh-CN"/>
              </w:rPr>
              <w:t>+</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Ⅲ</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Ⅱ</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eastAsia="宋体" w:cs="Times New Roman"/>
                <w:color w:val="auto"/>
                <w:sz w:val="21"/>
                <w:szCs w:val="21"/>
                <w:u w:val="none"/>
                <w:lang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31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评价等级</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一</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二</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bCs w:val="0"/>
                <w:snapToGrid/>
                <w:color w:val="auto"/>
                <w:kern w:val="2"/>
                <w:sz w:val="21"/>
                <w:szCs w:val="21"/>
                <w:u w:val="none"/>
                <w:lang w:eastAsia="zh-CN"/>
              </w:rPr>
              <w:t>三</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eastAsia="zh-CN"/>
              </w:rPr>
              <w:t>简单分析</w:t>
            </w:r>
            <w:r>
              <w:rPr>
                <w:rFonts w:hint="default" w:ascii="Times New Roman" w:hAnsi="Times New Roman" w:cs="Times New Roman" w:eastAsiaTheme="minorEastAsia"/>
                <w:color w:val="auto"/>
                <w:sz w:val="21"/>
                <w:szCs w:val="21"/>
                <w:u w:val="no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283" w:hRule="atLeast"/>
          <w:jc w:val="center"/>
        </w:trPr>
        <w:tc>
          <w:tcPr>
            <w:tcW w:w="8902" w:type="dxa"/>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a是相对于详细评价工作内容而言，在描述危险物质、环境影响途径、环境危害后果、风险防范措施等方面给出定性的说明。见</w:t>
            </w:r>
            <w:r>
              <w:rPr>
                <w:rFonts w:hint="default" w:ascii="Times New Roman" w:hAnsi="Times New Roman" w:cs="Times New Roman" w:eastAsiaTheme="minorEastAsia"/>
                <w:snapToGrid/>
                <w:color w:val="auto"/>
                <w:kern w:val="2"/>
                <w:sz w:val="21"/>
                <w:szCs w:val="21"/>
                <w:u w:val="none"/>
                <w:lang w:eastAsia="zh-CN"/>
              </w:rPr>
              <w:t>《</w:t>
            </w:r>
            <w:r>
              <w:rPr>
                <w:rFonts w:hint="default" w:ascii="Times New Roman" w:hAnsi="Times New Roman" w:cs="Times New Roman" w:eastAsiaTheme="minorEastAsia"/>
                <w:snapToGrid/>
                <w:color w:val="000000"/>
                <w:kern w:val="2"/>
                <w:sz w:val="21"/>
                <w:szCs w:val="21"/>
                <w:u w:val="none"/>
              </w:rPr>
              <w:t>建设项目环境风险评价技术导则》（</w:t>
            </w:r>
            <w:r>
              <w:rPr>
                <w:rFonts w:hint="default" w:ascii="Times New Roman" w:hAnsi="Times New Roman" w:cs="Times New Roman" w:eastAsiaTheme="minorEastAsia"/>
                <w:snapToGrid/>
                <w:color w:val="000000"/>
                <w:kern w:val="2"/>
                <w:sz w:val="21"/>
                <w:szCs w:val="21"/>
                <w:u w:val="none"/>
                <w:lang w:eastAsia="zh-CN"/>
              </w:rPr>
              <w:t>HJ</w:t>
            </w:r>
            <w:r>
              <w:rPr>
                <w:rFonts w:hint="default" w:ascii="Times New Roman" w:hAnsi="Times New Roman" w:cs="Times New Roman" w:eastAsiaTheme="minorEastAsia"/>
                <w:snapToGrid/>
                <w:color w:val="000000"/>
                <w:kern w:val="2"/>
                <w:sz w:val="21"/>
                <w:szCs w:val="21"/>
                <w:u w:val="none"/>
                <w:lang w:val="en-US" w:eastAsia="zh-CN"/>
              </w:rPr>
              <w:t xml:space="preserve"> </w:t>
            </w:r>
            <w:r>
              <w:rPr>
                <w:rFonts w:hint="default" w:ascii="Times New Roman" w:hAnsi="Times New Roman" w:cs="Times New Roman" w:eastAsiaTheme="minorEastAsia"/>
                <w:snapToGrid/>
                <w:color w:val="000000"/>
                <w:kern w:val="2"/>
                <w:sz w:val="21"/>
                <w:szCs w:val="21"/>
                <w:u w:val="none"/>
                <w:lang w:eastAsia="zh-CN"/>
              </w:rPr>
              <w:t>169-2018）附录</w:t>
            </w:r>
            <w:r>
              <w:rPr>
                <w:rFonts w:hint="default" w:ascii="Times New Roman" w:hAnsi="Times New Roman" w:cs="Times New Roman" w:eastAsiaTheme="minorEastAsia"/>
                <w:snapToGrid/>
                <w:color w:val="000000"/>
                <w:kern w:val="2"/>
                <w:sz w:val="21"/>
                <w:szCs w:val="21"/>
                <w:u w:val="none"/>
                <w:lang w:val="en-US" w:eastAsia="zh-CN"/>
              </w:rPr>
              <w:t>A。</w:t>
            </w:r>
          </w:p>
        </w:tc>
      </w:tr>
    </w:tbl>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169-2018）中</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表1评价工作等级划分</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w:t>
      </w:r>
      <w:r>
        <w:rPr>
          <w:rFonts w:hint="eastAsia" w:ascii="Times New Roman" w:hAnsi="Times New Roman" w:cs="Times New Roman" w:eastAsiaTheme="minorEastAsia"/>
          <w:sz w:val="24"/>
          <w:szCs w:val="21"/>
          <w:u w:val="none"/>
          <w:lang w:val="en-US" w:eastAsia="zh-CN"/>
        </w:rPr>
        <w:t>由风险潜势初判得知本</w:t>
      </w:r>
      <w:r>
        <w:rPr>
          <w:rFonts w:hint="default" w:ascii="Times New Roman" w:hAnsi="Times New Roman" w:cs="Times New Roman" w:eastAsiaTheme="minorEastAsia"/>
          <w:sz w:val="24"/>
          <w:szCs w:val="21"/>
          <w:u w:val="none"/>
          <w:lang w:val="en-US" w:eastAsia="zh-CN"/>
        </w:rPr>
        <w:t>项目环境风险潜势为Ⅰ，可开展简单分析。</w:t>
      </w:r>
    </w:p>
    <w:p>
      <w:pPr>
        <w:spacing w:line="520" w:lineRule="exact"/>
        <w:ind w:firstLine="700" w:firstLineChars="249"/>
        <w:jc w:val="left"/>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2、环境敏感目标概况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val="en-US" w:eastAsia="zh-CN"/>
        </w:rPr>
        <w:t>本</w:t>
      </w:r>
      <w:r>
        <w:rPr>
          <w:rFonts w:hint="default" w:ascii="Times New Roman" w:hAnsi="Times New Roman" w:cs="Times New Roman" w:eastAsiaTheme="minorEastAsia"/>
          <w:sz w:val="24"/>
          <w:szCs w:val="21"/>
          <w:u w:val="none"/>
          <w:lang w:val="en-US" w:eastAsia="zh-CN"/>
        </w:rPr>
        <w:t>项目位于</w:t>
      </w:r>
      <w:r>
        <w:rPr>
          <w:rFonts w:hint="eastAsia"/>
          <w:lang w:eastAsia="zh-CN"/>
        </w:rPr>
        <w:t>郑州至石人山高速公路石人山服务区北侧</w:t>
      </w:r>
      <w:r>
        <w:rPr>
          <w:rFonts w:hint="default" w:ascii="Times New Roman" w:hAnsi="Times New Roman" w:cs="Times New Roman" w:eastAsiaTheme="minorEastAsia"/>
          <w:sz w:val="24"/>
          <w:szCs w:val="21"/>
          <w:u w:val="none"/>
          <w:lang w:val="en-US" w:eastAsia="zh-CN"/>
        </w:rPr>
        <w:t>，项目周边200m范围内无自然保护区、风景名胜区和饮用水水源保护区等需要特殊保护的环境敏感对象，总体上不因项目的建设而改变区域环境质量。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w:t>
      </w:r>
      <w:r>
        <w:rPr>
          <w:rFonts w:hint="eastAsia" w:ascii="Times New Roman" w:hAnsi="Times New Roman" w:cs="Times New Roman" w:eastAsiaTheme="minorEastAsia"/>
          <w:sz w:val="24"/>
          <w:szCs w:val="21"/>
          <w:u w:val="none"/>
          <w:lang w:val="en-US" w:eastAsia="zh-CN"/>
        </w:rPr>
        <w:t>18</w:t>
      </w:r>
      <w:r>
        <w:rPr>
          <w:rFonts w:hint="default" w:ascii="Times New Roman" w:hAnsi="Times New Roman" w:cs="Times New Roman" w:eastAsiaTheme="minorEastAsia"/>
          <w:sz w:val="24"/>
          <w:szCs w:val="21"/>
          <w:u w:val="none"/>
          <w:lang w:val="en-US" w:eastAsia="zh-CN"/>
        </w:rPr>
        <w:t>），项目环境风险评价工作等级低于三级，可开展简单分析</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评价范围为：以项目中心点为源点、半径2.5</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lang w:val="en-US" w:eastAsia="zh-CN"/>
        </w:rPr>
        <w:t>km的范围。根据项目危险物质可能的影响途径，下表列出项目边界外2.5km范围内的环境敏感目标。</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val="en-US" w:eastAsia="zh-CN"/>
        </w:rPr>
        <w:t xml:space="preserve">表2-1    </w:t>
      </w:r>
      <w:r>
        <w:rPr>
          <w:rFonts w:hint="eastAsia" w:ascii="Times New Roman" w:hAnsi="Times New Roman" w:eastAsia="黑体" w:cs="Times New Roman"/>
          <w:sz w:val="24"/>
          <w:szCs w:val="21"/>
          <w:u w:val="none"/>
          <w:lang w:eastAsia="zh-CN"/>
        </w:rPr>
        <w:t>环境敏感目标</w:t>
      </w:r>
    </w:p>
    <w:tbl>
      <w:tblPr>
        <w:tblStyle w:val="22"/>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方位/规模</w:t>
            </w:r>
          </w:p>
        </w:tc>
        <w:tc>
          <w:tcPr>
            <w:tcW w:w="840"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距离</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N</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170</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《地表水环境质量标准》（GB3838-2002）</w:t>
            </w:r>
            <w:r>
              <w:rPr>
                <w:rFonts w:hint="default"/>
                <w:b/>
                <w:bCs w:val="0"/>
                <w:sz w:val="21"/>
                <w:szCs w:val="21"/>
                <w:u w:val="single"/>
              </w:rPr>
              <w:t>III</w:t>
            </w:r>
            <w:r>
              <w:rPr>
                <w:rFonts w:ascii="Times New Roman" w:hAnsi="Times New Roman" w:eastAsia="宋体" w:cs="Times New Roman"/>
                <w:color w:val="000000" w:themeColor="text1"/>
                <w:sz w:val="21"/>
                <w:szCs w:val="21"/>
                <w14:textFill>
                  <w14:solidFill>
                    <w14:schemeClr w14:val="tx1"/>
                  </w14:solidFill>
                </w14:textFill>
              </w:rPr>
              <w:t>类标</w:t>
            </w:r>
            <w:r>
              <w:rPr>
                <w:rFonts w:ascii="Times New Roman" w:hAnsi="Times New Roman" w:eastAsia="宋体" w:cs="Times New Roman"/>
                <w:sz w:val="21"/>
                <w:szCs w:val="21"/>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环境空气</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赵庄镇</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SE</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330</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color w:val="000000"/>
                <w:spacing w:val="-4"/>
                <w:sz w:val="21"/>
                <w:szCs w:val="21"/>
              </w:rPr>
              <w:t>《环境空气质量标准》</w:t>
            </w:r>
            <w:r>
              <w:rPr>
                <w:rFonts w:ascii="Times New Roman" w:hAnsi="Times New Roman" w:eastAsia="宋体" w:cs="Times New Roman"/>
                <w:color w:val="000000"/>
                <w:sz w:val="21"/>
                <w:szCs w:val="21"/>
              </w:rPr>
              <w:t>（GB3095-2012）二级</w:t>
            </w:r>
            <w:r>
              <w:rPr>
                <w:rFonts w:hint="eastAsia" w:ascii="Times New Roman" w:hAnsi="Times New Roman" w:eastAsia="宋体" w:cs="Times New Roman"/>
                <w:color w:val="000000"/>
                <w:sz w:val="21"/>
                <w:szCs w:val="21"/>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徐家村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SW</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625</w:t>
            </w:r>
          </w:p>
        </w:tc>
        <w:tc>
          <w:tcPr>
            <w:tcW w:w="3884" w:type="dxa"/>
            <w:vMerge w:val="continue"/>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color w:val="000000"/>
                <w:spacing w:val="-4"/>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上汤村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1233</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桑盘村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1987</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宁家村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SE</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Theme="minorEastAsia" w:cstheme="minorBidi"/>
                <w:kern w:val="2"/>
                <w:sz w:val="21"/>
                <w:szCs w:val="21"/>
                <w:u w:val="none"/>
                <w:lang w:val="en-US" w:eastAsia="zh-CN" w:bidi="ar-SA"/>
              </w:rPr>
            </w:pPr>
            <w:r>
              <w:rPr>
                <w:rFonts w:hint="eastAsia" w:cs="Times New Roman"/>
                <w:kern w:val="0"/>
                <w:sz w:val="21"/>
                <w:szCs w:val="21"/>
                <w:u w:val="none"/>
                <w:lang w:val="en-US" w:eastAsia="zh-CN" w:bidi="ar-SA"/>
              </w:rPr>
              <w:t>2030</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ascii="Times New Roman" w:hAnsi="Times New Roman" w:eastAsia="宋体" w:cs="Times New Roman"/>
                <w:color w:val="000000"/>
                <w:sz w:val="21"/>
                <w:szCs w:val="21"/>
              </w:rPr>
              <w:t>《声环境质量标准》（GB3096-2008）</w:t>
            </w:r>
            <w:r>
              <w:rPr>
                <w:rFonts w:hint="eastAsia" w:ascii="Times New Roman" w:hAnsi="Times New Roman" w:eastAsia="宋体" w:cs="Times New Roman"/>
                <w:color w:val="000000"/>
                <w:sz w:val="21"/>
                <w:szCs w:val="21"/>
              </w:rPr>
              <w:t>2</w:t>
            </w:r>
            <w:r>
              <w:rPr>
                <w:rFonts w:ascii="Times New Roman" w:hAnsi="Times New Roman" w:eastAsia="宋体" w:cs="Times New Roman"/>
                <w:color w:val="000000"/>
                <w:sz w:val="21"/>
                <w:szCs w:val="21"/>
              </w:rPr>
              <w:t>类</w:t>
            </w:r>
            <w:r>
              <w:rPr>
                <w:rFonts w:hint="eastAsia" w:ascii="Times New Roman" w:hAnsi="Times New Roman" w:eastAsia="宋体" w:cs="Times New Roman"/>
                <w:color w:val="000000"/>
                <w:sz w:val="21"/>
                <w:szCs w:val="21"/>
                <w:lang w:eastAsia="zh-CN"/>
              </w:rPr>
              <w:t>和</w:t>
            </w:r>
            <w:r>
              <w:rPr>
                <w:rFonts w:hint="eastAsia" w:ascii="Times New Roman" w:hAnsi="Times New Roman" w:eastAsia="宋体" w:cs="Times New Roman"/>
                <w:color w:val="000000"/>
                <w:sz w:val="21"/>
                <w:szCs w:val="21"/>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《地下水质量标准》（GB/T14848-</w:t>
            </w:r>
            <w:r>
              <w:rPr>
                <w:rFonts w:hint="eastAsia" w:ascii="Times New Roman" w:hAnsi="Times New Roman" w:eastAsia="宋体" w:cs="Times New Roman"/>
                <w:bCs/>
                <w:sz w:val="21"/>
                <w:szCs w:val="21"/>
              </w:rPr>
              <w:t>2017</w:t>
            </w:r>
            <w:r>
              <w:rPr>
                <w:rFonts w:ascii="Times New Roman" w:hAnsi="Times New Roman" w:eastAsia="宋体" w:cs="Times New Roman"/>
                <w:bCs/>
                <w:sz w:val="21"/>
                <w:szCs w:val="21"/>
              </w:rPr>
              <w:t>）III类标准</w:t>
            </w:r>
          </w:p>
        </w:tc>
      </w:tr>
    </w:tbl>
    <w:p>
      <w:pPr>
        <w:spacing w:line="520" w:lineRule="exact"/>
        <w:ind w:firstLine="700" w:firstLineChars="249"/>
        <w:jc w:val="left"/>
        <w:outlineLvl w:val="0"/>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8"/>
          <w:szCs w:val="22"/>
          <w:u w:val="none"/>
          <w:lang w:val="en-US" w:eastAsia="zh-CN"/>
        </w:rPr>
        <w:t>3、环境风险识别</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依据《汽车加油加气站设计与施工规范》（GB50156-2012）（2014年局部修订版），本项目存在环境风险的设施主要为油罐、加油机；存在的风险物质是汽油和柴油，风险类别为有毒有害物质泄漏、火灾、爆炸等。</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1</w:t>
      </w:r>
      <w:r>
        <w:rPr>
          <w:rFonts w:hint="eastAsia" w:ascii="Times New Roman" w:hAnsi="Times New Roman" w:cs="Times New Roman" w:eastAsiaTheme="minorEastAsia"/>
          <w:b/>
          <w:bCs/>
          <w:sz w:val="24"/>
          <w:szCs w:val="21"/>
          <w:u w:val="none"/>
          <w:lang w:eastAsia="zh-CN"/>
        </w:rPr>
        <w:t>）危险化学品的储存情况</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项目销售的汽油及柴油均属于易燃易爆物质， 其储存及运输方式情况和各储罐大小情况如下表所示：</w:t>
      </w:r>
    </w:p>
    <w:p>
      <w:pPr>
        <w:keepNext w:val="0"/>
        <w:keepLines w:val="0"/>
        <w:pageBreakBefore w:val="0"/>
        <w:widowControl w:val="0"/>
        <w:kinsoku/>
        <w:wordWrap/>
        <w:overflowPunct/>
        <w:topLinePunct w:val="0"/>
        <w:autoSpaceDE/>
        <w:autoSpaceDN/>
        <w:bidi w:val="0"/>
        <w:adjustRightInd w:val="0"/>
        <w:snapToGrid w:val="0"/>
        <w:spacing w:line="520" w:lineRule="exact"/>
        <w:ind w:firstLine="0" w:firstLineChars="0"/>
        <w:jc w:val="center"/>
        <w:textAlignment w:val="auto"/>
        <w:rPr>
          <w:rFonts w:hint="eastAsia" w:ascii="Times New Roman" w:hAnsi="Times New Roman" w:eastAsia="黑体" w:cstheme="minorBidi"/>
          <w:bCs/>
          <w:sz w:val="24"/>
          <w:szCs w:val="24"/>
          <w:u w:val="none"/>
          <w:lang w:val="en-US" w:eastAsia="zh-CN"/>
        </w:rPr>
      </w:pPr>
      <w:r>
        <w:rPr>
          <w:rFonts w:hint="eastAsia" w:ascii="Times New Roman" w:hAnsi="Times New Roman" w:eastAsia="黑体" w:cstheme="minorBidi"/>
          <w:bCs/>
          <w:sz w:val="24"/>
          <w:szCs w:val="24"/>
          <w:u w:val="none"/>
          <w:lang w:eastAsia="zh-CN"/>
        </w:rPr>
        <w:t>表</w:t>
      </w:r>
      <w:r>
        <w:rPr>
          <w:rFonts w:hint="eastAsia" w:ascii="Times New Roman" w:hAnsi="Times New Roman" w:eastAsia="黑体" w:cstheme="minorBidi"/>
          <w:bCs/>
          <w:sz w:val="24"/>
          <w:szCs w:val="24"/>
          <w:u w:val="none"/>
          <w:lang w:val="en-US" w:eastAsia="zh-CN"/>
        </w:rPr>
        <w:t>3-1   易燃易爆品储存及运输方式</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491"/>
        <w:gridCol w:w="1491"/>
        <w:gridCol w:w="1491"/>
        <w:gridCol w:w="1492"/>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项目</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数量</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单罐容积</w:t>
            </w:r>
          </w:p>
        </w:tc>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在库储存量</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储存物质</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运输方式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default"/>
                <w:lang w:val="en-US" w:eastAsia="zh-CN"/>
              </w:rPr>
            </w:pPr>
            <w:r>
              <w:rPr>
                <w:rFonts w:hint="default"/>
                <w:lang w:val="en-US" w:eastAsia="zh-CN"/>
              </w:rPr>
              <w:t>卧式油罐</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w:t>
            </w:r>
            <w:r>
              <w:rPr>
                <w:rFonts w:hint="default"/>
                <w:lang w:val="en-US" w:eastAsia="zh-CN"/>
              </w:rPr>
              <w:t xml:space="preserve"> 个</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60.75</w:t>
            </w:r>
            <w:r>
              <w:rPr>
                <w:rFonts w:hint="default"/>
                <w:lang w:val="en-US" w:eastAsia="zh-CN"/>
              </w:rPr>
              <w:t xml:space="preserve">t </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汽油</w:t>
            </w:r>
          </w:p>
        </w:tc>
        <w:tc>
          <w:tcPr>
            <w:tcW w:w="1492" w:type="dxa"/>
            <w:vMerge w:val="restart"/>
            <w:tcBorders>
              <w:tl2br w:val="nil"/>
              <w:tr2bl w:val="nil"/>
            </w:tcBorders>
            <w:noWrap w:val="0"/>
            <w:vAlign w:val="center"/>
          </w:tcPr>
          <w:p>
            <w:pPr>
              <w:pStyle w:val="11"/>
              <w:bidi w:val="0"/>
              <w:rPr>
                <w:rFonts w:hint="default"/>
                <w:lang w:val="en-US" w:eastAsia="zh-CN"/>
              </w:rPr>
            </w:pPr>
            <w:r>
              <w:rPr>
                <w:rFonts w:hint="default"/>
                <w:lang w:val="en-US" w:eastAsia="zh-CN"/>
              </w:rPr>
              <w:t>槽车+站内管</w:t>
            </w:r>
          </w:p>
          <w:p>
            <w:pPr>
              <w:pStyle w:val="11"/>
              <w:bidi w:val="0"/>
              <w:rPr>
                <w:rFonts w:hint="default"/>
                <w:lang w:val="en-US" w:eastAsia="zh-CN"/>
              </w:rPr>
            </w:pPr>
            <w:r>
              <w:rPr>
                <w:rFonts w:hint="default"/>
                <w:lang w:val="en-US" w:eastAsia="zh-CN"/>
              </w:rPr>
              <w:t>道输送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1"/>
              <w:bidi w:val="0"/>
              <w:rPr>
                <w:rFonts w:hint="eastAsia"/>
                <w:lang w:val="en-US" w:eastAsia="zh-CN"/>
              </w:rPr>
            </w:pPr>
            <w:r>
              <w:rPr>
                <w:rFonts w:hint="default"/>
                <w:lang w:val="en-US" w:eastAsia="zh-CN"/>
              </w:rPr>
              <w:t>卧式油罐</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w:t>
            </w:r>
            <w:r>
              <w:rPr>
                <w:rFonts w:hint="default"/>
                <w:lang w:val="en-US" w:eastAsia="zh-CN"/>
              </w:rPr>
              <w:t>个</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30</w:t>
            </w:r>
            <w:r>
              <w:rPr>
                <w:rFonts w:hint="default"/>
                <w:lang w:val="en-US" w:eastAsia="zh-CN"/>
              </w:rPr>
              <w:t>m³</w:t>
            </w:r>
          </w:p>
        </w:tc>
        <w:tc>
          <w:tcPr>
            <w:tcW w:w="1491" w:type="dxa"/>
            <w:tcBorders>
              <w:tl2br w:val="nil"/>
              <w:tr2bl w:val="nil"/>
            </w:tcBorders>
            <w:noWrap w:val="0"/>
            <w:vAlign w:val="center"/>
          </w:tcPr>
          <w:p>
            <w:pPr>
              <w:pStyle w:val="11"/>
              <w:bidi w:val="0"/>
              <w:rPr>
                <w:rFonts w:hint="default"/>
                <w:lang w:val="en-US" w:eastAsia="zh-CN"/>
              </w:rPr>
            </w:pPr>
            <w:r>
              <w:rPr>
                <w:rFonts w:hint="eastAsia"/>
                <w:lang w:val="en-US" w:eastAsia="zh-CN"/>
              </w:rPr>
              <w:t xml:space="preserve">113.4 </w:t>
            </w:r>
            <w:r>
              <w:rPr>
                <w:rFonts w:hint="default"/>
                <w:lang w:val="en-US" w:eastAsia="zh-CN"/>
              </w:rPr>
              <w:t xml:space="preserve">t </w:t>
            </w:r>
          </w:p>
        </w:tc>
        <w:tc>
          <w:tcPr>
            <w:tcW w:w="1492" w:type="dxa"/>
            <w:tcBorders>
              <w:tl2br w:val="nil"/>
              <w:tr2bl w:val="nil"/>
            </w:tcBorders>
            <w:noWrap w:val="0"/>
            <w:vAlign w:val="center"/>
          </w:tcPr>
          <w:p>
            <w:pPr>
              <w:pStyle w:val="11"/>
              <w:bidi w:val="0"/>
              <w:rPr>
                <w:rFonts w:hint="default"/>
                <w:lang w:val="en-US" w:eastAsia="zh-CN"/>
              </w:rPr>
            </w:pPr>
            <w:r>
              <w:rPr>
                <w:rFonts w:hint="default"/>
                <w:lang w:val="en-US" w:eastAsia="zh-CN"/>
              </w:rPr>
              <w:t>柴油</w:t>
            </w:r>
          </w:p>
        </w:tc>
        <w:tc>
          <w:tcPr>
            <w:tcW w:w="1492" w:type="dxa"/>
            <w:vMerge w:val="continue"/>
            <w:tcBorders>
              <w:tl2br w:val="nil"/>
              <w:tr2bl w:val="nil"/>
            </w:tcBorders>
            <w:noWrap w:val="0"/>
            <w:vAlign w:val="center"/>
          </w:tcPr>
          <w:p>
            <w:pPr>
              <w:pStyle w:val="11"/>
              <w:bidi w:val="0"/>
              <w:rPr>
                <w:rFonts w:hint="default"/>
                <w:lang w:val="en-US" w:eastAsia="zh-CN"/>
              </w:rPr>
            </w:pPr>
          </w:p>
        </w:tc>
      </w:tr>
    </w:tbl>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kern w:val="0"/>
          <w:sz w:val="20"/>
          <w:szCs w:val="24"/>
          <w:u w:val="none"/>
          <w:lang w:val="en-US" w:eastAsia="zh-CN" w:bidi="ar-SA"/>
        </w:rPr>
      </w:pPr>
      <w:r>
        <w:rPr>
          <w:rFonts w:hint="default" w:ascii="Times New Roman" w:hAnsi="Times New Roman" w:eastAsia="宋体" w:cs="Times New Roman"/>
          <w:kern w:val="0"/>
          <w:sz w:val="20"/>
          <w:szCs w:val="24"/>
          <w:u w:val="none"/>
          <w:lang w:val="en-US" w:eastAsia="zh-CN" w:bidi="ar-SA"/>
        </w:rPr>
        <w:t>注： 本项目储存罐装满率为 90%， 其中汽油密度取 0.7</w:t>
      </w:r>
      <w:r>
        <w:rPr>
          <w:rFonts w:hint="eastAsia" w:ascii="Times New Roman" w:hAnsi="Times New Roman" w:eastAsia="宋体" w:cs="Times New Roman"/>
          <w:kern w:val="0"/>
          <w:sz w:val="20"/>
          <w:szCs w:val="24"/>
          <w:u w:val="none"/>
          <w:lang w:val="en-US" w:eastAsia="zh-CN" w:bidi="ar-SA"/>
        </w:rPr>
        <w:t xml:space="preserve">5 </w:t>
      </w:r>
      <w:r>
        <w:rPr>
          <w:rFonts w:hint="default" w:ascii="Times New Roman" w:hAnsi="Times New Roman" w:eastAsia="宋体" w:cs="Times New Roman"/>
          <w:kern w:val="0"/>
          <w:sz w:val="20"/>
          <w:szCs w:val="24"/>
          <w:u w:val="none"/>
          <w:lang w:val="en-US" w:eastAsia="zh-CN" w:bidi="ar-SA"/>
        </w:rPr>
        <w:t>t/m³， 柴油取 0.8</w:t>
      </w:r>
      <w:r>
        <w:rPr>
          <w:rFonts w:hint="eastAsia" w:ascii="Times New Roman" w:hAnsi="Times New Roman" w:eastAsia="宋体" w:cs="Times New Roman"/>
          <w:kern w:val="0"/>
          <w:sz w:val="20"/>
          <w:szCs w:val="24"/>
          <w:u w:val="none"/>
          <w:lang w:val="en-US" w:eastAsia="zh-CN" w:bidi="ar-SA"/>
        </w:rPr>
        <w:t xml:space="preserve">4 </w:t>
      </w:r>
      <w:r>
        <w:rPr>
          <w:rFonts w:hint="default" w:ascii="Times New Roman" w:hAnsi="Times New Roman" w:eastAsia="宋体" w:cs="Times New Roman"/>
          <w:kern w:val="0"/>
          <w:sz w:val="20"/>
          <w:szCs w:val="24"/>
          <w:u w:val="none"/>
          <w:lang w:val="en-US" w:eastAsia="zh-CN" w:bidi="ar-SA"/>
        </w:rPr>
        <w:t>t/m³。</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2</w:t>
      </w:r>
      <w:r>
        <w:rPr>
          <w:rFonts w:hint="eastAsia" w:ascii="Times New Roman" w:hAnsi="Times New Roman" w:cs="Times New Roman" w:eastAsiaTheme="minorEastAsia"/>
          <w:b/>
          <w:bCs/>
          <w:sz w:val="24"/>
          <w:szCs w:val="21"/>
          <w:u w:val="none"/>
          <w:lang w:eastAsia="zh-CN"/>
        </w:rPr>
        <w:t>）风险识别范围</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风险识别范围包括生产设施风险识别和生产过程所涉及的物质风险识别。生产设施风险识别范围：主要生产装置、贮运系统、公用工程系统、工程环保设施及辅助生产设施等。物质风险识别范围：主要原材料及辅助材料、燃料、中间产品、最终产品以及生产过程排放的“三废”污染物等。</w:t>
      </w:r>
    </w:p>
    <w:p>
      <w:pPr>
        <w:spacing w:line="520" w:lineRule="exact"/>
        <w:ind w:firstLine="480" w:firstLineChars="200"/>
        <w:jc w:val="both"/>
        <w:outlineLvl w:val="2"/>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val="en-US" w:eastAsia="zh-CN"/>
        </w:rPr>
        <w:t>1）</w:t>
      </w:r>
      <w:r>
        <w:rPr>
          <w:rFonts w:hint="eastAsia" w:ascii="Times New Roman" w:hAnsi="Times New Roman" w:cs="Times New Roman" w:eastAsiaTheme="minorEastAsia"/>
          <w:sz w:val="24"/>
          <w:szCs w:val="21"/>
          <w:u w:val="none"/>
          <w:lang w:eastAsia="zh-CN"/>
        </w:rPr>
        <w:t>项目生产设施风险主要存在于储油罐、加油岛、装卸油作业。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①储油罐</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储油罐是加油站最容易发生事故的场所，如油罐泄漏遇雷击或静电闪火引燃引起爆炸。</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②加油岛</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加油岛为各种机动车辆加油的场所。由于汽车尾气带火星、加油过满溢出、加油机漏油、加油机防爆电气故障等原因，容易引发火灾、爆炸事故。</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③卸油、加油作业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车辆不熄火，送油车静电没有消散，油罐车卸油连通软管导静电性能差；雷雨天往储油罐卸油或往汽车车箱加油速度过快，加油操作失误；密闭卸油接口处漏油；对明火源管理不严等，都有可能会导致火灾、爆炸或设备损坏或人身伤亡事故。</w:t>
      </w:r>
    </w:p>
    <w:p>
      <w:pPr>
        <w:spacing w:line="520" w:lineRule="exact"/>
        <w:ind w:firstLine="480" w:firstLineChars="200"/>
        <w:jc w:val="left"/>
        <w:outlineLvl w:val="2"/>
        <w:rPr>
          <w:rFonts w:hint="default" w:ascii="Times New Roman" w:hAnsi="Times New Roman" w:cs="Times New Roman" w:eastAsiaTheme="minorEastAsia"/>
          <w:b w:val="0"/>
          <w:bCs w:val="0"/>
          <w:sz w:val="24"/>
          <w:szCs w:val="21"/>
          <w:u w:val="none"/>
        </w:rPr>
      </w:pPr>
      <w:r>
        <w:rPr>
          <w:rFonts w:hint="eastAsia" w:ascii="Times New Roman" w:hAnsi="Times New Roman" w:cs="Times New Roman" w:eastAsiaTheme="minorEastAsia"/>
          <w:b w:val="0"/>
          <w:bCs w:val="0"/>
          <w:sz w:val="24"/>
          <w:szCs w:val="21"/>
          <w:u w:val="none"/>
          <w:lang w:val="en-US" w:eastAsia="zh-CN"/>
        </w:rPr>
        <w:t>2</w:t>
      </w:r>
      <w:r>
        <w:rPr>
          <w:rFonts w:hint="default" w:ascii="Times New Roman" w:hAnsi="Times New Roman" w:cs="Times New Roman" w:eastAsiaTheme="minorEastAsia"/>
          <w:b w:val="0"/>
          <w:bCs w:val="0"/>
          <w:sz w:val="24"/>
          <w:szCs w:val="21"/>
          <w:u w:val="none"/>
        </w:rPr>
        <w:t>）物质风险性识别</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根据拟建项目所涉及的原料、生产工艺特征，同时类比调查同类项目，本项目的事故风险类型确定为汽油和柴油泄露、火灾和爆炸等。</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根据分析，本项目涉及的原料主要为汽油、柴油。此类易燃易爆物体，与空气混合能形成爆炸性混合物，遇静电、明火、高温极易燃烧爆炸。若遇高温高热，容器内压力增大后有开裂和爆炸的危险。根据《</w:t>
      </w:r>
      <w:r>
        <w:rPr>
          <w:rFonts w:hint="eastAsia" w:ascii="Times New Roman" w:hAnsi="Times New Roman" w:cs="Times New Roman" w:eastAsiaTheme="minorEastAsia"/>
          <w:sz w:val="24"/>
          <w:szCs w:val="21"/>
          <w:u w:val="none"/>
        </w:rPr>
        <w:t>化学品分类和危险性公示 通则</w:t>
      </w:r>
      <w:r>
        <w:rPr>
          <w:rFonts w:hint="default" w:ascii="Times New Roman" w:hAnsi="Times New Roman" w:cs="Times New Roman" w:eastAsiaTheme="minorEastAsia"/>
          <w:sz w:val="24"/>
          <w:szCs w:val="21"/>
          <w:u w:val="none"/>
        </w:rPr>
        <w:t>》（GB13690—</w:t>
      </w:r>
      <w:r>
        <w:rPr>
          <w:rFonts w:hint="eastAsia" w:ascii="Times New Roman" w:hAnsi="Times New Roman" w:cs="Times New Roman" w:eastAsiaTheme="minorEastAsia"/>
          <w:sz w:val="24"/>
          <w:szCs w:val="21"/>
          <w:u w:val="none"/>
          <w:lang w:val="en-US" w:eastAsia="zh-CN"/>
        </w:rPr>
        <w:t>2009</w:t>
      </w:r>
      <w:r>
        <w:rPr>
          <w:rFonts w:hint="default" w:ascii="Times New Roman" w:hAnsi="Times New Roman" w:cs="Times New Roman" w:eastAsiaTheme="minorEastAsia"/>
          <w:sz w:val="24"/>
          <w:szCs w:val="21"/>
          <w:u w:val="none"/>
        </w:rPr>
        <w:t>）和其它与本项目有关化学品危险特性的资料，将其理化性质以及危险特性分别列于如下：</w:t>
      </w:r>
    </w:p>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3-2</w:t>
      </w:r>
      <w:r>
        <w:rPr>
          <w:rFonts w:hint="default" w:ascii="Times New Roman" w:hAnsi="Times New Roman" w:cs="Times New Roman" w:eastAsiaTheme="minorEastAsia"/>
          <w:sz w:val="24"/>
          <w:szCs w:val="21"/>
          <w:u w:val="none"/>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汽油的理化性质和危险特性</w:t>
      </w:r>
    </w:p>
    <w:tbl>
      <w:tblPr>
        <w:tblStyle w:val="22"/>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237"/>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危险性类别：</w:t>
            </w:r>
          </w:p>
        </w:tc>
        <w:tc>
          <w:tcPr>
            <w:tcW w:w="2953" w:type="dxa"/>
            <w:gridSpan w:val="3"/>
            <w:tcBorders>
              <w:tl2br w:val="nil"/>
              <w:tr2bl w:val="nil"/>
            </w:tcBorders>
            <w:noWrap w:val="0"/>
            <w:vAlign w:val="center"/>
          </w:tcPr>
          <w:p>
            <w:pPr>
              <w:pStyle w:val="11"/>
              <w:bidi w:val="0"/>
              <w:rPr>
                <w:rFonts w:hint="default"/>
              </w:rPr>
            </w:pPr>
            <w:r>
              <w:rPr>
                <w:rFonts w:hint="default"/>
              </w:rPr>
              <w:t>第3.1 类低闪点易燃液体。</w:t>
            </w:r>
          </w:p>
        </w:tc>
        <w:tc>
          <w:tcPr>
            <w:tcW w:w="2237" w:type="dxa"/>
            <w:tcBorders>
              <w:tl2br w:val="nil"/>
              <w:tr2bl w:val="nil"/>
            </w:tcBorders>
            <w:noWrap w:val="0"/>
            <w:vAlign w:val="center"/>
          </w:tcPr>
          <w:p>
            <w:pPr>
              <w:pStyle w:val="11"/>
              <w:bidi w:val="0"/>
              <w:rPr>
                <w:rFonts w:hint="default"/>
              </w:rPr>
            </w:pPr>
            <w:r>
              <w:rPr>
                <w:rFonts w:hint="default"/>
              </w:rPr>
              <w:t>燃爆危险：</w:t>
            </w:r>
          </w:p>
        </w:tc>
        <w:tc>
          <w:tcPr>
            <w:tcW w:w="2238" w:type="dxa"/>
            <w:tcBorders>
              <w:tl2br w:val="nil"/>
              <w:tr2bl w:val="nil"/>
            </w:tcBorders>
            <w:noWrap w:val="0"/>
            <w:vAlign w:val="center"/>
          </w:tcPr>
          <w:p>
            <w:pPr>
              <w:pStyle w:val="11"/>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侵入途径：</w:t>
            </w:r>
          </w:p>
        </w:tc>
        <w:tc>
          <w:tcPr>
            <w:tcW w:w="2953" w:type="dxa"/>
            <w:gridSpan w:val="3"/>
            <w:tcBorders>
              <w:tl2br w:val="nil"/>
              <w:tr2bl w:val="nil"/>
            </w:tcBorders>
            <w:noWrap w:val="0"/>
            <w:vAlign w:val="center"/>
          </w:tcPr>
          <w:p>
            <w:pPr>
              <w:pStyle w:val="11"/>
              <w:bidi w:val="0"/>
              <w:rPr>
                <w:rFonts w:hint="default"/>
              </w:rPr>
            </w:pPr>
            <w:r>
              <w:rPr>
                <w:rFonts w:hint="default"/>
              </w:rPr>
              <w:t>吸入、食入、经皮吸收。</w:t>
            </w:r>
          </w:p>
        </w:tc>
        <w:tc>
          <w:tcPr>
            <w:tcW w:w="2237" w:type="dxa"/>
            <w:tcBorders>
              <w:tl2br w:val="nil"/>
              <w:tr2bl w:val="nil"/>
            </w:tcBorders>
            <w:noWrap w:val="0"/>
            <w:vAlign w:val="center"/>
          </w:tcPr>
          <w:p>
            <w:pPr>
              <w:pStyle w:val="11"/>
              <w:bidi w:val="0"/>
              <w:rPr>
                <w:rFonts w:hint="default"/>
              </w:rPr>
            </w:pPr>
            <w:r>
              <w:rPr>
                <w:rFonts w:hint="default"/>
              </w:rPr>
              <w:t>有害燃烧产物：</w:t>
            </w:r>
          </w:p>
        </w:tc>
        <w:tc>
          <w:tcPr>
            <w:tcW w:w="2238" w:type="dxa"/>
            <w:tcBorders>
              <w:tl2br w:val="nil"/>
              <w:tr2bl w:val="nil"/>
            </w:tcBorders>
            <w:noWrap w:val="0"/>
            <w:vAlign w:val="center"/>
          </w:tcPr>
          <w:p>
            <w:pPr>
              <w:pStyle w:val="11"/>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健康危害：</w:t>
            </w:r>
          </w:p>
          <w:p>
            <w:pPr>
              <w:pStyle w:val="11"/>
              <w:bidi w:val="0"/>
              <w:rPr>
                <w:rFonts w:hint="default"/>
              </w:rPr>
            </w:pPr>
          </w:p>
        </w:tc>
        <w:tc>
          <w:tcPr>
            <w:tcW w:w="7428" w:type="dxa"/>
            <w:gridSpan w:val="5"/>
            <w:tcBorders>
              <w:tl2br w:val="nil"/>
              <w:tr2bl w:val="nil"/>
            </w:tcBorders>
            <w:noWrap w:val="0"/>
            <w:vAlign w:val="center"/>
          </w:tcPr>
          <w:p>
            <w:pPr>
              <w:pStyle w:val="11"/>
              <w:bidi w:val="0"/>
              <w:rPr>
                <w:rFonts w:hint="default"/>
              </w:rPr>
            </w:pPr>
            <w:r>
              <w:rPr>
                <w:rFonts w:hint="default"/>
              </w:rPr>
              <w:t>主要作用于中枢神经系统，急性中毒症状有头晕、头痛、恶心、呕吐、</w:t>
            </w:r>
          </w:p>
          <w:p>
            <w:pPr>
              <w:pStyle w:val="11"/>
              <w:bidi w:val="0"/>
              <w:rPr>
                <w:rFonts w:hint="default"/>
              </w:rPr>
            </w:pPr>
            <w:r>
              <w:rPr>
                <w:rFonts w:hint="default"/>
              </w:rPr>
              <w:t>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 xml:space="preserve">环境危害： </w:t>
            </w:r>
          </w:p>
        </w:tc>
        <w:tc>
          <w:tcPr>
            <w:tcW w:w="7428" w:type="dxa"/>
            <w:gridSpan w:val="5"/>
            <w:tcBorders>
              <w:tl2br w:val="nil"/>
              <w:tr2bl w:val="nil"/>
            </w:tcBorders>
            <w:noWrap w:val="0"/>
            <w:vAlign w:val="center"/>
          </w:tcPr>
          <w:p>
            <w:pPr>
              <w:pStyle w:val="11"/>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外观及性状：</w:t>
            </w:r>
          </w:p>
        </w:tc>
        <w:tc>
          <w:tcPr>
            <w:tcW w:w="7302" w:type="dxa"/>
            <w:gridSpan w:val="4"/>
            <w:tcBorders>
              <w:tl2br w:val="nil"/>
              <w:tr2bl w:val="nil"/>
            </w:tcBorders>
            <w:noWrap w:val="0"/>
            <w:vAlign w:val="center"/>
          </w:tcPr>
          <w:p>
            <w:pPr>
              <w:pStyle w:val="11"/>
              <w:bidi w:val="0"/>
              <w:rPr>
                <w:rFonts w:hint="default"/>
              </w:rPr>
            </w:pPr>
            <w:r>
              <w:rPr>
                <w:rFonts w:hint="default"/>
              </w:rPr>
              <w:t xml:space="preserve"> 无色或淡黄色易挥发液体，具有特殊臭味。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熔点（℃）： </w:t>
            </w:r>
          </w:p>
        </w:tc>
        <w:tc>
          <w:tcPr>
            <w:tcW w:w="2827" w:type="dxa"/>
            <w:gridSpan w:val="2"/>
            <w:tcBorders>
              <w:tl2br w:val="nil"/>
              <w:tr2bl w:val="nil"/>
            </w:tcBorders>
            <w:noWrap w:val="0"/>
            <w:vAlign w:val="center"/>
          </w:tcPr>
          <w:p>
            <w:pPr>
              <w:pStyle w:val="11"/>
              <w:bidi w:val="0"/>
              <w:rPr>
                <w:rFonts w:hint="default"/>
              </w:rPr>
            </w:pPr>
            <w:r>
              <w:rPr>
                <w:rFonts w:hint="default"/>
              </w:rPr>
              <w:t xml:space="preserve"> &lt;-60</w:t>
            </w:r>
          </w:p>
        </w:tc>
        <w:tc>
          <w:tcPr>
            <w:tcW w:w="2237" w:type="dxa"/>
            <w:tcBorders>
              <w:tl2br w:val="nil"/>
              <w:tr2bl w:val="nil"/>
            </w:tcBorders>
            <w:noWrap w:val="0"/>
            <w:vAlign w:val="center"/>
          </w:tcPr>
          <w:p>
            <w:pPr>
              <w:pStyle w:val="11"/>
              <w:bidi w:val="0"/>
              <w:rPr>
                <w:rFonts w:hint="default"/>
              </w:rPr>
            </w:pPr>
            <w:r>
              <w:rPr>
                <w:rFonts w:hint="default"/>
              </w:rPr>
              <w:t>相对密度（水＝1）</w:t>
            </w:r>
          </w:p>
        </w:tc>
        <w:tc>
          <w:tcPr>
            <w:tcW w:w="2238" w:type="dxa"/>
            <w:tcBorders>
              <w:tl2br w:val="nil"/>
              <w:tr2bl w:val="nil"/>
            </w:tcBorders>
            <w:noWrap w:val="0"/>
            <w:vAlign w:val="center"/>
          </w:tcPr>
          <w:p>
            <w:pPr>
              <w:pStyle w:val="11"/>
              <w:bidi w:val="0"/>
              <w:rPr>
                <w:rFonts w:hint="default"/>
              </w:rPr>
            </w:pPr>
            <w:r>
              <w:rPr>
                <w:rFonts w:hint="default"/>
              </w:rPr>
              <w:t xml:space="preserve"> 0.70～0.79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闪点（℃）：</w:t>
            </w:r>
          </w:p>
        </w:tc>
        <w:tc>
          <w:tcPr>
            <w:tcW w:w="2827" w:type="dxa"/>
            <w:gridSpan w:val="2"/>
            <w:tcBorders>
              <w:tl2br w:val="nil"/>
              <w:tr2bl w:val="nil"/>
            </w:tcBorders>
            <w:noWrap w:val="0"/>
            <w:vAlign w:val="center"/>
          </w:tcPr>
          <w:p>
            <w:pPr>
              <w:pStyle w:val="11"/>
              <w:bidi w:val="0"/>
              <w:rPr>
                <w:rFonts w:hint="default"/>
              </w:rPr>
            </w:pPr>
            <w:r>
              <w:rPr>
                <w:rFonts w:hint="default"/>
              </w:rPr>
              <w:t xml:space="preserve">-50 </w:t>
            </w:r>
          </w:p>
        </w:tc>
        <w:tc>
          <w:tcPr>
            <w:tcW w:w="2237" w:type="dxa"/>
            <w:tcBorders>
              <w:tl2br w:val="nil"/>
              <w:tr2bl w:val="nil"/>
            </w:tcBorders>
            <w:noWrap w:val="0"/>
            <w:vAlign w:val="center"/>
          </w:tcPr>
          <w:p>
            <w:pPr>
              <w:pStyle w:val="11"/>
              <w:bidi w:val="0"/>
              <w:rPr>
                <w:rFonts w:hint="default"/>
              </w:rPr>
            </w:pPr>
            <w:r>
              <w:rPr>
                <w:rFonts w:hint="default"/>
              </w:rPr>
              <w:t>相对密度（空气=1）</w:t>
            </w:r>
          </w:p>
        </w:tc>
        <w:tc>
          <w:tcPr>
            <w:tcW w:w="2238" w:type="dxa"/>
            <w:tcBorders>
              <w:tl2br w:val="nil"/>
              <w:tr2bl w:val="nil"/>
            </w:tcBorders>
            <w:noWrap w:val="0"/>
            <w:vAlign w:val="center"/>
          </w:tcPr>
          <w:p>
            <w:pPr>
              <w:pStyle w:val="11"/>
              <w:bidi w:val="0"/>
              <w:rPr>
                <w:rFonts w:hint="default"/>
              </w:rPr>
            </w:pPr>
            <w:r>
              <w:rPr>
                <w:rFonts w:hint="default"/>
              </w:rPr>
              <w:t xml:space="preserve"> 3.5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引燃温度（℃）：</w:t>
            </w:r>
          </w:p>
        </w:tc>
        <w:tc>
          <w:tcPr>
            <w:tcW w:w="2827" w:type="dxa"/>
            <w:gridSpan w:val="2"/>
            <w:tcBorders>
              <w:tl2br w:val="nil"/>
              <w:tr2bl w:val="nil"/>
            </w:tcBorders>
            <w:noWrap w:val="0"/>
            <w:vAlign w:val="center"/>
          </w:tcPr>
          <w:p>
            <w:pPr>
              <w:pStyle w:val="11"/>
              <w:bidi w:val="0"/>
              <w:rPr>
                <w:rFonts w:hint="default"/>
              </w:rPr>
            </w:pPr>
            <w:r>
              <w:rPr>
                <w:rFonts w:hint="default"/>
              </w:rPr>
              <w:t xml:space="preserve">415～530 </w:t>
            </w:r>
          </w:p>
        </w:tc>
        <w:tc>
          <w:tcPr>
            <w:tcW w:w="2237" w:type="dxa"/>
            <w:tcBorders>
              <w:tl2br w:val="nil"/>
              <w:tr2bl w:val="nil"/>
            </w:tcBorders>
            <w:noWrap w:val="0"/>
            <w:vAlign w:val="center"/>
          </w:tcPr>
          <w:p>
            <w:pPr>
              <w:pStyle w:val="11"/>
              <w:bidi w:val="0"/>
              <w:rPr>
                <w:rFonts w:hint="default"/>
              </w:rPr>
            </w:pPr>
            <w:r>
              <w:rPr>
                <w:rFonts w:hint="default"/>
              </w:rPr>
              <w:t>爆炸上限％（V/V）：</w:t>
            </w:r>
          </w:p>
        </w:tc>
        <w:tc>
          <w:tcPr>
            <w:tcW w:w="2238" w:type="dxa"/>
            <w:tcBorders>
              <w:tl2br w:val="nil"/>
              <w:tr2bl w:val="nil"/>
            </w:tcBorders>
            <w:noWrap w:val="0"/>
            <w:vAlign w:val="center"/>
          </w:tcPr>
          <w:p>
            <w:pPr>
              <w:pStyle w:val="11"/>
              <w:bidi w:val="0"/>
              <w:rPr>
                <w:rFonts w:hint="default"/>
              </w:rPr>
            </w:pPr>
            <w:r>
              <w:rPr>
                <w:rFonts w:hint="default"/>
              </w:rPr>
              <w:t xml:space="preserve"> 6.0</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 沸点（℃）：</w:t>
            </w:r>
          </w:p>
        </w:tc>
        <w:tc>
          <w:tcPr>
            <w:tcW w:w="2827" w:type="dxa"/>
            <w:gridSpan w:val="2"/>
            <w:tcBorders>
              <w:tl2br w:val="nil"/>
              <w:tr2bl w:val="nil"/>
            </w:tcBorders>
            <w:noWrap w:val="0"/>
            <w:vAlign w:val="center"/>
          </w:tcPr>
          <w:p>
            <w:pPr>
              <w:pStyle w:val="11"/>
              <w:bidi w:val="0"/>
              <w:rPr>
                <w:rFonts w:hint="default"/>
              </w:rPr>
            </w:pPr>
            <w:r>
              <w:rPr>
                <w:rFonts w:hint="default"/>
              </w:rPr>
              <w:t xml:space="preserve"> 40～200</w:t>
            </w:r>
          </w:p>
        </w:tc>
        <w:tc>
          <w:tcPr>
            <w:tcW w:w="2237" w:type="dxa"/>
            <w:tcBorders>
              <w:tl2br w:val="nil"/>
              <w:tr2bl w:val="nil"/>
            </w:tcBorders>
            <w:noWrap w:val="0"/>
            <w:vAlign w:val="center"/>
          </w:tcPr>
          <w:p>
            <w:pPr>
              <w:pStyle w:val="11"/>
              <w:bidi w:val="0"/>
              <w:rPr>
                <w:rFonts w:hint="default"/>
              </w:rPr>
            </w:pPr>
            <w:r>
              <w:rPr>
                <w:rFonts w:hint="default"/>
              </w:rPr>
              <w:t>爆炸下限％（V/V）：</w:t>
            </w:r>
          </w:p>
        </w:tc>
        <w:tc>
          <w:tcPr>
            <w:tcW w:w="2238" w:type="dxa"/>
            <w:tcBorders>
              <w:tl2br w:val="nil"/>
              <w:tr2bl w:val="nil"/>
            </w:tcBorders>
            <w:noWrap w:val="0"/>
            <w:vAlign w:val="center"/>
          </w:tcPr>
          <w:p>
            <w:pPr>
              <w:pStyle w:val="11"/>
              <w:bidi w:val="0"/>
              <w:rPr>
                <w:rFonts w:hint="default"/>
              </w:rPr>
            </w:pPr>
            <w:r>
              <w:rPr>
                <w:rFonts w:hint="default"/>
              </w:rPr>
              <w:t xml:space="preserve"> 1.3</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溶解性： </w:t>
            </w:r>
          </w:p>
        </w:tc>
        <w:tc>
          <w:tcPr>
            <w:tcW w:w="7302" w:type="dxa"/>
            <w:gridSpan w:val="4"/>
            <w:tcBorders>
              <w:tl2br w:val="nil"/>
              <w:tr2bl w:val="nil"/>
            </w:tcBorders>
            <w:noWrap w:val="0"/>
            <w:vAlign w:val="center"/>
          </w:tcPr>
          <w:p>
            <w:pPr>
              <w:pStyle w:val="11"/>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主要用途：</w:t>
            </w:r>
          </w:p>
        </w:tc>
        <w:tc>
          <w:tcPr>
            <w:tcW w:w="7302" w:type="dxa"/>
            <w:gridSpan w:val="4"/>
            <w:tcBorders>
              <w:tl2br w:val="nil"/>
              <w:tr2bl w:val="nil"/>
            </w:tcBorders>
            <w:noWrap w:val="0"/>
            <w:vAlign w:val="center"/>
          </w:tcPr>
          <w:p>
            <w:pPr>
              <w:pStyle w:val="11"/>
              <w:bidi w:val="0"/>
              <w:rPr>
                <w:rFonts w:hint="default"/>
              </w:rPr>
            </w:pPr>
            <w:r>
              <w:rPr>
                <w:rFonts w:hint="default"/>
              </w:rPr>
              <w:t>主要用作汽油机的燃料，用于橡胶、制鞋、印刷、制革、等行业，也可用作机械零件的去污剂。</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稳定性：</w:t>
            </w:r>
          </w:p>
        </w:tc>
        <w:tc>
          <w:tcPr>
            <w:tcW w:w="2237" w:type="dxa"/>
            <w:tcBorders>
              <w:tl2br w:val="nil"/>
              <w:tr2bl w:val="nil"/>
            </w:tcBorders>
            <w:noWrap w:val="0"/>
            <w:vAlign w:val="center"/>
          </w:tcPr>
          <w:p>
            <w:pPr>
              <w:pStyle w:val="11"/>
              <w:bidi w:val="0"/>
              <w:rPr>
                <w:rFonts w:hint="default"/>
              </w:rPr>
            </w:pPr>
            <w:r>
              <w:rPr>
                <w:rFonts w:hint="default"/>
              </w:rPr>
              <w:t>稳定</w:t>
            </w:r>
          </w:p>
        </w:tc>
        <w:tc>
          <w:tcPr>
            <w:tcW w:w="2237" w:type="dxa"/>
            <w:tcBorders>
              <w:tl2br w:val="nil"/>
              <w:tr2bl w:val="nil"/>
            </w:tcBorders>
            <w:noWrap w:val="0"/>
            <w:vAlign w:val="center"/>
          </w:tcPr>
          <w:p>
            <w:pPr>
              <w:pStyle w:val="11"/>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1"/>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禁配物：</w:t>
            </w:r>
          </w:p>
        </w:tc>
        <w:tc>
          <w:tcPr>
            <w:tcW w:w="2237" w:type="dxa"/>
            <w:tcBorders>
              <w:tl2br w:val="nil"/>
              <w:tr2bl w:val="nil"/>
            </w:tcBorders>
            <w:noWrap w:val="0"/>
            <w:vAlign w:val="center"/>
          </w:tcPr>
          <w:p>
            <w:pPr>
              <w:pStyle w:val="11"/>
              <w:bidi w:val="0"/>
              <w:rPr>
                <w:rFonts w:hint="default"/>
              </w:rPr>
            </w:pPr>
            <w:r>
              <w:rPr>
                <w:rFonts w:hint="default"/>
              </w:rPr>
              <w:t>强氧化剂</w:t>
            </w:r>
          </w:p>
        </w:tc>
        <w:tc>
          <w:tcPr>
            <w:tcW w:w="2237" w:type="dxa"/>
            <w:tcBorders>
              <w:tl2br w:val="nil"/>
              <w:tr2bl w:val="nil"/>
            </w:tcBorders>
            <w:noWrap w:val="0"/>
            <w:vAlign w:val="center"/>
          </w:tcPr>
          <w:p>
            <w:pPr>
              <w:pStyle w:val="11"/>
              <w:bidi w:val="0"/>
              <w:rPr>
                <w:rFonts w:hint="default"/>
              </w:rPr>
            </w:pPr>
            <w:r>
              <w:rPr>
                <w:rFonts w:hint="default"/>
              </w:rPr>
              <w:t xml:space="preserve"> 聚合危害： </w:t>
            </w:r>
          </w:p>
        </w:tc>
        <w:tc>
          <w:tcPr>
            <w:tcW w:w="2238" w:type="dxa"/>
            <w:tcBorders>
              <w:tl2br w:val="nil"/>
              <w:tr2bl w:val="nil"/>
            </w:tcBorders>
            <w:noWrap w:val="0"/>
            <w:vAlign w:val="center"/>
          </w:tcPr>
          <w:p>
            <w:pPr>
              <w:pStyle w:val="11"/>
              <w:bidi w:val="0"/>
              <w:rPr>
                <w:rFonts w:hint="default"/>
              </w:rPr>
            </w:pPr>
            <w:r>
              <w:rPr>
                <w:rFonts w:hint="default"/>
              </w:rPr>
              <w:t xml:space="preserve">  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分解产物：</w:t>
            </w:r>
          </w:p>
        </w:tc>
        <w:tc>
          <w:tcPr>
            <w:tcW w:w="6712" w:type="dxa"/>
            <w:gridSpan w:val="3"/>
            <w:tcBorders>
              <w:tl2br w:val="nil"/>
              <w:tr2bl w:val="nil"/>
            </w:tcBorders>
            <w:noWrap w:val="0"/>
            <w:vAlign w:val="center"/>
          </w:tcPr>
          <w:p>
            <w:pPr>
              <w:pStyle w:val="11"/>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1"/>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急性毒性：</w:t>
            </w:r>
          </w:p>
        </w:tc>
        <w:tc>
          <w:tcPr>
            <w:tcW w:w="6712" w:type="dxa"/>
            <w:gridSpan w:val="3"/>
            <w:tcBorders>
              <w:tl2br w:val="nil"/>
              <w:tr2bl w:val="nil"/>
            </w:tcBorders>
            <w:noWrap w:val="0"/>
            <w:vAlign w:val="center"/>
          </w:tcPr>
          <w:p>
            <w:pPr>
              <w:pStyle w:val="11"/>
              <w:bidi w:val="0"/>
              <w:rPr>
                <w:rFonts w:hint="default"/>
              </w:rPr>
            </w:pPr>
            <w:r>
              <w:rPr>
                <w:rFonts w:hint="default"/>
              </w:rPr>
              <w:t>LD50：67000mg/kg（小鼠经口），（120 号溶剂汽油）</w:t>
            </w:r>
          </w:p>
          <w:p>
            <w:pPr>
              <w:pStyle w:val="11"/>
              <w:bidi w:val="0"/>
              <w:rPr>
                <w:rFonts w:hint="default"/>
              </w:rPr>
            </w:pPr>
            <w:r>
              <w:rPr>
                <w:rFonts w:hint="default"/>
              </w:rPr>
              <w:t>LC50：103000mg/m</w:t>
            </w:r>
            <w:r>
              <w:rPr>
                <w:rFonts w:hint="default"/>
                <w:vertAlign w:val="superscript"/>
              </w:rPr>
              <w:t>3</w:t>
            </w:r>
            <w:r>
              <w:rPr>
                <w:rFonts w:hint="default"/>
              </w:rPr>
              <w:t xml:space="preserve"> 小鼠，2 小时（120 号溶剂汽油）</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急性中毒：</w:t>
            </w:r>
          </w:p>
          <w:p>
            <w:pPr>
              <w:pStyle w:val="11"/>
              <w:bidi w:val="0"/>
              <w:rPr>
                <w:rFonts w:hint="default"/>
              </w:rPr>
            </w:pPr>
          </w:p>
        </w:tc>
        <w:tc>
          <w:tcPr>
            <w:tcW w:w="6712" w:type="dxa"/>
            <w:gridSpan w:val="3"/>
            <w:tcBorders>
              <w:tl2br w:val="nil"/>
              <w:tr2bl w:val="nil"/>
            </w:tcBorders>
            <w:noWrap w:val="0"/>
            <w:vAlign w:val="center"/>
          </w:tcPr>
          <w:p>
            <w:pPr>
              <w:pStyle w:val="11"/>
              <w:bidi w:val="0"/>
              <w:rPr>
                <w:rFonts w:hint="default"/>
              </w:rPr>
            </w:pPr>
            <w:r>
              <w:rPr>
                <w:rFonts w:hint="default"/>
              </w:rP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 xml:space="preserve">慢性中毒： </w:t>
            </w:r>
          </w:p>
        </w:tc>
        <w:tc>
          <w:tcPr>
            <w:tcW w:w="6712" w:type="dxa"/>
            <w:gridSpan w:val="3"/>
            <w:tcBorders>
              <w:tl2br w:val="nil"/>
              <w:tr2bl w:val="nil"/>
            </w:tcBorders>
            <w:noWrap w:val="0"/>
            <w:vAlign w:val="center"/>
          </w:tcPr>
          <w:p>
            <w:pPr>
              <w:pStyle w:val="11"/>
              <w:bidi w:val="0"/>
              <w:rPr>
                <w:rFonts w:hint="default"/>
              </w:rPr>
            </w:pPr>
            <w:r>
              <w:rPr>
                <w:rFonts w:hint="default"/>
              </w:rPr>
              <w:t>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刺激性：</w:t>
            </w:r>
          </w:p>
        </w:tc>
        <w:tc>
          <w:tcPr>
            <w:tcW w:w="6712" w:type="dxa"/>
            <w:gridSpan w:val="3"/>
            <w:tcBorders>
              <w:tl2br w:val="nil"/>
              <w:tr2bl w:val="nil"/>
            </w:tcBorders>
            <w:noWrap w:val="0"/>
            <w:vAlign w:val="center"/>
          </w:tcPr>
          <w:p>
            <w:pPr>
              <w:pStyle w:val="11"/>
              <w:bidi w:val="0"/>
              <w:rPr>
                <w:rFonts w:hint="default"/>
              </w:rPr>
            </w:pPr>
            <w:r>
              <w:rPr>
                <w:rFonts w:hint="default"/>
              </w:rPr>
              <w:t>人经眼：140ppm（8 小时），轻度刺激。</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最高容许浓度</w:t>
            </w:r>
          </w:p>
        </w:tc>
        <w:tc>
          <w:tcPr>
            <w:tcW w:w="6712" w:type="dxa"/>
            <w:gridSpan w:val="3"/>
            <w:tcBorders>
              <w:tl2br w:val="nil"/>
              <w:tr2bl w:val="nil"/>
            </w:tcBorders>
            <w:noWrap w:val="0"/>
            <w:vAlign w:val="center"/>
          </w:tcPr>
          <w:p>
            <w:pPr>
              <w:pStyle w:val="11"/>
              <w:bidi w:val="0"/>
              <w:rPr>
                <w:rFonts w:hint="default"/>
              </w:rPr>
            </w:pPr>
            <w:r>
              <w:rPr>
                <w:rFonts w:hint="default"/>
              </w:rPr>
              <w:t>300mg/m</w:t>
            </w:r>
            <w:r>
              <w:rPr>
                <w:rFonts w:hint="default"/>
                <w:vertAlign w:val="superscript"/>
              </w:rPr>
              <w:t>3</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3-3</w:t>
      </w:r>
      <w:r>
        <w:rPr>
          <w:rFonts w:hint="default" w:ascii="Times New Roman" w:hAnsi="Times New Roman" w:eastAsia="黑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柴油的理化性质和危险特性</w:t>
      </w:r>
    </w:p>
    <w:tbl>
      <w:tblPr>
        <w:tblStyle w:val="22"/>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163"/>
        <w:gridCol w:w="74"/>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危险性类别：</w:t>
            </w:r>
          </w:p>
        </w:tc>
        <w:tc>
          <w:tcPr>
            <w:tcW w:w="2953" w:type="dxa"/>
            <w:gridSpan w:val="3"/>
            <w:tcBorders>
              <w:tl2br w:val="nil"/>
              <w:tr2bl w:val="nil"/>
            </w:tcBorders>
            <w:noWrap w:val="0"/>
            <w:vAlign w:val="center"/>
          </w:tcPr>
          <w:p>
            <w:pPr>
              <w:pStyle w:val="11"/>
              <w:bidi w:val="0"/>
              <w:rPr>
                <w:rFonts w:hint="default"/>
              </w:rPr>
            </w:pPr>
            <w:r>
              <w:rPr>
                <w:rFonts w:hint="default"/>
              </w:rPr>
              <w:t>第3.3 类高闪点易燃液体</w:t>
            </w:r>
          </w:p>
        </w:tc>
        <w:tc>
          <w:tcPr>
            <w:tcW w:w="2163" w:type="dxa"/>
            <w:tcBorders>
              <w:tl2br w:val="nil"/>
              <w:tr2bl w:val="nil"/>
            </w:tcBorders>
            <w:noWrap w:val="0"/>
            <w:vAlign w:val="center"/>
          </w:tcPr>
          <w:p>
            <w:pPr>
              <w:pStyle w:val="11"/>
              <w:bidi w:val="0"/>
              <w:rPr>
                <w:rFonts w:hint="default"/>
              </w:rPr>
            </w:pPr>
            <w:r>
              <w:rPr>
                <w:rFonts w:hint="default"/>
              </w:rPr>
              <w:t>燃爆危险</w:t>
            </w:r>
          </w:p>
        </w:tc>
        <w:tc>
          <w:tcPr>
            <w:tcW w:w="2312" w:type="dxa"/>
            <w:gridSpan w:val="2"/>
            <w:tcBorders>
              <w:tl2br w:val="nil"/>
              <w:tr2bl w:val="nil"/>
            </w:tcBorders>
            <w:noWrap w:val="0"/>
            <w:vAlign w:val="center"/>
          </w:tcPr>
          <w:p>
            <w:pPr>
              <w:pStyle w:val="11"/>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侵入途径：</w:t>
            </w:r>
          </w:p>
        </w:tc>
        <w:tc>
          <w:tcPr>
            <w:tcW w:w="2953" w:type="dxa"/>
            <w:gridSpan w:val="3"/>
            <w:tcBorders>
              <w:tl2br w:val="nil"/>
              <w:tr2bl w:val="nil"/>
            </w:tcBorders>
            <w:noWrap w:val="0"/>
            <w:vAlign w:val="center"/>
          </w:tcPr>
          <w:p>
            <w:pPr>
              <w:pStyle w:val="11"/>
              <w:bidi w:val="0"/>
              <w:rPr>
                <w:rFonts w:hint="default"/>
              </w:rPr>
            </w:pPr>
            <w:r>
              <w:rPr>
                <w:rFonts w:hint="default"/>
              </w:rPr>
              <w:t>吸入、食入、经皮吸收</w:t>
            </w:r>
          </w:p>
        </w:tc>
        <w:tc>
          <w:tcPr>
            <w:tcW w:w="2163" w:type="dxa"/>
            <w:tcBorders>
              <w:tl2br w:val="nil"/>
              <w:tr2bl w:val="nil"/>
            </w:tcBorders>
            <w:noWrap w:val="0"/>
            <w:vAlign w:val="center"/>
          </w:tcPr>
          <w:p>
            <w:pPr>
              <w:pStyle w:val="11"/>
              <w:bidi w:val="0"/>
              <w:rPr>
                <w:rFonts w:hint="default"/>
              </w:rPr>
            </w:pPr>
            <w:r>
              <w:rPr>
                <w:rFonts w:hint="default"/>
              </w:rPr>
              <w:t>有害燃烧产物</w:t>
            </w:r>
          </w:p>
        </w:tc>
        <w:tc>
          <w:tcPr>
            <w:tcW w:w="2312" w:type="dxa"/>
            <w:gridSpan w:val="2"/>
            <w:tcBorders>
              <w:tl2br w:val="nil"/>
              <w:tr2bl w:val="nil"/>
            </w:tcBorders>
            <w:noWrap w:val="0"/>
            <w:vAlign w:val="center"/>
          </w:tcPr>
          <w:p>
            <w:pPr>
              <w:pStyle w:val="11"/>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1"/>
              <w:bidi w:val="0"/>
              <w:rPr>
                <w:rFonts w:hint="default"/>
              </w:rPr>
            </w:pPr>
            <w:r>
              <w:rPr>
                <w:rFonts w:hint="default"/>
              </w:rPr>
              <w:t xml:space="preserve">环境危害： </w:t>
            </w:r>
          </w:p>
        </w:tc>
        <w:tc>
          <w:tcPr>
            <w:tcW w:w="7428" w:type="dxa"/>
            <w:gridSpan w:val="6"/>
            <w:tcBorders>
              <w:tl2br w:val="nil"/>
              <w:tr2bl w:val="nil"/>
            </w:tcBorders>
            <w:noWrap w:val="0"/>
            <w:vAlign w:val="center"/>
          </w:tcPr>
          <w:p>
            <w:pPr>
              <w:pStyle w:val="11"/>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外观及性状：</w:t>
            </w:r>
          </w:p>
        </w:tc>
        <w:tc>
          <w:tcPr>
            <w:tcW w:w="2827" w:type="dxa"/>
            <w:gridSpan w:val="2"/>
            <w:tcBorders>
              <w:tl2br w:val="nil"/>
              <w:tr2bl w:val="nil"/>
            </w:tcBorders>
            <w:noWrap w:val="0"/>
            <w:vAlign w:val="center"/>
          </w:tcPr>
          <w:p>
            <w:pPr>
              <w:pStyle w:val="11"/>
              <w:bidi w:val="0"/>
              <w:rPr>
                <w:rFonts w:hint="default"/>
              </w:rPr>
            </w:pPr>
            <w:r>
              <w:rPr>
                <w:rFonts w:hint="default"/>
              </w:rPr>
              <w:t xml:space="preserve"> 稍有粘性的棕色液体</w:t>
            </w:r>
          </w:p>
        </w:tc>
        <w:tc>
          <w:tcPr>
            <w:tcW w:w="2163" w:type="dxa"/>
            <w:tcBorders>
              <w:tl2br w:val="nil"/>
              <w:tr2bl w:val="nil"/>
            </w:tcBorders>
            <w:noWrap w:val="0"/>
            <w:vAlign w:val="center"/>
          </w:tcPr>
          <w:p>
            <w:pPr>
              <w:pStyle w:val="11"/>
              <w:bidi w:val="0"/>
              <w:rPr>
                <w:rFonts w:hint="default"/>
              </w:rPr>
            </w:pPr>
            <w:r>
              <w:rPr>
                <w:rFonts w:hint="default"/>
              </w:rPr>
              <w:t>主要用途：</w:t>
            </w:r>
          </w:p>
        </w:tc>
        <w:tc>
          <w:tcPr>
            <w:tcW w:w="2312" w:type="dxa"/>
            <w:gridSpan w:val="2"/>
            <w:tcBorders>
              <w:tl2br w:val="nil"/>
              <w:tr2bl w:val="nil"/>
            </w:tcBorders>
            <w:noWrap w:val="0"/>
            <w:vAlign w:val="center"/>
          </w:tcPr>
          <w:p>
            <w:pPr>
              <w:pStyle w:val="11"/>
              <w:bidi w:val="0"/>
              <w:rPr>
                <w:rFonts w:hint="default"/>
              </w:rPr>
            </w:pPr>
            <w:r>
              <w:rPr>
                <w:rFonts w:hint="default"/>
              </w:rPr>
              <w:t xml:space="preserve"> 用作柴油机的燃料等</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闪点（℃）：</w:t>
            </w:r>
          </w:p>
        </w:tc>
        <w:tc>
          <w:tcPr>
            <w:tcW w:w="2827" w:type="dxa"/>
            <w:gridSpan w:val="2"/>
            <w:tcBorders>
              <w:tl2br w:val="nil"/>
              <w:tr2bl w:val="nil"/>
            </w:tcBorders>
            <w:noWrap w:val="0"/>
            <w:vAlign w:val="center"/>
          </w:tcPr>
          <w:p>
            <w:pPr>
              <w:pStyle w:val="11"/>
              <w:bidi w:val="0"/>
              <w:rPr>
                <w:rFonts w:hint="default"/>
              </w:rPr>
            </w:pPr>
            <w:r>
              <w:rPr>
                <w:rFonts w:hint="default"/>
              </w:rPr>
              <w:t>45～55</w:t>
            </w:r>
          </w:p>
        </w:tc>
        <w:tc>
          <w:tcPr>
            <w:tcW w:w="2163" w:type="dxa"/>
            <w:tcBorders>
              <w:tl2br w:val="nil"/>
              <w:tr2bl w:val="nil"/>
            </w:tcBorders>
            <w:noWrap w:val="0"/>
            <w:vAlign w:val="center"/>
          </w:tcPr>
          <w:p>
            <w:pPr>
              <w:pStyle w:val="11"/>
              <w:bidi w:val="0"/>
              <w:rPr>
                <w:rFonts w:hint="default"/>
              </w:rPr>
            </w:pPr>
            <w:r>
              <w:rPr>
                <w:rFonts w:hint="default"/>
              </w:rPr>
              <w:t>相对密度（水＝1）</w:t>
            </w:r>
          </w:p>
        </w:tc>
        <w:tc>
          <w:tcPr>
            <w:tcW w:w="2312" w:type="dxa"/>
            <w:gridSpan w:val="2"/>
            <w:tcBorders>
              <w:tl2br w:val="nil"/>
              <w:tr2bl w:val="nil"/>
            </w:tcBorders>
            <w:noWrap w:val="0"/>
            <w:vAlign w:val="center"/>
          </w:tcPr>
          <w:p>
            <w:pPr>
              <w:pStyle w:val="11"/>
              <w:bidi w:val="0"/>
              <w:rPr>
                <w:rFonts w:hint="default"/>
              </w:rPr>
            </w:pPr>
            <w:r>
              <w:rPr>
                <w:rFonts w:hint="default"/>
              </w:rPr>
              <w:t xml:space="preserve"> 0.87～0.9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沸点（℃）：</w:t>
            </w:r>
          </w:p>
        </w:tc>
        <w:tc>
          <w:tcPr>
            <w:tcW w:w="2827" w:type="dxa"/>
            <w:gridSpan w:val="2"/>
            <w:tcBorders>
              <w:tl2br w:val="nil"/>
              <w:tr2bl w:val="nil"/>
            </w:tcBorders>
            <w:noWrap w:val="0"/>
            <w:vAlign w:val="center"/>
          </w:tcPr>
          <w:p>
            <w:pPr>
              <w:pStyle w:val="11"/>
              <w:bidi w:val="0"/>
              <w:rPr>
                <w:rFonts w:hint="default"/>
              </w:rPr>
            </w:pPr>
            <w:r>
              <w:rPr>
                <w:rFonts w:hint="default"/>
              </w:rPr>
              <w:t xml:space="preserve"> 200～350</w:t>
            </w:r>
          </w:p>
        </w:tc>
        <w:tc>
          <w:tcPr>
            <w:tcW w:w="2163" w:type="dxa"/>
            <w:tcBorders>
              <w:tl2br w:val="nil"/>
              <w:tr2bl w:val="nil"/>
            </w:tcBorders>
            <w:noWrap w:val="0"/>
            <w:vAlign w:val="center"/>
          </w:tcPr>
          <w:p>
            <w:pPr>
              <w:pStyle w:val="11"/>
              <w:bidi w:val="0"/>
              <w:rPr>
                <w:rFonts w:hint="default"/>
              </w:rPr>
            </w:pPr>
            <w:r>
              <w:rPr>
                <w:rFonts w:hint="default"/>
              </w:rPr>
              <w:t>爆炸上限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1"/>
              <w:bidi w:val="0"/>
              <w:rPr>
                <w:rFonts w:hint="default"/>
              </w:rPr>
            </w:pPr>
            <w:r>
              <w:rPr>
                <w:rFonts w:hint="default"/>
              </w:rPr>
              <w:t xml:space="preserve"> 4.5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自燃点（℃）：</w:t>
            </w:r>
          </w:p>
        </w:tc>
        <w:tc>
          <w:tcPr>
            <w:tcW w:w="2827" w:type="dxa"/>
            <w:gridSpan w:val="2"/>
            <w:tcBorders>
              <w:tl2br w:val="nil"/>
              <w:tr2bl w:val="nil"/>
            </w:tcBorders>
            <w:noWrap w:val="0"/>
            <w:vAlign w:val="center"/>
          </w:tcPr>
          <w:p>
            <w:pPr>
              <w:pStyle w:val="11"/>
              <w:bidi w:val="0"/>
              <w:rPr>
                <w:rFonts w:hint="default"/>
              </w:rPr>
            </w:pPr>
            <w:r>
              <w:rPr>
                <w:rFonts w:hint="default"/>
              </w:rPr>
              <w:t>257</w:t>
            </w:r>
          </w:p>
        </w:tc>
        <w:tc>
          <w:tcPr>
            <w:tcW w:w="2163" w:type="dxa"/>
            <w:tcBorders>
              <w:tl2br w:val="nil"/>
              <w:tr2bl w:val="nil"/>
            </w:tcBorders>
            <w:noWrap w:val="0"/>
            <w:vAlign w:val="center"/>
          </w:tcPr>
          <w:p>
            <w:pPr>
              <w:pStyle w:val="11"/>
              <w:bidi w:val="0"/>
              <w:rPr>
                <w:rFonts w:hint="default"/>
              </w:rPr>
            </w:pPr>
            <w:r>
              <w:rPr>
                <w:rFonts w:hint="default"/>
              </w:rPr>
              <w:t>爆炸下限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1"/>
              <w:bidi w:val="0"/>
              <w:rPr>
                <w:rFonts w:hint="default"/>
              </w:rPr>
            </w:pPr>
            <w:r>
              <w:rPr>
                <w:rFonts w:hint="default"/>
              </w:rPr>
              <w:t xml:space="preserve"> 1.5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1"/>
              <w:bidi w:val="0"/>
              <w:rPr>
                <w:rFonts w:hint="default"/>
              </w:rPr>
            </w:pPr>
            <w:r>
              <w:rPr>
                <w:rFonts w:hint="default"/>
              </w:rPr>
              <w:t xml:space="preserve">溶解性： </w:t>
            </w:r>
          </w:p>
        </w:tc>
        <w:tc>
          <w:tcPr>
            <w:tcW w:w="7302" w:type="dxa"/>
            <w:gridSpan w:val="5"/>
            <w:tcBorders>
              <w:tl2br w:val="nil"/>
              <w:tr2bl w:val="nil"/>
            </w:tcBorders>
            <w:noWrap w:val="0"/>
            <w:vAlign w:val="center"/>
          </w:tcPr>
          <w:p>
            <w:pPr>
              <w:pStyle w:val="11"/>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稳定性：</w:t>
            </w:r>
          </w:p>
        </w:tc>
        <w:tc>
          <w:tcPr>
            <w:tcW w:w="2237" w:type="dxa"/>
            <w:tcBorders>
              <w:tl2br w:val="nil"/>
              <w:tr2bl w:val="nil"/>
            </w:tcBorders>
            <w:noWrap w:val="0"/>
            <w:vAlign w:val="center"/>
          </w:tcPr>
          <w:p>
            <w:pPr>
              <w:pStyle w:val="11"/>
              <w:bidi w:val="0"/>
              <w:rPr>
                <w:rFonts w:hint="default"/>
              </w:rPr>
            </w:pPr>
            <w:r>
              <w:rPr>
                <w:rFonts w:hint="default"/>
              </w:rPr>
              <w:t>稳定</w:t>
            </w:r>
          </w:p>
        </w:tc>
        <w:tc>
          <w:tcPr>
            <w:tcW w:w="2237" w:type="dxa"/>
            <w:gridSpan w:val="2"/>
            <w:tcBorders>
              <w:tl2br w:val="nil"/>
              <w:tr2bl w:val="nil"/>
            </w:tcBorders>
            <w:noWrap w:val="0"/>
            <w:vAlign w:val="center"/>
          </w:tcPr>
          <w:p>
            <w:pPr>
              <w:pStyle w:val="11"/>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1"/>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禁配物：</w:t>
            </w:r>
          </w:p>
        </w:tc>
        <w:tc>
          <w:tcPr>
            <w:tcW w:w="2237" w:type="dxa"/>
            <w:tcBorders>
              <w:tl2br w:val="nil"/>
              <w:tr2bl w:val="nil"/>
            </w:tcBorders>
            <w:noWrap w:val="0"/>
            <w:vAlign w:val="center"/>
          </w:tcPr>
          <w:p>
            <w:pPr>
              <w:pStyle w:val="11"/>
              <w:bidi w:val="0"/>
              <w:rPr>
                <w:rFonts w:hint="default"/>
              </w:rPr>
            </w:pPr>
            <w:r>
              <w:rPr>
                <w:rFonts w:hint="default"/>
              </w:rPr>
              <w:t>强氧化剂、卤素</w:t>
            </w:r>
          </w:p>
        </w:tc>
        <w:tc>
          <w:tcPr>
            <w:tcW w:w="2237" w:type="dxa"/>
            <w:gridSpan w:val="2"/>
            <w:tcBorders>
              <w:tl2br w:val="nil"/>
              <w:tr2bl w:val="nil"/>
            </w:tcBorders>
            <w:noWrap w:val="0"/>
            <w:vAlign w:val="center"/>
          </w:tcPr>
          <w:p>
            <w:pPr>
              <w:pStyle w:val="11"/>
              <w:bidi w:val="0"/>
              <w:rPr>
                <w:rFonts w:hint="default"/>
              </w:rPr>
            </w:pPr>
            <w:r>
              <w:rPr>
                <w:rFonts w:hint="default"/>
              </w:rPr>
              <w:t xml:space="preserve"> 聚合危害： </w:t>
            </w:r>
          </w:p>
        </w:tc>
        <w:tc>
          <w:tcPr>
            <w:tcW w:w="2238" w:type="dxa"/>
            <w:tcBorders>
              <w:tl2br w:val="nil"/>
              <w:tr2bl w:val="nil"/>
            </w:tcBorders>
            <w:noWrap w:val="0"/>
            <w:vAlign w:val="center"/>
          </w:tcPr>
          <w:p>
            <w:pPr>
              <w:pStyle w:val="11"/>
              <w:bidi w:val="0"/>
              <w:rPr>
                <w:rFonts w:hint="default"/>
              </w:rPr>
            </w:pPr>
            <w:r>
              <w:rPr>
                <w:rFonts w:hint="default"/>
              </w:rPr>
              <w:t>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分解产物：</w:t>
            </w:r>
          </w:p>
        </w:tc>
        <w:tc>
          <w:tcPr>
            <w:tcW w:w="6712" w:type="dxa"/>
            <w:gridSpan w:val="4"/>
            <w:tcBorders>
              <w:tl2br w:val="nil"/>
              <w:tr2bl w:val="nil"/>
            </w:tcBorders>
            <w:noWrap w:val="0"/>
            <w:vAlign w:val="center"/>
          </w:tcPr>
          <w:p>
            <w:pPr>
              <w:pStyle w:val="11"/>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1"/>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急性毒性：</w:t>
            </w:r>
          </w:p>
        </w:tc>
        <w:tc>
          <w:tcPr>
            <w:tcW w:w="6712" w:type="dxa"/>
            <w:gridSpan w:val="4"/>
            <w:tcBorders>
              <w:tl2br w:val="nil"/>
              <w:tr2bl w:val="nil"/>
            </w:tcBorders>
            <w:noWrap w:val="0"/>
            <w:vAlign w:val="center"/>
          </w:tcPr>
          <w:p>
            <w:pPr>
              <w:pStyle w:val="11"/>
              <w:bidi w:val="0"/>
              <w:rPr>
                <w:rFonts w:hint="default"/>
              </w:rPr>
            </w:pPr>
            <w:r>
              <w:rPr>
                <w:rFonts w:hint="default"/>
              </w:rPr>
              <w:t>大鼠经口LD50</w:t>
            </w:r>
            <w:r>
              <w:rPr>
                <w:rFonts w:hint="default"/>
                <w:lang w:eastAsia="zh-CN"/>
              </w:rPr>
              <w:t>：</w:t>
            </w:r>
            <w:r>
              <w:rPr>
                <w:rFonts w:hint="default"/>
              </w:rPr>
              <w:t>7500mg/kg。兔经皮LD :&gt;5mL/kg</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急性中毒：</w:t>
            </w:r>
          </w:p>
          <w:p>
            <w:pPr>
              <w:pStyle w:val="11"/>
              <w:bidi w:val="0"/>
              <w:rPr>
                <w:rFonts w:hint="default"/>
              </w:rPr>
            </w:pPr>
          </w:p>
        </w:tc>
        <w:tc>
          <w:tcPr>
            <w:tcW w:w="6712" w:type="dxa"/>
            <w:gridSpan w:val="4"/>
            <w:tcBorders>
              <w:tl2br w:val="nil"/>
              <w:tr2bl w:val="nil"/>
            </w:tcBorders>
            <w:noWrap w:val="0"/>
            <w:vAlign w:val="center"/>
          </w:tcPr>
          <w:p>
            <w:pPr>
              <w:pStyle w:val="11"/>
              <w:bidi w:val="0"/>
              <w:rPr>
                <w:rFonts w:hint="default"/>
              </w:rPr>
            </w:pPr>
            <w:r>
              <w:rPr>
                <w:rFonts w:hint="default"/>
              </w:rPr>
              <w:t>皮肤接触柴油可引起接触性皮炎、油性痤疮，吸入可引起吸入性肺炎，</w:t>
            </w:r>
          </w:p>
          <w:p>
            <w:pPr>
              <w:pStyle w:val="11"/>
              <w:bidi w:val="0"/>
              <w:rPr>
                <w:rFonts w:hint="default"/>
              </w:rPr>
            </w:pPr>
            <w:r>
              <w:rPr>
                <w:rFonts w:hint="default"/>
              </w:rPr>
              <w:t>能经胎盘进入胎儿血中。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 xml:space="preserve">慢性中毒： </w:t>
            </w:r>
          </w:p>
        </w:tc>
        <w:tc>
          <w:tcPr>
            <w:tcW w:w="6712" w:type="dxa"/>
            <w:gridSpan w:val="4"/>
            <w:tcBorders>
              <w:tl2br w:val="nil"/>
              <w:tr2bl w:val="nil"/>
            </w:tcBorders>
            <w:noWrap w:val="0"/>
            <w:vAlign w:val="center"/>
          </w:tcPr>
          <w:p>
            <w:pPr>
              <w:pStyle w:val="11"/>
              <w:bidi w:val="0"/>
              <w:rPr>
                <w:rFonts w:hint="default"/>
              </w:rPr>
            </w:pPr>
            <w:r>
              <w:rPr>
                <w:rFonts w:hint="default"/>
              </w:rPr>
              <w:t>柴油废气可引起眼、鼻刺激症状，头痛。</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刺激性：</w:t>
            </w:r>
          </w:p>
        </w:tc>
        <w:tc>
          <w:tcPr>
            <w:tcW w:w="6712" w:type="dxa"/>
            <w:gridSpan w:val="4"/>
            <w:tcBorders>
              <w:tl2br w:val="nil"/>
              <w:tr2bl w:val="nil"/>
            </w:tcBorders>
            <w:noWrap w:val="0"/>
            <w:vAlign w:val="center"/>
          </w:tcPr>
          <w:p>
            <w:pPr>
              <w:pStyle w:val="11"/>
              <w:bidi w:val="0"/>
              <w:rPr>
                <w:rFonts w:hint="default"/>
              </w:rPr>
            </w:pPr>
            <w:r>
              <w:rPr>
                <w:rFonts w:hint="default"/>
              </w:rPr>
              <w:t>具有刺激作用</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1"/>
              <w:bidi w:val="0"/>
              <w:rPr>
                <w:rFonts w:hint="default"/>
              </w:rPr>
            </w:pPr>
            <w:r>
              <w:rPr>
                <w:rFonts w:hint="default"/>
              </w:rPr>
              <w:t>最高容许浓度</w:t>
            </w:r>
          </w:p>
        </w:tc>
        <w:tc>
          <w:tcPr>
            <w:tcW w:w="6712" w:type="dxa"/>
            <w:gridSpan w:val="4"/>
            <w:tcBorders>
              <w:tl2br w:val="nil"/>
              <w:tr2bl w:val="nil"/>
            </w:tcBorders>
            <w:noWrap w:val="0"/>
            <w:vAlign w:val="center"/>
          </w:tcPr>
          <w:p>
            <w:pPr>
              <w:pStyle w:val="11"/>
              <w:bidi w:val="0"/>
              <w:rPr>
                <w:rFonts w:hint="default"/>
              </w:rPr>
            </w:pPr>
            <w:r>
              <w:rPr>
                <w:rFonts w:hint="default"/>
              </w:rPr>
              <w:t>目前无标准</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3-4</w:t>
      </w:r>
      <w:r>
        <w:rPr>
          <w:rFonts w:hint="default" w:ascii="Times New Roman" w:hAnsi="Times New Roman" w:eastAsia="黑体" w:cs="Times New Roman"/>
          <w:sz w:val="24"/>
          <w:szCs w:val="21"/>
          <w:u w:val="none"/>
        </w:rPr>
        <w:t xml:space="preserve">  物质危险性识别结果</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384"/>
        <w:gridCol w:w="1439"/>
        <w:gridCol w:w="1020"/>
        <w:gridCol w:w="1957"/>
        <w:gridCol w:w="2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物质识别</w:t>
            </w:r>
          </w:p>
        </w:tc>
        <w:tc>
          <w:tcPr>
            <w:tcW w:w="1384" w:type="dxa"/>
            <w:noWrap w:val="0"/>
            <w:vAlign w:val="center"/>
          </w:tcPr>
          <w:p>
            <w:pPr>
              <w:pStyle w:val="11"/>
              <w:bidi w:val="0"/>
              <w:rPr>
                <w:rFonts w:hint="default"/>
              </w:rPr>
            </w:pPr>
            <w:r>
              <w:rPr>
                <w:rFonts w:hint="default"/>
              </w:rPr>
              <w:t>LD50</w:t>
            </w:r>
          </w:p>
        </w:tc>
        <w:tc>
          <w:tcPr>
            <w:tcW w:w="1439" w:type="dxa"/>
            <w:noWrap w:val="0"/>
            <w:vAlign w:val="center"/>
          </w:tcPr>
          <w:p>
            <w:pPr>
              <w:pStyle w:val="11"/>
              <w:bidi w:val="0"/>
              <w:rPr>
                <w:rFonts w:hint="default"/>
              </w:rPr>
            </w:pPr>
            <w:r>
              <w:rPr>
                <w:rFonts w:hint="default"/>
              </w:rPr>
              <w:t>沸点</w:t>
            </w:r>
          </w:p>
        </w:tc>
        <w:tc>
          <w:tcPr>
            <w:tcW w:w="1020" w:type="dxa"/>
            <w:noWrap w:val="0"/>
            <w:vAlign w:val="center"/>
          </w:tcPr>
          <w:p>
            <w:pPr>
              <w:pStyle w:val="11"/>
              <w:bidi w:val="0"/>
              <w:rPr>
                <w:rFonts w:hint="default"/>
              </w:rPr>
            </w:pPr>
            <w:r>
              <w:rPr>
                <w:rFonts w:hint="default"/>
              </w:rPr>
              <w:t>闪点</w:t>
            </w:r>
          </w:p>
        </w:tc>
        <w:tc>
          <w:tcPr>
            <w:tcW w:w="1957" w:type="dxa"/>
            <w:noWrap w:val="0"/>
            <w:vAlign w:val="center"/>
          </w:tcPr>
          <w:p>
            <w:pPr>
              <w:pStyle w:val="11"/>
              <w:bidi w:val="0"/>
              <w:rPr>
                <w:rFonts w:hint="default"/>
              </w:rPr>
            </w:pPr>
            <w:r>
              <w:rPr>
                <w:rFonts w:hint="default"/>
              </w:rPr>
              <w:t>爆炸</w:t>
            </w:r>
          </w:p>
        </w:tc>
        <w:tc>
          <w:tcPr>
            <w:tcW w:w="2005" w:type="dxa"/>
            <w:noWrap w:val="0"/>
            <w:vAlign w:val="center"/>
          </w:tcPr>
          <w:p>
            <w:pPr>
              <w:pStyle w:val="11"/>
              <w:bidi w:val="0"/>
              <w:rPr>
                <w:rFonts w:hint="default"/>
              </w:rPr>
            </w:pPr>
            <w:r>
              <w:rPr>
                <w:rFonts w:hint="default"/>
              </w:rPr>
              <w:t>识别结果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汽油</w:t>
            </w:r>
          </w:p>
        </w:tc>
        <w:tc>
          <w:tcPr>
            <w:tcW w:w="1384" w:type="dxa"/>
            <w:noWrap w:val="0"/>
            <w:vAlign w:val="center"/>
          </w:tcPr>
          <w:p>
            <w:pPr>
              <w:pStyle w:val="11"/>
              <w:bidi w:val="0"/>
              <w:rPr>
                <w:rFonts w:hint="default"/>
              </w:rPr>
            </w:pPr>
            <w:r>
              <w:rPr>
                <w:rFonts w:hint="default"/>
              </w:rPr>
              <w:t>7300</w:t>
            </w:r>
          </w:p>
        </w:tc>
        <w:tc>
          <w:tcPr>
            <w:tcW w:w="1439" w:type="dxa"/>
            <w:noWrap w:val="0"/>
            <w:vAlign w:val="center"/>
          </w:tcPr>
          <w:p>
            <w:pPr>
              <w:pStyle w:val="11"/>
              <w:bidi w:val="0"/>
              <w:rPr>
                <w:rFonts w:hint="default"/>
              </w:rPr>
            </w:pPr>
            <w:r>
              <w:rPr>
                <w:rFonts w:hint="default"/>
              </w:rPr>
              <w:t>40～200℃</w:t>
            </w:r>
          </w:p>
        </w:tc>
        <w:tc>
          <w:tcPr>
            <w:tcW w:w="1020" w:type="dxa"/>
            <w:noWrap w:val="0"/>
            <w:vAlign w:val="center"/>
          </w:tcPr>
          <w:p>
            <w:pPr>
              <w:pStyle w:val="11"/>
              <w:bidi w:val="0"/>
              <w:rPr>
                <w:rFonts w:hint="default"/>
              </w:rPr>
            </w:pPr>
            <w:r>
              <w:rPr>
                <w:rFonts w:hint="default"/>
              </w:rPr>
              <w:t>-50℃</w:t>
            </w:r>
          </w:p>
        </w:tc>
        <w:tc>
          <w:tcPr>
            <w:tcW w:w="1957" w:type="dxa"/>
            <w:noWrap w:val="0"/>
            <w:vAlign w:val="center"/>
          </w:tcPr>
          <w:p>
            <w:pPr>
              <w:pStyle w:val="11"/>
              <w:bidi w:val="0"/>
              <w:rPr>
                <w:rFonts w:hint="default"/>
              </w:rPr>
            </w:pPr>
            <w:r>
              <w:rPr>
                <w:rFonts w:hint="default"/>
              </w:rPr>
              <w:t>遇明火、高热可燃</w:t>
            </w:r>
          </w:p>
          <w:p>
            <w:pPr>
              <w:pStyle w:val="11"/>
              <w:bidi w:val="0"/>
              <w:rPr>
                <w:rFonts w:hint="default"/>
              </w:rPr>
            </w:pPr>
            <w:r>
              <w:rPr>
                <w:rFonts w:hint="default"/>
              </w:rPr>
              <w:t>烧爆炸</w:t>
            </w:r>
          </w:p>
        </w:tc>
        <w:tc>
          <w:tcPr>
            <w:tcW w:w="2005" w:type="dxa"/>
            <w:noWrap w:val="0"/>
            <w:vAlign w:val="center"/>
          </w:tcPr>
          <w:p>
            <w:pPr>
              <w:pStyle w:val="11"/>
              <w:bidi w:val="0"/>
              <w:rPr>
                <w:rFonts w:hint="default"/>
              </w:rPr>
            </w:pPr>
            <w:r>
              <w:rPr>
                <w:rFonts w:hint="default"/>
              </w:rPr>
              <w:t>低于一般毒性物质高度易燃液体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1"/>
              <w:bidi w:val="0"/>
              <w:rPr>
                <w:rFonts w:hint="default"/>
              </w:rPr>
            </w:pPr>
            <w:r>
              <w:rPr>
                <w:rFonts w:hint="default"/>
              </w:rPr>
              <w:t>柴油</w:t>
            </w:r>
          </w:p>
        </w:tc>
        <w:tc>
          <w:tcPr>
            <w:tcW w:w="1384" w:type="dxa"/>
            <w:noWrap w:val="0"/>
            <w:vAlign w:val="center"/>
          </w:tcPr>
          <w:p>
            <w:pPr>
              <w:pStyle w:val="11"/>
              <w:bidi w:val="0"/>
              <w:rPr>
                <w:rFonts w:hint="default"/>
              </w:rPr>
            </w:pPr>
            <w:r>
              <w:rPr>
                <w:rFonts w:hint="default"/>
              </w:rPr>
              <w:t>7500（大鼠</w:t>
            </w:r>
          </w:p>
          <w:p>
            <w:pPr>
              <w:pStyle w:val="11"/>
              <w:bidi w:val="0"/>
              <w:rPr>
                <w:rFonts w:hint="default"/>
              </w:rPr>
            </w:pPr>
            <w:r>
              <w:rPr>
                <w:rFonts w:hint="default"/>
              </w:rPr>
              <w:t>经口）</w:t>
            </w:r>
          </w:p>
        </w:tc>
        <w:tc>
          <w:tcPr>
            <w:tcW w:w="1439" w:type="dxa"/>
            <w:noWrap w:val="0"/>
            <w:vAlign w:val="center"/>
          </w:tcPr>
          <w:p>
            <w:pPr>
              <w:pStyle w:val="11"/>
              <w:bidi w:val="0"/>
              <w:rPr>
                <w:rFonts w:hint="default"/>
              </w:rPr>
            </w:pPr>
            <w:r>
              <w:rPr>
                <w:rFonts w:hint="default"/>
              </w:rPr>
              <w:t>282～338℃</w:t>
            </w:r>
          </w:p>
        </w:tc>
        <w:tc>
          <w:tcPr>
            <w:tcW w:w="1020" w:type="dxa"/>
            <w:noWrap w:val="0"/>
            <w:vAlign w:val="center"/>
          </w:tcPr>
          <w:p>
            <w:pPr>
              <w:pStyle w:val="11"/>
              <w:bidi w:val="0"/>
              <w:rPr>
                <w:rFonts w:hint="default"/>
              </w:rPr>
            </w:pPr>
            <w:r>
              <w:rPr>
                <w:rFonts w:hint="default"/>
              </w:rPr>
              <w:t>45-55℃</w:t>
            </w:r>
          </w:p>
        </w:tc>
        <w:tc>
          <w:tcPr>
            <w:tcW w:w="1957" w:type="dxa"/>
            <w:noWrap w:val="0"/>
            <w:vAlign w:val="center"/>
          </w:tcPr>
          <w:p>
            <w:pPr>
              <w:pStyle w:val="11"/>
              <w:bidi w:val="0"/>
              <w:rPr>
                <w:rFonts w:hint="default"/>
              </w:rPr>
            </w:pPr>
            <w:r>
              <w:rPr>
                <w:rFonts w:hint="default"/>
              </w:rPr>
              <w:t>遇明火、高热可燃</w:t>
            </w:r>
          </w:p>
          <w:p>
            <w:pPr>
              <w:pStyle w:val="11"/>
              <w:bidi w:val="0"/>
              <w:rPr>
                <w:rFonts w:hint="default"/>
              </w:rPr>
            </w:pPr>
            <w:r>
              <w:rPr>
                <w:rFonts w:hint="default"/>
              </w:rPr>
              <w:t>烧爆炸</w:t>
            </w:r>
          </w:p>
        </w:tc>
        <w:tc>
          <w:tcPr>
            <w:tcW w:w="2005" w:type="dxa"/>
            <w:noWrap w:val="0"/>
            <w:vAlign w:val="center"/>
          </w:tcPr>
          <w:p>
            <w:pPr>
              <w:pStyle w:val="11"/>
              <w:bidi w:val="0"/>
              <w:rPr>
                <w:rFonts w:hint="default"/>
              </w:rPr>
            </w:pPr>
            <w:r>
              <w:rPr>
                <w:rFonts w:hint="default"/>
              </w:rPr>
              <w:t>低于一般毒性物质</w:t>
            </w:r>
          </w:p>
          <w:p>
            <w:pPr>
              <w:pStyle w:val="11"/>
              <w:bidi w:val="0"/>
              <w:rPr>
                <w:rFonts w:hint="default"/>
              </w:rPr>
            </w:pPr>
            <w:r>
              <w:rPr>
                <w:rFonts w:hint="default"/>
              </w:rPr>
              <w:t>属易燃液体</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1"/>
        <w:rPr>
          <w:rFonts w:hint="default" w:ascii="Times New Roman" w:hAnsi="Times New Roman" w:cs="Times New Roman" w:eastAsiaTheme="minorEastAsia"/>
          <w:b/>
          <w:bCs/>
          <w:sz w:val="24"/>
          <w:szCs w:val="21"/>
          <w:u w:val="none"/>
          <w:lang w:eastAsia="zh-CN"/>
        </w:rPr>
      </w:pPr>
      <w:r>
        <w:rPr>
          <w:rFonts w:hint="default" w:ascii="Times New Roman" w:hAnsi="Times New Roman" w:cs="Times New Roman" w:eastAsiaTheme="minorEastAsia"/>
          <w:b/>
          <w:bCs/>
          <w:sz w:val="24"/>
          <w:szCs w:val="21"/>
          <w:u w:val="none"/>
          <w:lang w:eastAsia="zh-CN"/>
        </w:rPr>
        <w:t>（</w:t>
      </w:r>
      <w:r>
        <w:rPr>
          <w:rFonts w:hint="default" w:ascii="Times New Roman" w:hAnsi="Times New Roman" w:cs="Times New Roman" w:eastAsiaTheme="minorEastAsia"/>
          <w:b/>
          <w:bCs/>
          <w:sz w:val="24"/>
          <w:szCs w:val="21"/>
          <w:u w:val="none"/>
          <w:lang w:val="en-US" w:eastAsia="zh-CN"/>
        </w:rPr>
        <w:t>3</w:t>
      </w:r>
      <w:r>
        <w:rPr>
          <w:rFonts w:hint="default"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eastAsia="zh-CN"/>
        </w:rPr>
        <w:t>风险类型</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风险类型根据有毒有害物质放散起因， 分为火灾、 爆炸和泄漏三种类型， 项目风险识别结果见下表</w:t>
      </w:r>
      <w:r>
        <w:rPr>
          <w:rFonts w:hint="eastAsia" w:ascii="Times New Roman" w:hAnsi="Times New Roman" w:cs="Times New Roman" w:eastAsiaTheme="minorEastAsia"/>
          <w:sz w:val="24"/>
          <w:szCs w:val="21"/>
          <w:u w:val="none"/>
          <w:lang w:eastAsia="zh-CN"/>
        </w:rPr>
        <w:t>：</w:t>
      </w:r>
    </w:p>
    <w:p>
      <w:pPr>
        <w:spacing w:line="520" w:lineRule="exact"/>
        <w:ind w:firstLine="0" w:firstLineChars="0"/>
        <w:jc w:val="center"/>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eastAsia="zh-CN"/>
        </w:rPr>
        <w:t>表</w:t>
      </w:r>
      <w:r>
        <w:rPr>
          <w:rFonts w:hint="eastAsia" w:ascii="Times New Roman" w:hAnsi="Times New Roman" w:eastAsia="黑体" w:cs="Times New Roman"/>
          <w:sz w:val="24"/>
          <w:szCs w:val="21"/>
          <w:u w:val="none"/>
          <w:lang w:val="en-US" w:eastAsia="zh-CN"/>
        </w:rPr>
        <w:t xml:space="preserve">3-5   </w:t>
      </w:r>
      <w:r>
        <w:rPr>
          <w:rFonts w:hint="eastAsia" w:ascii="Times New Roman" w:hAnsi="Times New Roman" w:eastAsia="黑体" w:cs="Times New Roman"/>
          <w:sz w:val="24"/>
          <w:szCs w:val="21"/>
          <w:u w:val="none"/>
          <w:lang w:eastAsia="zh-CN"/>
        </w:rPr>
        <w:t>项目风险类型</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90"/>
        <w:gridCol w:w="1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风险范围</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风险装置</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风险物质</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物质类型</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风险类型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储油罐</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油罐</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restart"/>
            <w:tcBorders>
              <w:tl2br w:val="nil"/>
              <w:tr2bl w:val="nil"/>
            </w:tcBorders>
            <w:noWrap w:val="0"/>
            <w:vAlign w:val="center"/>
          </w:tcPr>
          <w:p>
            <w:pPr>
              <w:pStyle w:val="11"/>
              <w:bidi w:val="0"/>
              <w:rPr>
                <w:rFonts w:hint="default"/>
                <w:lang w:val="en-US" w:eastAsia="zh-CN"/>
              </w:rPr>
            </w:pPr>
            <w:r>
              <w:rPr>
                <w:rFonts w:hint="eastAsia"/>
                <w:lang w:val="en-US" w:eastAsia="zh-CN"/>
              </w:rPr>
              <w:t>易燃易爆，遇明火、高热可燃烧爆炸</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加油岛</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加油机</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1"/>
              <w:bidi w:val="0"/>
              <w:rPr>
                <w:rFonts w:hint="default"/>
                <w:lang w:val="en-US" w:eastAsia="zh-CN"/>
              </w:rPr>
            </w:pP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泄露、火灾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卸油、加油作业</w:t>
            </w:r>
          </w:p>
        </w:tc>
        <w:tc>
          <w:tcPr>
            <w:tcW w:w="1789" w:type="dxa"/>
            <w:tcBorders>
              <w:tl2br w:val="nil"/>
              <w:tr2bl w:val="nil"/>
            </w:tcBorders>
            <w:noWrap w:val="0"/>
            <w:vAlign w:val="center"/>
          </w:tcPr>
          <w:p>
            <w:pPr>
              <w:pStyle w:val="11"/>
              <w:bidi w:val="0"/>
              <w:rPr>
                <w:rFonts w:hint="default"/>
                <w:lang w:val="en-US" w:eastAsia="zh-CN"/>
              </w:rPr>
            </w:pPr>
            <w:r>
              <w:rPr>
                <w:rFonts w:hint="eastAsia"/>
                <w:lang w:val="en-US" w:eastAsia="zh-CN"/>
              </w:rPr>
              <w:t>卸油、加油设施</w:t>
            </w: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1"/>
              <w:bidi w:val="0"/>
              <w:rPr>
                <w:rFonts w:hint="default"/>
                <w:lang w:val="en-US" w:eastAsia="zh-CN"/>
              </w:rPr>
            </w:pPr>
          </w:p>
        </w:tc>
        <w:tc>
          <w:tcPr>
            <w:tcW w:w="1790" w:type="dxa"/>
            <w:tcBorders>
              <w:tl2br w:val="nil"/>
              <w:tr2bl w:val="nil"/>
            </w:tcBorders>
            <w:noWrap w:val="0"/>
            <w:vAlign w:val="center"/>
          </w:tcPr>
          <w:p>
            <w:pPr>
              <w:pStyle w:val="11"/>
              <w:bidi w:val="0"/>
              <w:rPr>
                <w:rFonts w:hint="default"/>
                <w:lang w:val="en-US" w:eastAsia="zh-CN"/>
              </w:rPr>
            </w:pPr>
            <w:r>
              <w:rPr>
                <w:rFonts w:hint="eastAsia"/>
                <w:lang w:val="en-US" w:eastAsia="zh-CN"/>
              </w:rPr>
              <w:t>泄露、火灾</w:t>
            </w:r>
          </w:p>
        </w:tc>
      </w:tr>
    </w:tbl>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针对火灾、 爆炸和泄漏三种风险类型， 如下依次加以辨识。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1）火灾爆炸事故原因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若要发生火灾及爆炸，必须具备下列条件：①油类泄漏或油气蒸发；②有足够的空气助燃；③油气必须与空气混和，并达到一定的浓度；④现场有明火；只有以上四个条件同时具备时，才可能发生火灾和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根据全国统计，储罐火灾及爆炸事故发生的概率远远低于3.1×10-5次/年，并随着近年来防灾技术水平的提高，呈下降趋势。</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加油站发生火灾爆炸事故主要隐患如下：</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①加油岛为各种机动车辆加油的场所。由于汽车尾气带火星、加油过满溢出、加油机漏油、加油机防爆电气故障等原因，容易引发火灾爆炸事故。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②违章用油枪往塑料桶(瓶)加油，汽油在塑料桶内流动摩擦产生静电聚集，当静电压和桶内的油蒸气达到一定值时，就会引发爆炸</w:t>
      </w:r>
      <w:r>
        <w:rPr>
          <w:rFonts w:hint="eastAsia" w:ascii="Times New Roman" w:hAnsi="Times New Roman" w:cs="Times New Roman" w:eastAsiaTheme="minorEastAsia"/>
          <w:sz w:val="24"/>
          <w:szCs w:val="21"/>
          <w:u w:val="none"/>
          <w:lang w:eastAsia="zh-CN"/>
        </w:rPr>
        <w:t>。</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③如有油气窜入站房，遇到明火，值班人员烧水、热饭和随意吸烟、乱扔烟头余烬等，会招致火灾或爆炸。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④加油车不熄火，送油车静电没有消散，油罐车卸油连通软管导静电性能差；雷雨天往储油罐卸油或往汽车车箱加油速度过快，加油操作失误；密闭卸油接口处漏油；对明火源管理不严等，都会导致火灾、爆炸或设备损坏或人身伤亡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⑤加油站已经安装规定的防雷装置，避免雷雨天容易造成设备损坏，如果产生电火花，就容易引起火灾。</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⑥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造成人员伤亡及经济损失。</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⑦地面水进入地下油罐，使油品溢出；地下管沟未填实，使油气窜入，遇明火爆炸；地下油罐注油过量溢出；卸油时油气外逸遇明火引爆；油罐、卸油接管等处接地不良，通气管遇雷击或静电闪火引燃引爆。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2）油料泄露事故原因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溢出的原因如下：①油罐计量仪表失灵，致使油罐加油过程中灌满溢出；②在为储罐加油过程中，由于存在气障气阻，致使油类溢出；③在加油过程中，由于接口不同，衔接不严密，致使油类溢出。</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泄漏的原因如下：①输油管道腐蚀致使油类泄漏；②由于施工或自然灾害而破坏输油管道；③在收发油过程中，由于操作失误，致使油类泄漏；④各个管道接口不严，致使跑、冒、滴、漏现象的发生。</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eastAsia="zh-CN"/>
        </w:rPr>
      </w:pPr>
      <w:r>
        <w:rPr>
          <w:rFonts w:hint="eastAsia" w:ascii="Times New Roman" w:hAnsi="Times New Roman" w:cs="Times New Roman" w:eastAsiaTheme="minorEastAsia"/>
          <w:b/>
          <w:bCs/>
          <w:sz w:val="28"/>
          <w:szCs w:val="22"/>
          <w:u w:val="none"/>
          <w:lang w:val="en-US" w:eastAsia="zh-CN"/>
        </w:rPr>
        <w:t>4、</w:t>
      </w:r>
      <w:r>
        <w:rPr>
          <w:rFonts w:hint="default" w:ascii="Times New Roman" w:hAnsi="Times New Roman" w:cs="Times New Roman" w:eastAsiaTheme="minorEastAsia"/>
          <w:b/>
          <w:bCs/>
          <w:sz w:val="28"/>
          <w:szCs w:val="22"/>
          <w:u w:val="none"/>
          <w:lang w:eastAsia="zh-CN"/>
        </w:rPr>
        <w:t>环境风险分析</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造成人员伤亡及经济损失</w:t>
      </w:r>
      <w:r>
        <w:rPr>
          <w:rFonts w:hint="default" w:ascii="Times New Roman" w:hAnsi="Times New Roman" w:cs="Times New Roman" w:eastAsiaTheme="minorEastAsia"/>
          <w:sz w:val="24"/>
          <w:szCs w:val="21"/>
          <w:u w:val="none"/>
        </w:rPr>
        <w:t>。同时</w:t>
      </w:r>
      <w:r>
        <w:rPr>
          <w:rFonts w:hint="default" w:ascii="Times New Roman" w:hAnsi="Times New Roman" w:cs="Times New Roman" w:eastAsiaTheme="minorEastAsia"/>
          <w:sz w:val="24"/>
          <w:szCs w:val="24"/>
          <w:u w:val="none"/>
        </w:rPr>
        <w:t>加油站发生爆炸事故时，将会产生硫化物、CO及建筑物燃烧引起的粉尘等污染物将对周围大气环境造成污染及地下水和附近地表水的污染；油罐清洗和油品贮存过程中出现泄露对地下水</w:t>
      </w:r>
      <w:r>
        <w:rPr>
          <w:rFonts w:hint="eastAsia" w:ascii="Times New Roman" w:hAnsi="Times New Roman" w:cs="Times New Roman" w:eastAsiaTheme="minorEastAsia"/>
          <w:sz w:val="24"/>
          <w:szCs w:val="24"/>
          <w:u w:val="none"/>
          <w:lang w:eastAsia="zh-CN"/>
        </w:rPr>
        <w:t>、土壤</w:t>
      </w:r>
      <w:r>
        <w:rPr>
          <w:rFonts w:hint="default" w:ascii="Times New Roman" w:hAnsi="Times New Roman" w:cs="Times New Roman" w:eastAsiaTheme="minorEastAsia"/>
          <w:sz w:val="24"/>
          <w:szCs w:val="24"/>
          <w:u w:val="none"/>
        </w:rPr>
        <w:t>的影响。</w:t>
      </w:r>
      <w:r>
        <w:rPr>
          <w:rFonts w:hint="default" w:ascii="Times New Roman" w:hAnsi="Times New Roman" w:cs="Times New Roman" w:eastAsiaTheme="minorEastAsia"/>
          <w:sz w:val="24"/>
          <w:szCs w:val="21"/>
          <w:u w:val="none"/>
        </w:rPr>
        <w:t xml:space="preserve"> </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①火灾、爆炸事故对环境的影响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加油站属一级防火单位，储油罐的燃烧或爆炸引起的后果相当严重，不但会造成人员伤亡和财产损失，大量成品油的泄漏和燃烧，也将给大气环境、地表水及土壤环境造成严重污染，尤其是对地表水和土壤的污染影响将是一个相当长的时间，被污染的水体和土壤中的各种生物及植物将全部死亡，被污染的水体和土壤得到完全净化，恢复其原有的功能，需要十几年甚至上百年的时间。</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若项目油品泄漏并引发火灾及爆炸事故，由于汽（柴）油为易燃液体，发生火灾爆炸时燃烧较充分，主要燃烧产物为CO</w:t>
      </w:r>
      <w:r>
        <w:rPr>
          <w:rFonts w:hint="default" w:ascii="Times New Roman" w:hAnsi="Times New Roman" w:eastAsia="TimesNewRomanPSMT" w:cs="Times New Roman"/>
          <w:sz w:val="24"/>
          <w:szCs w:val="21"/>
          <w:u w:val="none"/>
          <w:vertAlign w:val="subscript"/>
          <w:lang w:eastAsia="zh-CN"/>
        </w:rPr>
        <w:t>2</w:t>
      </w:r>
      <w:r>
        <w:rPr>
          <w:rFonts w:hint="default" w:ascii="Times New Roman" w:hAnsi="Times New Roman" w:eastAsia="TimesNewRomanPSMT" w:cs="Times New Roman"/>
          <w:sz w:val="24"/>
          <w:szCs w:val="21"/>
          <w:u w:val="none"/>
          <w:lang w:eastAsia="zh-CN"/>
        </w:rPr>
        <w:t>，在燃烧不充分时产生一定量的CO。根据调查，燃烧过程产生的CO量不会超过10%。由于火灾及爆炸在开放的空间发生，即便产生CO，也会快速扩散，不会造成人员中毒事故。因此，项目若发生火灾及爆炸事故，在短时间内对项目基地人员与财产将产生影响，但对周边居民影响较小。</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②泄漏事故对环境的影响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泄漏或渗漏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另外，储油罐的泄漏或渗漏对地下水的污染较为严重，地下水一旦遭到成品油的污染，将使地下水产生严重异味，并具有较强的致畸致癌性，无法饮用。又由于这种渗漏必然穿过较厚的土壤层，使土壤层中吸附了大量的燃料油，土壤层吸附的燃料油不仅会造成植物生物的死亡，而且还会随着地表水的下渗对土壤层的冲刷作用补充到地下水</w:t>
      </w:r>
      <w:r>
        <w:rPr>
          <w:rFonts w:hint="eastAsia" w:ascii="Times New Roman" w:hAnsi="Times New Roman" w:eastAsia="TimesNewRomanPSMT" w:cs="Times New Roman"/>
          <w:sz w:val="24"/>
          <w:szCs w:val="21"/>
          <w:u w:val="none"/>
          <w:lang w:eastAsia="zh-CN"/>
        </w:rPr>
        <w:t>，对地下水和土壤造成严重污染</w:t>
      </w:r>
      <w:r>
        <w:rPr>
          <w:rFonts w:hint="default" w:ascii="Times New Roman" w:hAnsi="Times New Roman" w:eastAsia="TimesNewRomanPSMT" w:cs="Times New Roman"/>
          <w:sz w:val="24"/>
          <w:szCs w:val="21"/>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5、</w:t>
      </w:r>
      <w:r>
        <w:rPr>
          <w:rFonts w:hint="default" w:ascii="Times New Roman" w:hAnsi="Times New Roman" w:cs="Times New Roman" w:eastAsiaTheme="minorEastAsia"/>
          <w:b/>
          <w:bCs/>
          <w:sz w:val="28"/>
          <w:szCs w:val="22"/>
          <w:u w:val="none"/>
          <w:lang w:val="en-US" w:eastAsia="zh-CN"/>
        </w:rPr>
        <w:t>环境风险防范措施及应急要求</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5.1</w:t>
      </w:r>
      <w:r>
        <w:rPr>
          <w:rFonts w:hint="default" w:ascii="Times New Roman" w:hAnsi="Times New Roman" w:eastAsia="TimesNewRomanPSMT" w:cs="Times New Roman"/>
          <w:b/>
          <w:bCs/>
          <w:sz w:val="24"/>
          <w:szCs w:val="21"/>
          <w:u w:val="none"/>
          <w:lang w:eastAsia="zh-CN"/>
        </w:rPr>
        <w:t xml:space="preserve"> 环境风险防范措施</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eastAsia="zh-CN"/>
        </w:rPr>
        <w:t>.1.1</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eastAsia="zh-CN"/>
        </w:rPr>
        <w:t>选址、总图布置和建筑安全防范措施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eastAsia"/>
          <w:lang w:eastAsia="zh-CN"/>
        </w:rPr>
        <w:t>郑州至石人山高速公路石人山服务区</w:t>
      </w:r>
      <w:r>
        <w:rPr>
          <w:rFonts w:hint="eastAsia" w:ascii="Times New Roman" w:hAnsi="Times New Roman" w:eastAsia="宋体" w:cs="Times New Roman"/>
          <w:szCs w:val="24"/>
          <w:u w:val="none"/>
        </w:rPr>
        <w:t>北侧、</w:t>
      </w:r>
      <w:r>
        <w:rPr>
          <w:rFonts w:hint="eastAsia" w:cs="Times New Roman"/>
          <w:szCs w:val="24"/>
          <w:u w:val="none"/>
          <w:lang w:eastAsia="zh-CN"/>
        </w:rPr>
        <w:t>西</w:t>
      </w:r>
      <w:r>
        <w:rPr>
          <w:rFonts w:hint="eastAsia" w:ascii="Times New Roman" w:hAnsi="Times New Roman" w:eastAsia="宋体" w:cs="Times New Roman"/>
          <w:szCs w:val="24"/>
          <w:u w:val="none"/>
        </w:rPr>
        <w:t>侧、东侧均为</w:t>
      </w:r>
      <w:r>
        <w:rPr>
          <w:rFonts w:hint="eastAsia" w:ascii="Times New Roman" w:hAnsi="Times New Roman" w:cs="Times New Roman"/>
          <w:szCs w:val="24"/>
          <w:u w:val="none"/>
          <w:lang w:eastAsia="zh-CN"/>
        </w:rPr>
        <w:t>服务区空地</w:t>
      </w:r>
      <w:r>
        <w:rPr>
          <w:rFonts w:hint="eastAsia" w:ascii="Times New Roman" w:hAnsi="Times New Roman" w:eastAsia="宋体" w:cs="Times New Roman"/>
          <w:szCs w:val="24"/>
          <w:u w:val="none"/>
          <w:lang w:eastAsia="zh-CN"/>
        </w:rPr>
        <w:t>，</w:t>
      </w:r>
      <w:r>
        <w:rPr>
          <w:rFonts w:hint="eastAsia" w:cs="Times New Roman"/>
          <w:szCs w:val="24"/>
          <w:u w:val="none"/>
          <w:lang w:eastAsia="zh-CN"/>
        </w:rPr>
        <w:t>南</w:t>
      </w:r>
      <w:r>
        <w:rPr>
          <w:rFonts w:hint="eastAsia" w:ascii="Times New Roman" w:hAnsi="Times New Roman" w:eastAsia="宋体" w:cs="Times New Roman"/>
          <w:szCs w:val="24"/>
          <w:u w:val="none"/>
          <w:lang w:eastAsia="zh-CN"/>
        </w:rPr>
        <w:t>侧为</w:t>
      </w:r>
      <w:r>
        <w:rPr>
          <w:rFonts w:hint="eastAsia" w:cs="Times New Roman"/>
          <w:szCs w:val="24"/>
          <w:u w:val="none"/>
          <w:lang w:val="en-US" w:eastAsia="zh-CN"/>
        </w:rPr>
        <w:t>郑石高速</w:t>
      </w:r>
      <w:r>
        <w:rPr>
          <w:rFonts w:hint="eastAsia" w:ascii="Times New Roman" w:hAnsi="Times New Roman" w:eastAsiaTheme="minorEastAsia" w:cstheme="minorBidi"/>
          <w:sz w:val="24"/>
          <w:szCs w:val="24"/>
          <w:u w:val="none"/>
        </w:rPr>
        <w:t>，距离项目最近的村庄为项目</w:t>
      </w:r>
      <w:r>
        <w:rPr>
          <w:rFonts w:hint="eastAsia" w:eastAsiaTheme="minorEastAsia" w:cstheme="minorBidi"/>
          <w:sz w:val="24"/>
          <w:szCs w:val="24"/>
          <w:u w:val="none"/>
          <w:lang w:eastAsia="zh-CN"/>
        </w:rPr>
        <w:t>东南侧</w:t>
      </w:r>
      <w:r>
        <w:rPr>
          <w:rFonts w:hint="eastAsia" w:eastAsiaTheme="minorEastAsia" w:cstheme="minorBidi"/>
          <w:sz w:val="24"/>
          <w:szCs w:val="24"/>
          <w:u w:val="none"/>
          <w:lang w:val="en-US" w:eastAsia="zh-CN"/>
        </w:rPr>
        <w:t>330</w:t>
      </w:r>
      <w:r>
        <w:rPr>
          <w:rFonts w:hint="eastAsia" w:ascii="Times New Roman" w:hAnsi="Times New Roman" w:eastAsiaTheme="minorEastAsia" w:cstheme="minorBidi"/>
          <w:sz w:val="24"/>
          <w:szCs w:val="24"/>
          <w:u w:val="none"/>
          <w:lang w:val="en-US" w:eastAsia="zh-CN"/>
        </w:rPr>
        <w:t>米</w:t>
      </w:r>
      <w:r>
        <w:rPr>
          <w:rFonts w:hint="eastAsia" w:eastAsiaTheme="minorEastAsia" w:cstheme="minorBidi"/>
          <w:sz w:val="24"/>
          <w:szCs w:val="24"/>
          <w:u w:val="none"/>
          <w:lang w:val="en-US" w:eastAsia="zh-CN"/>
        </w:rPr>
        <w:t>赵庄镇</w:t>
      </w:r>
      <w:r>
        <w:rPr>
          <w:rFonts w:hint="default" w:ascii="Times New Roman" w:hAnsi="Times New Roman" w:eastAsia="TimesNewRomanPSMT" w:cs="Times New Roman"/>
          <w:sz w:val="24"/>
          <w:szCs w:val="21"/>
          <w:u w:val="none"/>
          <w:lang w:eastAsia="zh-CN"/>
        </w:rPr>
        <w:t>。主要建设加油站站房、罩棚、储罐区、加油岛以及围墙等附属设施。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项目为</w:t>
      </w:r>
      <w:r>
        <w:rPr>
          <w:rFonts w:hint="eastAsia" w:ascii="Times New Roman" w:hAnsi="Times New Roman" w:eastAsia="TimesNewRomanPSMT" w:cs="Times New Roman"/>
          <w:sz w:val="24"/>
          <w:szCs w:val="21"/>
          <w:u w:val="none"/>
          <w:lang w:eastAsia="zh-CN"/>
        </w:rPr>
        <w:t>一</w:t>
      </w:r>
      <w:r>
        <w:rPr>
          <w:rFonts w:hint="default" w:ascii="Times New Roman" w:hAnsi="Times New Roman" w:eastAsia="TimesNewRomanPSMT" w:cs="Times New Roman"/>
          <w:sz w:val="24"/>
          <w:szCs w:val="21"/>
          <w:u w:val="none"/>
          <w:lang w:eastAsia="zh-CN"/>
        </w:rPr>
        <w:t>级加油站，项目的设计、建设严格执行《汽车加油加气站设计与施工规范》（GB 50156-2012），项目的选址、汽（柴）油设备与站外建（构）筑物的安全间距、项目站区总平面布置均符合规范要求。</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.1.2</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危险化学品贮运安全防范措施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根据《建设项目环境风险评价技术导则》（HJ 169-20</w:t>
      </w:r>
      <w:r>
        <w:rPr>
          <w:rFonts w:hint="eastAsia" w:ascii="Times New Roman" w:hAnsi="Times New Roman" w:eastAsia="TimesNewRomanPSMT" w:cs="Times New Roman"/>
          <w:sz w:val="24"/>
          <w:szCs w:val="21"/>
          <w:u w:val="none"/>
          <w:lang w:val="en-US" w:eastAsia="zh-CN"/>
        </w:rPr>
        <w:t>18</w:t>
      </w:r>
      <w:r>
        <w:rPr>
          <w:rFonts w:hint="default" w:ascii="Times New Roman" w:hAnsi="Times New Roman" w:eastAsia="TimesNewRomanPSMT" w:cs="Times New Roman"/>
          <w:sz w:val="24"/>
          <w:szCs w:val="21"/>
          <w:u w:val="none"/>
          <w:lang w:val="en-US" w:eastAsia="zh-CN"/>
        </w:rPr>
        <w:t>）及《危险化学品重大危险源辨识》（GB 18218-2009）的规定，项目不属于重大危险源。根据《汽车加油加气站设计与施工规范》（GB 50156-2012），针对项目危险化学品贮运，建设单位应认真落实如下安全防范措施。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（1）储罐区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加油站的汽油罐和柴油罐应埋地设置，严禁设在室内或地下室内。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汽车加油站的储油罐，应采用卧式油罐。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埋地油罐需要采用双层油罐时，可采用双层钢制油罐、双层玻璃纤维增强塑料油罐、内钢外玻璃纤维增强塑料双层油罐。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双层玻璃纤维增强塑料油罐的内、外层壁厚，以及内钢外玻璃纤维增强塑料双层油罐的外层壁厚，均不应小于4mm。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与罐内油品直接接触的玻璃纤维增强塑料等非金属层，应满足消除油品静电荷的要求，其表面电阻率应小于10</w:t>
      </w:r>
      <w:r>
        <w:rPr>
          <w:rFonts w:hint="default" w:ascii="Times New Roman" w:hAnsi="Times New Roman" w:eastAsia="TimesNewRomanPSMT" w:cs="Times New Roman"/>
          <w:sz w:val="24"/>
          <w:szCs w:val="21"/>
          <w:u w:val="none"/>
          <w:vertAlign w:val="superscript"/>
          <w:lang w:val="en-US" w:eastAsia="zh-CN"/>
        </w:rPr>
        <w:t>9</w:t>
      </w:r>
      <w:r>
        <w:rPr>
          <w:rFonts w:hint="default" w:ascii="Times New Roman" w:hAnsi="Times New Roman" w:eastAsia="TimesNewRomanPSMT" w:cs="Times New Roman"/>
          <w:sz w:val="24"/>
          <w:szCs w:val="21"/>
          <w:u w:val="none"/>
          <w:lang w:val="en-US" w:eastAsia="zh-CN"/>
        </w:rPr>
        <w:t xml:space="preserve"> Ω；当表面电阻率不能满足小于10 9Ω的要求时，应在罐内安装能够消除油品静电电荷的物体。</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双层油罐内壁与外壁之间应有满足渗漏检测要求的贯通间隙。</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⑦ 双层钢制油罐、内钢外玻璃纤维增强塑料双层油罐和玻璃纤维增强塑料等非金属防渗衬里的双层油罐，应设渗漏检测立管，并应符合相关规定。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⑧ 油罐应采用钢制人孔盖。</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⑨ 埋地油罐的人孔应设操作井。设在行车道下面的人孔井应采用加油站车行道下专用的密闭井盖和井座。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⑩ 油罐应采取卸油时的防满溢措施。油料达到油罐容量90%时，应能触动高液位报警装置；油料达到油罐容量95%时，应能自动停止油料继续进罐。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both"/>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11</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28"/>
          <w:szCs w:val="22"/>
          <w:u w:val="none"/>
          <w:lang w:val="en-US" w:eastAsia="zh-CN"/>
        </w:rPr>
        <w:t xml:space="preserve"> </w:t>
      </w:r>
      <w:r>
        <w:rPr>
          <w:rFonts w:hint="default" w:ascii="Times New Roman" w:hAnsi="Times New Roman" w:eastAsia="TimesNewRomanPSMT" w:cs="Times New Roman"/>
          <w:sz w:val="24"/>
          <w:szCs w:val="21"/>
          <w:u w:val="none"/>
          <w:lang w:val="en-US" w:eastAsia="zh-CN"/>
        </w:rPr>
        <w:t>设有油气回收系统的加油加气站，其站内油罐应设带有高液位报警功能的液位监测系统。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left"/>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12</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32"/>
          <w:szCs w:val="24"/>
          <w:u w:val="none"/>
          <w:lang w:val="en-US" w:eastAsia="zh-CN"/>
        </w:rPr>
        <w:t xml:space="preserve"> </w:t>
      </w:r>
      <w:r>
        <w:rPr>
          <w:rFonts w:hint="default" w:ascii="Times New Roman" w:hAnsi="Times New Roman" w:eastAsia="TimesNewRomanPSMT" w:cs="Times New Roman"/>
          <w:sz w:val="24"/>
          <w:szCs w:val="21"/>
          <w:u w:val="none"/>
          <w:lang w:val="en-US" w:eastAsia="zh-CN"/>
        </w:rPr>
        <w:t>与土壤接触的钢制油罐外表面，其防腐设计应符合现行行业标准《石油化工设备和管道涂料防腐蚀技术规范》（SH 3022）的有关规定，且防腐等级不应低于加强级。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（2）加油机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加油机不得设在室内。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加油枪应采用自封式加油枪，汽油加油枪的流量不应大于50L/min。</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加油软管上宜设安全拉断阀。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以正压（潜油泵）供油的加油机，其底部的供油管道上应设剪切阀，当加油机被撞或起火时，剪切阀应能自动关闭。</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采用一机多油品的加油机时，加油机上的放枪位应有各油品的文字标识，加油枪应有颜色标识。</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位于加油岛端部的加油机附近应设防撞柱(栏)，其高度不应小于0.5m。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项目采用双层油罐；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装有潜油泵的油罐人孔操作井、卸油口井、加油机底槽等可能发生油品渗漏的部位，也应采取相应的防渗措施；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③埋地加油管道应采用双层管道。双层管道的设计，应符合规范规定；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④双层油罐的渗漏检测宜采用在线监测系统。采用液体传感器监测时，传感器的检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测精度不应大于3.5mm。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（4）防腐措施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①加油站设备的防腐蚀施工，应符合现行行业标准《石油化工设备和管道涂料防腐蚀技术规范》（SH 3022）、现行国家标准《钢质管道外腐蚀控制规范》（GB/T 21447）的有关规定。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②当环境温度低于5</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℃、相对湿度大于80%</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或在雨、雪环境中，未采取可靠措施，不得进行防腐作业。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③进行防腐蚀施工时，严禁在站内距作业点18.5m范围内进行有明火或电火花的作业。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④设备和管道的绝热应符合现行国家标准《工业设备及管道绝热工程施工规范》（GB 50126）的有关规定。</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.1.3</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工艺技术设计安全防范措施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项目营运期主要从事汽油、柴油等机动车燃油零售，采用的工艺流程是常规的自吸流程，成品油罐来油先卸到储油罐中，加油机自带的潜油泵将油品由储油罐中吸到加油机中，经泵提升加压后给汽车加油，每个加油枪设单独管线吸油。该工艺技术成熟，员工经培训后能熟练进行作业，安全系数高。此外，项目配备有电气、紧急切断系统，主要如下所示。</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（1）供配电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①加油站的供电负荷等级可为三级，信息系统应设不间断供电电源。</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②加油站的电力线路宜采用电缆并直埋敷设。电缆穿越行车道部分，应穿钢管保护。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③当采用电缆沟敷设电缆时，加油作业区内的电缆沟内必须充沙填实。电缆不得与油品管道以及热力管道敷设在同一沟内。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④爆炸危险区域内的电气设备选型、安装、电力线路敷设等，应符合现行国家标准《爆炸和火灾危险环境电力装置设计规范》（GB 50058）的有关规定。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⑤加油站内爆炸危险区域以外的照明灯具，可选用非防爆型。罩棚下处于非爆炸危险区域的灯具，应选用防护等级不低于IP44级的照明灯具。</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（2）防雷、防静电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①钢制油罐组必须进行防雷接地，接地点不应少于2处。</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②防雷接地、防静电接地、电气设备的工作接地、保护接地及信息系统的接地等，宜共用接地装置，其接地电阻应按其中接地电阻值要求最小的接地电阻值确定。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③埋地钢制油罐以及非金属油罐顶部的金属部件和罐内的各金属部件，应与非埋地部分的工艺金属管道相互做电气连接并接地。</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④当加油站内的站房和罩棚等建筑物需要防直击雷时，应采用避雷带（网）保护。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⑤加油站的汽油罐车组的卸气场地，应设卸车或卸气时用的防静电接地装置，并应设置能检测跨接线及监视接地装置状态的静电接地仪。</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⑥油罐车卸油用的卸油软管、油气回收软管与两端快速接头，应保证可靠的电气连接。</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（3）紧急切断系统</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①加油站应设置紧急切断系统，该系统应能在事故状态下迅速切断加油泵的电源和关闭重要的管道阀门。紧急切断系统应具有失效保护功能。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②加油泵的电源，应能由手动启动的远程控制切断系统操纵关闭。</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③紧急切断系统应至少在下列位置设置启动开关：a.</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距加气站卸车点5m以内；b.</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在加油加气现场工作人员容易接近的位置；c.</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在控制室或值班室内。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④紧急切断系统应只能手动复位。</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.1.4</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消防及火灾报警系统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根据《汽车加油加气站设计与施工规范》（GB 50156-2012），建设单位应认真落实如下消防设施。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（1）灭火器材配置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每2台加油机应配置不少于2具4</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kg手提式干粉灭火器，或1具4kg手提式干粉灭火器和1具6</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L泡沫灭火器。加油机不足2台应按2台配置。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地下储罐应配置</w:t>
      </w:r>
      <w:r>
        <w:rPr>
          <w:rFonts w:hint="eastAsia" w:ascii="Times New Roman" w:hAnsi="Times New Roman" w:eastAsia="TimesNewRomanPSMT" w:cs="Times New Roman"/>
          <w:sz w:val="24"/>
          <w:szCs w:val="21"/>
          <w:u w:val="none"/>
          <w:lang w:val="en-US" w:eastAsia="zh-CN"/>
        </w:rPr>
        <w:t>2</w:t>
      </w:r>
      <w:r>
        <w:rPr>
          <w:rFonts w:hint="default" w:ascii="Times New Roman" w:hAnsi="Times New Roman" w:eastAsia="TimesNewRomanPSMT" w:cs="Times New Roman"/>
          <w:sz w:val="24"/>
          <w:szCs w:val="21"/>
          <w:u w:val="none"/>
          <w:lang w:val="en-US" w:eastAsia="zh-CN"/>
        </w:rPr>
        <w:t>台不小于35kg推车式干粉灭火器。当两种介质储罐之间的距离超过15m时，应分别配置。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（2）消防给水</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加油站可不设消防给水系统。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（3）给排水系统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清洗油罐的污水应集中收集处理，不应直接进入排水管道。</w:t>
      </w:r>
    </w:p>
    <w:p>
      <w:pPr>
        <w:spacing w:line="520" w:lineRule="exact"/>
        <w:ind w:firstLine="480" w:firstLineChars="200"/>
        <w:jc w:val="left"/>
        <w:rPr>
          <w:rFonts w:hint="default" w:ascii="Times New Roman" w:hAnsi="Times New Roman" w:eastAsia="宋体" w:cs="Times New Roman"/>
          <w:kern w:val="2"/>
          <w:sz w:val="24"/>
          <w:szCs w:val="24"/>
          <w:u w:val="none"/>
          <w:lang w:val="en-US" w:eastAsia="zh-CN" w:bidi="ar-SA"/>
        </w:rPr>
      </w:pPr>
      <w:r>
        <w:rPr>
          <w:rFonts w:hint="default" w:ascii="Times New Roman" w:hAnsi="Times New Roman" w:eastAsia="TimesNewRomanPSMT" w:cs="Times New Roman"/>
          <w:sz w:val="24"/>
          <w:szCs w:val="21"/>
          <w:u w:val="none"/>
          <w:lang w:val="en-US" w:eastAsia="zh-CN"/>
        </w:rPr>
        <w:t>②加油站不应采用暗沟排水。</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5.2</w:t>
      </w:r>
      <w:r>
        <w:rPr>
          <w:rFonts w:hint="default" w:ascii="Times New Roman" w:hAnsi="Times New Roman" w:eastAsia="TimesNewRomanPSMT" w:cs="Times New Roman"/>
          <w:b/>
          <w:bCs/>
          <w:sz w:val="24"/>
          <w:szCs w:val="21"/>
          <w:u w:val="none"/>
          <w:lang w:val="en-US" w:eastAsia="zh-CN"/>
        </w:rPr>
        <w:t>突发环境事件应急预案</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小量泄漏事故，主要造成厂区局部污染。一般来说易于控制，可立即关闭阀门与相关管罐，并采取通风、高空排放等方式处理，使泄漏的油气快速稀释或扩散，防止人员中毒与爆炸、火灾等事故的发生。一旦油气大量泄漏，不易控制，或则遇到强静电、雷击与剧烈的碰撞等，大量油气可能将迅速进入大气环境中造成污染，并可能产生人员中毒，甚至引发爆炸、火灾等。此类污染事故影响的程度和范围不仅仅取决于排放量，还同当时的气象条件密切相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油气既具有易燃性和可燃性，又均具有微毒性。当物料发生泄漏后，首要风险在于有毒有害物质在大气中的弥散以及对周边人群和环境的影响。</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为使环境风险减小到最低限度，必须加强劳动安全卫生管理，制定完备、有限的安全防范措施，尽可能降低项目环境风险事故发生的概率。</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eastAsia" w:ascii="Times New Roman" w:hAnsi="Times New Roman" w:cs="Times New Roman" w:eastAsiaTheme="minorEastAsia"/>
          <w:sz w:val="24"/>
          <w:szCs w:val="21"/>
          <w:u w:val="none"/>
          <w:lang w:val="en-US" w:eastAsia="zh-CN"/>
        </w:rPr>
        <w:t xml:space="preserve">a. </w:t>
      </w:r>
      <w:r>
        <w:rPr>
          <w:rFonts w:hint="default" w:ascii="Times New Roman" w:hAnsi="Times New Roman" w:cs="Times New Roman" w:eastAsiaTheme="minorEastAsia"/>
          <w:sz w:val="24"/>
          <w:szCs w:val="21"/>
          <w:u w:val="none"/>
        </w:rPr>
        <w:t>加强职工的安全教育，提高安全防范风险的意识；</w:t>
      </w:r>
    </w:p>
    <w:p>
      <w:pPr>
        <w:spacing w:line="520" w:lineRule="exact"/>
        <w:ind w:firstLine="480" w:firstLineChars="200"/>
        <w:jc w:val="left"/>
        <w:rPr>
          <w:rFonts w:hint="eastAsia" w:ascii="Times New Roman" w:hAnsi="Times New Roman" w:eastAsia="Calibri" w:cs="Times New Roman"/>
          <w:sz w:val="24"/>
          <w:szCs w:val="21"/>
          <w:u w:val="none"/>
          <w:lang w:val="en-US" w:eastAsia="zh-CN"/>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针对运营中可能发生的异常现象和存在的安全隐患，设置合理可行的技术措施，制定严格的操作规程；</w:t>
      </w:r>
      <w:r>
        <w:rPr>
          <w:rFonts w:hint="eastAsia" w:ascii="Times New Roman" w:hAnsi="Times New Roman" w:cs="Times New Roman" w:eastAsiaTheme="minorEastAsia"/>
          <w:sz w:val="24"/>
          <w:szCs w:val="21"/>
          <w:u w:val="none"/>
          <w:lang w:val="en-US" w:eastAsia="zh-CN"/>
        </w:rPr>
        <w:t xml:space="preserve"> </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对易发生泄漏的部位实行定期的巡检制度，及时发现问题，尽快解决；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d.</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严格执行防火、防爆、防雷击、防毒害等各项要求；</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e.</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建立健全安全、环境管理体系及高效的安全生产机构，一旦发生事故，要做到快速、高效、安全处置。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f.</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加油站内的电气设备严格按照防爆区划分配置。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g.</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在储存油罐和加油站入口处设立警告牌</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严禁烟火</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h.</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在加油站设立严禁打手机的警告牌。</w:t>
      </w:r>
    </w:p>
    <w:p>
      <w:pPr>
        <w:spacing w:line="520" w:lineRule="exact"/>
        <w:ind w:firstLine="480" w:firstLineChars="200"/>
        <w:jc w:val="left"/>
        <w:outlineLvl w:val="9"/>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i.</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rPr>
        <w:t>按照设计图的要求，注意避雷针的安全防护措施。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eastAsia" w:ascii="Times New Roman" w:hAnsi="Times New Roman" w:eastAsia="TimesNewRomanPSMT" w:cs="Times New Roman"/>
          <w:sz w:val="24"/>
          <w:szCs w:val="21"/>
          <w:u w:val="none"/>
          <w:lang w:val="en-US" w:eastAsia="zh-CN"/>
        </w:rPr>
        <w:t>应急预案内容：</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建设单位应按照</w:t>
      </w:r>
      <w:r>
        <w:rPr>
          <w:b/>
          <w:bCs/>
          <w:szCs w:val="28"/>
          <w:u w:val="single"/>
        </w:rPr>
        <w:t>《突发环境事件应急管理办法》（环境保护部令第34号）；《突发环境事件调查处理办法》（环境保护部令第32号）</w:t>
      </w:r>
      <w:r>
        <w:rPr>
          <w:rFonts w:hint="eastAsia"/>
          <w:b/>
          <w:bCs/>
          <w:szCs w:val="28"/>
          <w:u w:val="single"/>
          <w:lang w:eastAsia="zh-CN"/>
        </w:rPr>
        <w:t>；</w:t>
      </w:r>
      <w:r>
        <w:rPr>
          <w:b/>
          <w:bCs/>
          <w:szCs w:val="28"/>
          <w:u w:val="single"/>
        </w:rPr>
        <w:t>《河南省</w:t>
      </w:r>
      <w:r>
        <w:rPr>
          <w:b/>
          <w:bCs/>
          <w:color w:val="000000"/>
          <w:szCs w:val="28"/>
          <w:u w:val="single"/>
          <w:shd w:val="clear" w:color="auto" w:fill="FFFFFF"/>
        </w:rPr>
        <w:t>企业事业单位突发环境事件应急预案备案管理办法（试行）</w:t>
      </w:r>
      <w:r>
        <w:rPr>
          <w:b/>
          <w:bCs/>
          <w:snapToGrid w:val="0"/>
          <w:szCs w:val="28"/>
          <w:u w:val="single"/>
        </w:rPr>
        <w:t>》（豫环文[2015]116号）</w:t>
      </w:r>
      <w:r>
        <w:rPr>
          <w:rFonts w:hint="eastAsia"/>
          <w:b/>
          <w:bCs/>
          <w:snapToGrid w:val="0"/>
          <w:szCs w:val="28"/>
          <w:u w:val="single"/>
        </w:rPr>
        <w:t>；</w:t>
      </w:r>
      <w:r>
        <w:rPr>
          <w:rFonts w:hint="eastAsia"/>
          <w:b/>
          <w:bCs/>
          <w:kern w:val="0"/>
          <w:szCs w:val="28"/>
          <w:u w:val="single"/>
        </w:rPr>
        <w:t>《河南省环境保护厅关于进一步加强突发环境事件应急预案管理工作的通知》（豫环文[</w:t>
      </w:r>
      <w:r>
        <w:rPr>
          <w:b/>
          <w:bCs/>
          <w:kern w:val="0"/>
          <w:szCs w:val="28"/>
          <w:u w:val="single"/>
        </w:rPr>
        <w:t>2018]57</w:t>
      </w:r>
      <w:r>
        <w:rPr>
          <w:rFonts w:hint="eastAsia"/>
          <w:b/>
          <w:bCs/>
          <w:kern w:val="0"/>
          <w:szCs w:val="28"/>
          <w:u w:val="single"/>
        </w:rPr>
        <w:t>号）</w:t>
      </w:r>
      <w:r>
        <w:rPr>
          <w:rFonts w:hint="default" w:ascii="Times New Roman" w:hAnsi="Times New Roman" w:eastAsia="TimesNewRomanPSMT" w:cs="Times New Roman"/>
          <w:sz w:val="24"/>
          <w:szCs w:val="21"/>
          <w:u w:val="none"/>
          <w:lang w:val="en-US" w:eastAsia="zh-CN"/>
        </w:rPr>
        <w:t>等相关规定，制定突发环境事件应急预案，并向</w:t>
      </w:r>
      <w:r>
        <w:rPr>
          <w:rFonts w:hint="eastAsia" w:eastAsia="TimesNewRomanPSMT" w:cs="Times New Roman"/>
          <w:sz w:val="24"/>
          <w:szCs w:val="21"/>
          <w:u w:val="none"/>
          <w:lang w:val="en-US" w:eastAsia="zh-CN"/>
        </w:rPr>
        <w:t>平顶山市生态环境局鲁山分局</w:t>
      </w:r>
      <w:r>
        <w:rPr>
          <w:rFonts w:hint="default" w:ascii="Times New Roman" w:hAnsi="Times New Roman" w:eastAsia="TimesNewRomanPSMT" w:cs="Times New Roman"/>
          <w:sz w:val="24"/>
          <w:szCs w:val="21"/>
          <w:u w:val="none"/>
          <w:lang w:val="en-US" w:eastAsia="zh-CN"/>
        </w:rPr>
        <w:t>备案。</w:t>
      </w:r>
    </w:p>
    <w:p>
      <w:pPr>
        <w:spacing w:line="520" w:lineRule="exact"/>
        <w:ind w:firstLine="480" w:firstLineChars="200"/>
        <w:jc w:val="left"/>
        <w:rPr>
          <w:rFonts w:hint="eastAsia"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应急预案的主要内容见下表</w:t>
      </w:r>
      <w:r>
        <w:rPr>
          <w:rFonts w:hint="eastAsia" w:ascii="Times New Roman" w:hAnsi="Times New Roman" w:eastAsia="TimesNewRomanPSMT" w:cs="Times New Roman"/>
          <w:sz w:val="24"/>
          <w:szCs w:val="21"/>
          <w:u w:val="none"/>
          <w:lang w:val="en-US" w:eastAsia="zh-CN"/>
        </w:rPr>
        <w:t>：</w:t>
      </w:r>
    </w:p>
    <w:p>
      <w:pPr>
        <w:spacing w:line="520" w:lineRule="exact"/>
        <w:ind w:firstLine="0" w:firstLineChars="0"/>
        <w:jc w:val="center"/>
        <w:rPr>
          <w:rFonts w:hint="default" w:ascii="Times New Roman" w:hAnsi="Times New Roman" w:eastAsia="黑体" w:cs="Times New Roman"/>
          <w:sz w:val="24"/>
          <w:szCs w:val="21"/>
          <w:u w:val="none"/>
          <w:lang w:val="en-US" w:eastAsia="zh-CN"/>
        </w:rPr>
      </w:pPr>
      <w:r>
        <w:rPr>
          <w:rFonts w:hint="default" w:ascii="Times New Roman" w:hAnsi="Times New Roman" w:eastAsia="黑体" w:cs="Times New Roman"/>
          <w:sz w:val="24"/>
          <w:szCs w:val="21"/>
          <w:u w:val="none"/>
          <w:lang w:val="en-US" w:eastAsia="zh-CN"/>
        </w:rPr>
        <w:t>表</w:t>
      </w:r>
      <w:r>
        <w:rPr>
          <w:rFonts w:hint="eastAsia" w:ascii="Times New Roman" w:hAnsi="Times New Roman" w:eastAsia="黑体" w:cs="Times New Roman"/>
          <w:sz w:val="24"/>
          <w:szCs w:val="21"/>
          <w:u w:val="none"/>
          <w:lang w:val="en-US" w:eastAsia="zh-CN"/>
        </w:rPr>
        <w:t xml:space="preserve">5-1    </w:t>
      </w:r>
      <w:r>
        <w:rPr>
          <w:rFonts w:hint="default" w:ascii="Times New Roman" w:hAnsi="Times New Roman" w:eastAsia="黑体" w:cs="Times New Roman"/>
          <w:sz w:val="24"/>
          <w:szCs w:val="21"/>
          <w:u w:val="none"/>
          <w:lang w:val="en-US" w:eastAsia="zh-CN"/>
        </w:rPr>
        <w:t xml:space="preserve"> 应急预案内容</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107"/>
        <w:gridCol w:w="6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序号</w:t>
            </w:r>
          </w:p>
        </w:tc>
        <w:tc>
          <w:tcPr>
            <w:tcW w:w="2107" w:type="dxa"/>
            <w:noWrap w:val="0"/>
            <w:vAlign w:val="center"/>
          </w:tcPr>
          <w:p>
            <w:pPr>
              <w:pStyle w:val="11"/>
              <w:bidi w:val="0"/>
              <w:rPr>
                <w:rFonts w:hint="default"/>
              </w:rPr>
            </w:pPr>
            <w:r>
              <w:rPr>
                <w:rFonts w:hint="default"/>
              </w:rPr>
              <w:t>项目</w:t>
            </w:r>
          </w:p>
        </w:tc>
        <w:tc>
          <w:tcPr>
            <w:tcW w:w="6159" w:type="dxa"/>
            <w:noWrap w:val="0"/>
            <w:vAlign w:val="center"/>
          </w:tcPr>
          <w:p>
            <w:pPr>
              <w:pStyle w:val="11"/>
              <w:bidi w:val="0"/>
              <w:rPr>
                <w:rFonts w:hint="default"/>
              </w:rPr>
            </w:pPr>
            <w:r>
              <w:rPr>
                <w:rFonts w:hint="default"/>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w:t>
            </w:r>
          </w:p>
        </w:tc>
        <w:tc>
          <w:tcPr>
            <w:tcW w:w="2107" w:type="dxa"/>
            <w:noWrap w:val="0"/>
            <w:vAlign w:val="center"/>
          </w:tcPr>
          <w:p>
            <w:pPr>
              <w:pStyle w:val="11"/>
              <w:bidi w:val="0"/>
              <w:rPr>
                <w:rFonts w:hint="default"/>
              </w:rPr>
            </w:pPr>
            <w:r>
              <w:rPr>
                <w:rFonts w:hint="default"/>
              </w:rPr>
              <w:t>危险源概况</w:t>
            </w:r>
          </w:p>
        </w:tc>
        <w:tc>
          <w:tcPr>
            <w:tcW w:w="6159" w:type="dxa"/>
            <w:noWrap w:val="0"/>
            <w:vAlign w:val="center"/>
          </w:tcPr>
          <w:p>
            <w:pPr>
              <w:pStyle w:val="11"/>
              <w:bidi w:val="0"/>
              <w:rPr>
                <w:rFonts w:hint="default"/>
              </w:rPr>
            </w:pPr>
            <w:r>
              <w:rPr>
                <w:rFonts w:hint="default"/>
              </w:rPr>
              <w:t>本项目主要危险源为储罐区</w:t>
            </w:r>
            <w:r>
              <w:rPr>
                <w:rFonts w:hint="eastAsia"/>
                <w:lang w:eastAsia="zh-CN"/>
              </w:rPr>
              <w:t>和加油岛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2</w:t>
            </w:r>
          </w:p>
        </w:tc>
        <w:tc>
          <w:tcPr>
            <w:tcW w:w="2107" w:type="dxa"/>
            <w:noWrap w:val="0"/>
            <w:vAlign w:val="center"/>
          </w:tcPr>
          <w:p>
            <w:pPr>
              <w:pStyle w:val="11"/>
              <w:bidi w:val="0"/>
              <w:rPr>
                <w:rFonts w:hint="default"/>
              </w:rPr>
            </w:pPr>
            <w:r>
              <w:rPr>
                <w:rFonts w:hint="default"/>
              </w:rPr>
              <w:t>应急计划区</w:t>
            </w:r>
          </w:p>
        </w:tc>
        <w:tc>
          <w:tcPr>
            <w:tcW w:w="6159" w:type="dxa"/>
            <w:noWrap w:val="0"/>
            <w:vAlign w:val="center"/>
          </w:tcPr>
          <w:p>
            <w:pPr>
              <w:pStyle w:val="11"/>
              <w:bidi w:val="0"/>
              <w:rPr>
                <w:rFonts w:hint="default"/>
              </w:rPr>
            </w:pPr>
            <w:r>
              <w:rPr>
                <w:rFonts w:hint="eastAsia"/>
                <w:lang w:eastAsia="zh-CN"/>
              </w:rPr>
              <w:t>危险目标：</w:t>
            </w:r>
            <w:r>
              <w:rPr>
                <w:rFonts w:hint="default"/>
              </w:rPr>
              <w:t>储罐区、</w:t>
            </w:r>
            <w:r>
              <w:rPr>
                <w:rFonts w:hint="eastAsia"/>
                <w:lang w:eastAsia="zh-CN"/>
              </w:rPr>
              <w:t>加油岛、邻近地区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3</w:t>
            </w:r>
          </w:p>
        </w:tc>
        <w:tc>
          <w:tcPr>
            <w:tcW w:w="2107" w:type="dxa"/>
            <w:noWrap w:val="0"/>
            <w:vAlign w:val="center"/>
          </w:tcPr>
          <w:p>
            <w:pPr>
              <w:pStyle w:val="11"/>
              <w:bidi w:val="0"/>
              <w:rPr>
                <w:rFonts w:hint="default"/>
              </w:rPr>
            </w:pPr>
            <w:r>
              <w:rPr>
                <w:rFonts w:hint="default"/>
              </w:rPr>
              <w:t>应急组织机构、人员</w:t>
            </w:r>
          </w:p>
        </w:tc>
        <w:tc>
          <w:tcPr>
            <w:tcW w:w="6159" w:type="dxa"/>
            <w:noWrap w:val="0"/>
            <w:vAlign w:val="center"/>
          </w:tcPr>
          <w:p>
            <w:pPr>
              <w:pStyle w:val="11"/>
              <w:bidi w:val="0"/>
              <w:rPr>
                <w:rFonts w:hint="default"/>
              </w:rPr>
            </w:pPr>
            <w:r>
              <w:rPr>
                <w:rFonts w:hint="default"/>
                <w:lang w:eastAsia="zh-CN"/>
              </w:rPr>
              <w:t>企业、 地区应急组织机构、 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4</w:t>
            </w:r>
          </w:p>
        </w:tc>
        <w:tc>
          <w:tcPr>
            <w:tcW w:w="2107" w:type="dxa"/>
            <w:noWrap w:val="0"/>
            <w:vAlign w:val="center"/>
          </w:tcPr>
          <w:p>
            <w:pPr>
              <w:pStyle w:val="11"/>
              <w:bidi w:val="0"/>
              <w:rPr>
                <w:rFonts w:hint="default"/>
              </w:rPr>
            </w:pPr>
            <w:r>
              <w:rPr>
                <w:rFonts w:hint="default"/>
              </w:rPr>
              <w:t>预案分级响应条件</w:t>
            </w:r>
          </w:p>
        </w:tc>
        <w:tc>
          <w:tcPr>
            <w:tcW w:w="6159" w:type="dxa"/>
            <w:noWrap w:val="0"/>
            <w:vAlign w:val="center"/>
          </w:tcPr>
          <w:p>
            <w:pPr>
              <w:pStyle w:val="11"/>
              <w:bidi w:val="0"/>
              <w:rPr>
                <w:rFonts w:hint="default"/>
              </w:rPr>
            </w:pPr>
            <w:r>
              <w:rPr>
                <w:rFonts w:hint="default"/>
              </w:rPr>
              <w:t>规定预案的级别及分级响应程序。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5</w:t>
            </w:r>
          </w:p>
        </w:tc>
        <w:tc>
          <w:tcPr>
            <w:tcW w:w="2107" w:type="dxa"/>
            <w:noWrap w:val="0"/>
            <w:vAlign w:val="center"/>
          </w:tcPr>
          <w:p>
            <w:pPr>
              <w:pStyle w:val="11"/>
              <w:bidi w:val="0"/>
              <w:rPr>
                <w:rFonts w:hint="default"/>
              </w:rPr>
            </w:pPr>
            <w:r>
              <w:rPr>
                <w:rFonts w:hint="default"/>
              </w:rPr>
              <w:t>应急救援保障</w:t>
            </w:r>
          </w:p>
        </w:tc>
        <w:tc>
          <w:tcPr>
            <w:tcW w:w="6159" w:type="dxa"/>
            <w:noWrap w:val="0"/>
            <w:vAlign w:val="center"/>
          </w:tcPr>
          <w:p>
            <w:pPr>
              <w:pStyle w:val="11"/>
              <w:bidi w:val="0"/>
              <w:rPr>
                <w:rFonts w:hint="default"/>
              </w:rPr>
            </w:pPr>
            <w:r>
              <w:rPr>
                <w:rFonts w:hint="default"/>
              </w:rPr>
              <w:t>事故现场：防火灾事故应急设施、设备与材料，主要为消防器材、消防服等；防有毒有害物质外溢、扩散，建立防火围墙。</w:t>
            </w:r>
          </w:p>
          <w:p>
            <w:pPr>
              <w:pStyle w:val="11"/>
              <w:bidi w:val="0"/>
              <w:rPr>
                <w:rFonts w:hint="default"/>
              </w:rPr>
            </w:pPr>
            <w:r>
              <w:rPr>
                <w:rFonts w:hint="default"/>
              </w:rPr>
              <w:t>临近地区：烧伤、中毒人员急救所用的一些药品、器材。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6</w:t>
            </w:r>
          </w:p>
        </w:tc>
        <w:tc>
          <w:tcPr>
            <w:tcW w:w="2107" w:type="dxa"/>
            <w:noWrap w:val="0"/>
            <w:vAlign w:val="center"/>
          </w:tcPr>
          <w:p>
            <w:pPr>
              <w:pStyle w:val="11"/>
              <w:bidi w:val="0"/>
              <w:rPr>
                <w:rFonts w:hint="default"/>
              </w:rPr>
            </w:pPr>
            <w:r>
              <w:rPr>
                <w:rFonts w:hint="default"/>
              </w:rPr>
              <w:t>报警、 通讯联络方式</w:t>
            </w:r>
          </w:p>
        </w:tc>
        <w:tc>
          <w:tcPr>
            <w:tcW w:w="6159" w:type="dxa"/>
            <w:noWrap w:val="0"/>
            <w:vAlign w:val="center"/>
          </w:tcPr>
          <w:p>
            <w:pPr>
              <w:pStyle w:val="11"/>
              <w:bidi w:val="0"/>
              <w:rPr>
                <w:rFonts w:hint="default"/>
              </w:rPr>
            </w:pPr>
            <w:r>
              <w:rPr>
                <w:rFonts w:hint="default"/>
              </w:rPr>
              <w:t>规定应急状态下的报警通讯方式、 通知方式和交通保障、 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7</w:t>
            </w:r>
          </w:p>
        </w:tc>
        <w:tc>
          <w:tcPr>
            <w:tcW w:w="2107" w:type="dxa"/>
            <w:noWrap w:val="0"/>
            <w:vAlign w:val="center"/>
          </w:tcPr>
          <w:p>
            <w:pPr>
              <w:pStyle w:val="11"/>
              <w:bidi w:val="0"/>
              <w:rPr>
                <w:rFonts w:hint="default"/>
              </w:rPr>
            </w:pPr>
            <w:r>
              <w:rPr>
                <w:rFonts w:hint="default"/>
              </w:rPr>
              <w:t>应急环境监测、 抢险、 救援及控制措施</w:t>
            </w:r>
          </w:p>
        </w:tc>
        <w:tc>
          <w:tcPr>
            <w:tcW w:w="6159" w:type="dxa"/>
            <w:noWrap w:val="0"/>
            <w:vAlign w:val="center"/>
          </w:tcPr>
          <w:p>
            <w:pPr>
              <w:pStyle w:val="11"/>
              <w:bidi w:val="0"/>
              <w:rPr>
                <w:rFonts w:hint="default"/>
              </w:rPr>
            </w:pPr>
            <w:r>
              <w:rPr>
                <w:rFonts w:hint="default"/>
              </w:rPr>
              <w:t>由专业队伍负责对事故现场进行侦察监测， 对事故性质、 参数</w:t>
            </w:r>
          </w:p>
          <w:p>
            <w:pPr>
              <w:pStyle w:val="11"/>
              <w:bidi w:val="0"/>
              <w:rPr>
                <w:rFonts w:hint="default"/>
              </w:rPr>
            </w:pPr>
            <w:r>
              <w:rPr>
                <w:rFonts w:hint="default"/>
              </w:rPr>
              <w:t>与后果进行评估， 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8</w:t>
            </w:r>
          </w:p>
        </w:tc>
        <w:tc>
          <w:tcPr>
            <w:tcW w:w="2107" w:type="dxa"/>
            <w:noWrap w:val="0"/>
            <w:vAlign w:val="center"/>
          </w:tcPr>
          <w:p>
            <w:pPr>
              <w:pStyle w:val="11"/>
              <w:bidi w:val="0"/>
              <w:rPr>
                <w:rFonts w:hint="default"/>
              </w:rPr>
            </w:pPr>
            <w:r>
              <w:rPr>
                <w:rFonts w:hint="default"/>
              </w:rPr>
              <w:t>应急</w:t>
            </w:r>
            <w:r>
              <w:rPr>
                <w:rFonts w:hint="eastAsia"/>
                <w:lang w:eastAsia="zh-CN"/>
              </w:rPr>
              <w:t>检测、</w:t>
            </w:r>
            <w:r>
              <w:rPr>
                <w:rFonts w:hint="default"/>
              </w:rPr>
              <w:t>防护措施、清除泄漏措施和器材</w:t>
            </w:r>
          </w:p>
        </w:tc>
        <w:tc>
          <w:tcPr>
            <w:tcW w:w="6159" w:type="dxa"/>
            <w:noWrap w:val="0"/>
            <w:vAlign w:val="center"/>
          </w:tcPr>
          <w:p>
            <w:pPr>
              <w:pStyle w:val="11"/>
              <w:bidi w:val="0"/>
              <w:rPr>
                <w:rFonts w:hint="eastAsia"/>
                <w:lang w:eastAsia="zh-CN"/>
              </w:rPr>
            </w:pPr>
            <w:r>
              <w:rPr>
                <w:rFonts w:hint="default"/>
              </w:rPr>
              <w:t>事故现场：控制事故、防止扩散、蔓延及连锁反应。清楚现场泄漏物，降低危害，相应的设施器材配备</w:t>
            </w:r>
            <w:r>
              <w:rPr>
                <w:rFonts w:hint="eastAsia"/>
                <w:lang w:eastAsia="zh-CN"/>
              </w:rPr>
              <w:t>。</w:t>
            </w:r>
          </w:p>
          <w:p>
            <w:pPr>
              <w:pStyle w:val="11"/>
              <w:bidi w:val="0"/>
              <w:rPr>
                <w:rFonts w:hint="eastAsia"/>
                <w:lang w:eastAsia="zh-CN"/>
              </w:rPr>
            </w:pPr>
            <w:r>
              <w:rPr>
                <w:rFonts w:hint="default"/>
              </w:rPr>
              <w:t>临近区：控制防火区域，控制和清除污染措施及相应设备配备</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9</w:t>
            </w:r>
          </w:p>
        </w:tc>
        <w:tc>
          <w:tcPr>
            <w:tcW w:w="2107" w:type="dxa"/>
            <w:noWrap w:val="0"/>
            <w:vAlign w:val="center"/>
          </w:tcPr>
          <w:p>
            <w:pPr>
              <w:pStyle w:val="11"/>
              <w:bidi w:val="0"/>
              <w:rPr>
                <w:rFonts w:hint="default"/>
              </w:rPr>
            </w:pPr>
            <w:r>
              <w:rPr>
                <w:rFonts w:hint="default"/>
              </w:rPr>
              <w:t>应急剂量控制、撤离组织计划、医疗救护与公众健康</w:t>
            </w:r>
          </w:p>
        </w:tc>
        <w:tc>
          <w:tcPr>
            <w:tcW w:w="6159" w:type="dxa"/>
            <w:noWrap w:val="0"/>
            <w:vAlign w:val="center"/>
          </w:tcPr>
          <w:p>
            <w:pPr>
              <w:pStyle w:val="11"/>
              <w:bidi w:val="0"/>
              <w:rPr>
                <w:rFonts w:hint="default"/>
              </w:rPr>
            </w:pPr>
            <w:r>
              <w:rPr>
                <w:rFonts w:hint="default"/>
              </w:rPr>
              <w:t>事故现场、邻近区、受事故影响的区域人员及公众对毒物应急剂量控制规定，撤离组织计划及救护，医疗救护与公众健康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10</w:t>
            </w:r>
          </w:p>
        </w:tc>
        <w:tc>
          <w:tcPr>
            <w:tcW w:w="2107" w:type="dxa"/>
            <w:noWrap w:val="0"/>
            <w:vAlign w:val="center"/>
          </w:tcPr>
          <w:p>
            <w:pPr>
              <w:pStyle w:val="11"/>
              <w:bidi w:val="0"/>
              <w:rPr>
                <w:rFonts w:hint="default"/>
              </w:rPr>
            </w:pPr>
            <w:r>
              <w:rPr>
                <w:rFonts w:hint="default"/>
              </w:rPr>
              <w:t>应急状态终止与恢复措施</w:t>
            </w:r>
          </w:p>
        </w:tc>
        <w:tc>
          <w:tcPr>
            <w:tcW w:w="6159" w:type="dxa"/>
            <w:noWrap w:val="0"/>
            <w:vAlign w:val="center"/>
          </w:tcPr>
          <w:p>
            <w:pPr>
              <w:pStyle w:val="11"/>
              <w:bidi w:val="0"/>
              <w:rPr>
                <w:rFonts w:hint="default"/>
              </w:rPr>
            </w:pPr>
            <w:r>
              <w:rPr>
                <w:rFonts w:hint="default"/>
              </w:rPr>
              <w:t>规定应急状态终止程序</w:t>
            </w:r>
            <w:r>
              <w:rPr>
                <w:rFonts w:hint="eastAsia"/>
                <w:lang w:eastAsia="zh-CN"/>
              </w:rPr>
              <w:t>；</w:t>
            </w:r>
            <w:r>
              <w:rPr>
                <w:rFonts w:hint="default"/>
              </w:rPr>
              <w:t>事故现场善后处理，恢复措施</w:t>
            </w:r>
          </w:p>
          <w:p>
            <w:pPr>
              <w:pStyle w:val="11"/>
              <w:bidi w:val="0"/>
              <w:rPr>
                <w:rFonts w:hint="default"/>
              </w:rPr>
            </w:pPr>
            <w:r>
              <w:rPr>
                <w:rFonts w:hint="default"/>
              </w:rPr>
              <w:t>临近</w:t>
            </w:r>
            <w:r>
              <w:rPr>
                <w:rFonts w:hint="eastAsia"/>
                <w:lang w:eastAsia="zh-CN"/>
              </w:rPr>
              <w:t>地</w:t>
            </w:r>
            <w:r>
              <w:rPr>
                <w:rFonts w:hint="default"/>
              </w:rPr>
              <w:t>区解除事故警界及善后恢复措施。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11</w:t>
            </w:r>
          </w:p>
        </w:tc>
        <w:tc>
          <w:tcPr>
            <w:tcW w:w="2107" w:type="dxa"/>
            <w:noWrap w:val="0"/>
            <w:vAlign w:val="center"/>
          </w:tcPr>
          <w:p>
            <w:pPr>
              <w:pStyle w:val="11"/>
              <w:bidi w:val="0"/>
              <w:rPr>
                <w:rFonts w:hint="default"/>
              </w:rPr>
            </w:pPr>
            <w:r>
              <w:rPr>
                <w:rFonts w:hint="default"/>
              </w:rPr>
              <w:t>人员培训与演练</w:t>
            </w:r>
          </w:p>
        </w:tc>
        <w:tc>
          <w:tcPr>
            <w:tcW w:w="6159" w:type="dxa"/>
            <w:noWrap w:val="0"/>
            <w:vAlign w:val="center"/>
          </w:tcPr>
          <w:p>
            <w:pPr>
              <w:pStyle w:val="11"/>
              <w:bidi w:val="0"/>
              <w:rPr>
                <w:rFonts w:hint="default"/>
              </w:rPr>
            </w:pPr>
            <w:r>
              <w:rPr>
                <w:rFonts w:hint="default"/>
              </w:rPr>
              <w:t>应急计划制定后，平时安排事故处理人员进行相关知识培训进行事故应急处理演习；对加油站内工人进行安全卫生教育。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12</w:t>
            </w:r>
          </w:p>
        </w:tc>
        <w:tc>
          <w:tcPr>
            <w:tcW w:w="2107" w:type="dxa"/>
            <w:noWrap w:val="0"/>
            <w:vAlign w:val="center"/>
          </w:tcPr>
          <w:p>
            <w:pPr>
              <w:pStyle w:val="11"/>
              <w:bidi w:val="0"/>
              <w:rPr>
                <w:rFonts w:hint="default"/>
              </w:rPr>
            </w:pPr>
            <w:r>
              <w:rPr>
                <w:rFonts w:hint="default"/>
              </w:rPr>
              <w:t>公众教育和信息</w:t>
            </w:r>
          </w:p>
        </w:tc>
        <w:tc>
          <w:tcPr>
            <w:tcW w:w="6159" w:type="dxa"/>
            <w:noWrap w:val="0"/>
            <w:vAlign w:val="center"/>
          </w:tcPr>
          <w:p>
            <w:pPr>
              <w:pStyle w:val="11"/>
              <w:bidi w:val="0"/>
              <w:rPr>
                <w:rFonts w:hint="default"/>
              </w:rPr>
            </w:pPr>
            <w:r>
              <w:rPr>
                <w:rFonts w:hint="default"/>
              </w:rPr>
              <w:t>对加油站临近地区开展公众教育、培训和发布有关信息。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1"/>
              <w:bidi w:val="0"/>
              <w:rPr>
                <w:rFonts w:hint="default"/>
              </w:rPr>
            </w:pPr>
            <w:r>
              <w:rPr>
                <w:rFonts w:hint="default"/>
              </w:rPr>
              <w:t>13</w:t>
            </w:r>
          </w:p>
        </w:tc>
        <w:tc>
          <w:tcPr>
            <w:tcW w:w="2107" w:type="dxa"/>
            <w:noWrap w:val="0"/>
            <w:vAlign w:val="center"/>
          </w:tcPr>
          <w:p>
            <w:pPr>
              <w:pStyle w:val="11"/>
              <w:bidi w:val="0"/>
              <w:rPr>
                <w:rFonts w:hint="default"/>
              </w:rPr>
            </w:pPr>
            <w:r>
              <w:rPr>
                <w:rFonts w:hint="default"/>
              </w:rPr>
              <w:t>记录和报告</w:t>
            </w:r>
          </w:p>
        </w:tc>
        <w:tc>
          <w:tcPr>
            <w:tcW w:w="6159" w:type="dxa"/>
            <w:noWrap w:val="0"/>
            <w:vAlign w:val="center"/>
          </w:tcPr>
          <w:p>
            <w:pPr>
              <w:pStyle w:val="11"/>
              <w:bidi w:val="0"/>
              <w:rPr>
                <w:rFonts w:hint="default"/>
              </w:rPr>
            </w:pPr>
            <w:r>
              <w:rPr>
                <w:rFonts w:hint="default"/>
              </w:rPr>
              <w:t>设置应急事故专门记录，见档案和专门报告制度，设专门部门负责管理。</w:t>
            </w:r>
          </w:p>
        </w:tc>
      </w:tr>
    </w:tbl>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黑体" w:cs="Times New Roman"/>
          <w:szCs w:val="21"/>
          <w:u w:val="none"/>
        </w:rPr>
      </w:pPr>
      <w:r>
        <w:rPr>
          <w:rFonts w:hint="eastAsia"/>
        </w:rPr>
        <w:t>表</w:t>
      </w:r>
      <w:r>
        <w:rPr>
          <w:rFonts w:hint="eastAsia"/>
          <w:lang w:val="en-US" w:eastAsia="zh-CN"/>
        </w:rPr>
        <w:t>5-2</w:t>
      </w:r>
      <w:r>
        <w:rPr>
          <w:rFonts w:hint="eastAsia"/>
        </w:rPr>
        <w:t xml:space="preserve">  本项目拟建的应急事故预案防范措施一览表</w:t>
      </w:r>
    </w:p>
    <w:tbl>
      <w:tblPr>
        <w:tblStyle w:val="22"/>
        <w:tblW w:w="894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66"/>
        <w:gridCol w:w="979"/>
        <w:gridCol w:w="54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default"/>
              </w:rPr>
            </w:pPr>
            <w:r>
              <w:rPr>
                <w:rFonts w:hint="default"/>
              </w:rPr>
              <w:t>序号</w:t>
            </w:r>
          </w:p>
        </w:tc>
        <w:tc>
          <w:tcPr>
            <w:tcW w:w="1766" w:type="dxa"/>
            <w:noWrap w:val="0"/>
            <w:vAlign w:val="center"/>
          </w:tcPr>
          <w:p>
            <w:pPr>
              <w:pStyle w:val="11"/>
              <w:bidi w:val="0"/>
              <w:rPr>
                <w:rFonts w:hint="default"/>
              </w:rPr>
            </w:pPr>
            <w:r>
              <w:rPr>
                <w:rFonts w:hint="default"/>
              </w:rPr>
              <w:t>项目</w:t>
            </w:r>
          </w:p>
        </w:tc>
        <w:tc>
          <w:tcPr>
            <w:tcW w:w="979" w:type="dxa"/>
            <w:noWrap w:val="0"/>
            <w:vAlign w:val="center"/>
          </w:tcPr>
          <w:p>
            <w:pPr>
              <w:pStyle w:val="11"/>
              <w:bidi w:val="0"/>
              <w:rPr>
                <w:rFonts w:hint="default"/>
              </w:rPr>
            </w:pPr>
            <w:r>
              <w:rPr>
                <w:rFonts w:hint="default"/>
              </w:rPr>
              <w:t>规模</w:t>
            </w:r>
          </w:p>
        </w:tc>
        <w:tc>
          <w:tcPr>
            <w:tcW w:w="5485" w:type="dxa"/>
            <w:noWrap w:val="0"/>
            <w:vAlign w:val="center"/>
          </w:tcPr>
          <w:p>
            <w:pPr>
              <w:pStyle w:val="11"/>
              <w:bidi w:val="0"/>
              <w:rPr>
                <w:rFonts w:hint="default"/>
              </w:rPr>
            </w:pPr>
            <w:r>
              <w:rPr>
                <w:rFonts w:hint="default"/>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default"/>
              </w:rPr>
            </w:pPr>
            <w:r>
              <w:rPr>
                <w:rFonts w:hint="default"/>
              </w:rPr>
              <w:t>1</w:t>
            </w:r>
          </w:p>
        </w:tc>
        <w:tc>
          <w:tcPr>
            <w:tcW w:w="1766" w:type="dxa"/>
            <w:noWrap w:val="0"/>
            <w:vAlign w:val="center"/>
          </w:tcPr>
          <w:p>
            <w:pPr>
              <w:pStyle w:val="11"/>
              <w:bidi w:val="0"/>
              <w:rPr>
                <w:rFonts w:hint="default"/>
              </w:rPr>
            </w:pPr>
            <w:r>
              <w:rPr>
                <w:rFonts w:hint="default"/>
              </w:rPr>
              <w:t>排水系统</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eastAsia"/>
                <w:lang w:eastAsia="zh-CN"/>
              </w:rPr>
              <w:t>建设有</w:t>
            </w:r>
            <w:r>
              <w:rPr>
                <w:rFonts w:hint="eastAsia"/>
                <w:lang w:val="en-US" w:eastAsia="zh-CN"/>
              </w:rPr>
              <w:t>1座</w:t>
            </w:r>
            <w:r>
              <w:rPr>
                <w:rFonts w:hint="eastAsia"/>
                <w:lang w:eastAsia="zh-CN"/>
              </w:rPr>
              <w:t>初期雨水收集池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3</w:t>
            </w:r>
          </w:p>
        </w:tc>
        <w:tc>
          <w:tcPr>
            <w:tcW w:w="1766" w:type="dxa"/>
            <w:noWrap w:val="0"/>
            <w:vAlign w:val="center"/>
          </w:tcPr>
          <w:p>
            <w:pPr>
              <w:pStyle w:val="11"/>
              <w:bidi w:val="0"/>
              <w:rPr>
                <w:rFonts w:hint="default"/>
              </w:rPr>
            </w:pPr>
            <w:r>
              <w:rPr>
                <w:rFonts w:hint="default"/>
              </w:rPr>
              <w:t>卫生防护设施</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default"/>
              </w:rPr>
              <w:t>均按规定配备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4</w:t>
            </w:r>
          </w:p>
        </w:tc>
        <w:tc>
          <w:tcPr>
            <w:tcW w:w="1766" w:type="dxa"/>
            <w:noWrap w:val="0"/>
            <w:vAlign w:val="center"/>
          </w:tcPr>
          <w:p>
            <w:pPr>
              <w:pStyle w:val="11"/>
              <w:bidi w:val="0"/>
              <w:rPr>
                <w:rFonts w:hint="default"/>
              </w:rPr>
            </w:pPr>
            <w:r>
              <w:rPr>
                <w:rFonts w:hint="default"/>
              </w:rPr>
              <w:t>人员培训与演练</w:t>
            </w:r>
          </w:p>
        </w:tc>
        <w:tc>
          <w:tcPr>
            <w:tcW w:w="979" w:type="dxa"/>
            <w:noWrap w:val="0"/>
            <w:vAlign w:val="center"/>
          </w:tcPr>
          <w:p>
            <w:pPr>
              <w:pStyle w:val="11"/>
              <w:bidi w:val="0"/>
              <w:rPr>
                <w:rFonts w:hint="default"/>
              </w:rPr>
            </w:pPr>
            <w:r>
              <w:rPr>
                <w:rFonts w:hint="default"/>
              </w:rPr>
              <w:t>/</w:t>
            </w:r>
          </w:p>
        </w:tc>
        <w:tc>
          <w:tcPr>
            <w:tcW w:w="5485" w:type="dxa"/>
            <w:noWrap w:val="0"/>
            <w:vAlign w:val="center"/>
          </w:tcPr>
          <w:p>
            <w:pPr>
              <w:pStyle w:val="11"/>
              <w:bidi w:val="0"/>
              <w:rPr>
                <w:rFonts w:hint="default"/>
              </w:rPr>
            </w:pPr>
            <w:r>
              <w:rPr>
                <w:rFonts w:hint="default"/>
              </w:rPr>
              <w:t>平时安排事故处理人员进行相关知识培训进行事故应急处理演习；对液化气站内工人进行安全卫生教育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1"/>
              <w:bidi w:val="0"/>
              <w:rPr>
                <w:rFonts w:hint="eastAsia"/>
                <w:lang w:eastAsia="zh-CN"/>
              </w:rPr>
            </w:pPr>
            <w:r>
              <w:rPr>
                <w:rFonts w:hint="eastAsia"/>
                <w:lang w:val="en-US" w:eastAsia="zh-CN"/>
              </w:rPr>
              <w:t>5</w:t>
            </w:r>
          </w:p>
        </w:tc>
        <w:tc>
          <w:tcPr>
            <w:tcW w:w="1766" w:type="dxa"/>
            <w:noWrap w:val="0"/>
            <w:vAlign w:val="center"/>
          </w:tcPr>
          <w:p>
            <w:pPr>
              <w:pStyle w:val="11"/>
              <w:bidi w:val="0"/>
              <w:rPr>
                <w:rFonts w:hint="default"/>
              </w:rPr>
            </w:pPr>
            <w:r>
              <w:rPr>
                <w:rFonts w:hint="default"/>
              </w:rPr>
              <w:t>应急通讯、通知和交通</w:t>
            </w:r>
          </w:p>
        </w:tc>
        <w:tc>
          <w:tcPr>
            <w:tcW w:w="979" w:type="dxa"/>
            <w:noWrap w:val="0"/>
            <w:vAlign w:val="center"/>
          </w:tcPr>
          <w:p>
            <w:pPr>
              <w:pStyle w:val="11"/>
              <w:bidi w:val="0"/>
              <w:rPr>
                <w:rFonts w:hint="default"/>
              </w:rPr>
            </w:pPr>
            <w:r>
              <w:rPr>
                <w:rFonts w:hint="default"/>
              </w:rPr>
              <w:t>应急电话一部</w:t>
            </w:r>
          </w:p>
        </w:tc>
        <w:tc>
          <w:tcPr>
            <w:tcW w:w="5485" w:type="dxa"/>
            <w:noWrap w:val="0"/>
            <w:vAlign w:val="center"/>
          </w:tcPr>
          <w:p>
            <w:pPr>
              <w:pStyle w:val="11"/>
              <w:bidi w:val="0"/>
              <w:rPr>
                <w:rFonts w:hint="default"/>
              </w:rPr>
            </w:pPr>
            <w:r>
              <w:rPr>
                <w:rFonts w:hint="default"/>
              </w:rPr>
              <w:t>便于发生事故时和外界联系</w:t>
            </w:r>
          </w:p>
        </w:tc>
      </w:tr>
    </w:tbl>
    <w:p>
      <w:pPr>
        <w:spacing w:line="520" w:lineRule="exact"/>
        <w:ind w:firstLine="480" w:firstLineChars="200"/>
        <w:jc w:val="center"/>
        <w:rPr>
          <w:rFonts w:hint="eastAsia" w:ascii="Times New Roman" w:hAnsi="Times New Roman" w:cs="Times New Roman" w:eastAsiaTheme="minorEastAsia"/>
          <w:sz w:val="24"/>
          <w:szCs w:val="21"/>
          <w:u w:val="none"/>
          <w:lang w:eastAsia="zh-CN"/>
        </w:rPr>
      </w:pPr>
    </w:p>
    <w:p>
      <w:pPr>
        <w:spacing w:line="520" w:lineRule="exact"/>
        <w:ind w:firstLine="480" w:firstLineChars="200"/>
        <w:jc w:val="center"/>
        <w:rPr>
          <w:rFonts w:hint="eastAsia" w:ascii="Times New Roman" w:hAnsi="Times New Roman" w:cs="Times New Roman" w:eastAsiaTheme="minorEastAsia"/>
          <w:sz w:val="24"/>
          <w:szCs w:val="21"/>
          <w:u w:val="none"/>
          <w:lang w:eastAsia="zh-CN"/>
        </w:rPr>
      </w:pPr>
    </w:p>
    <w:p>
      <w:pPr>
        <w:spacing w:line="520" w:lineRule="exact"/>
        <w:ind w:firstLine="480" w:firstLineChars="200"/>
        <w:jc w:val="center"/>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eastAsia="zh-CN"/>
        </w:rPr>
        <w:t>表</w:t>
      </w:r>
      <w:r>
        <w:rPr>
          <w:rFonts w:hint="eastAsia" w:ascii="Times New Roman" w:hAnsi="Times New Roman" w:cs="Times New Roman" w:eastAsiaTheme="minorEastAsia"/>
          <w:sz w:val="24"/>
          <w:szCs w:val="21"/>
          <w:u w:val="none"/>
          <w:lang w:val="en-US" w:eastAsia="zh-CN"/>
        </w:rPr>
        <w:t>5-4    消防设施一览表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10"/>
        <w:gridCol w:w="2118"/>
        <w:gridCol w:w="3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pStyle w:val="11"/>
              <w:bidi w:val="0"/>
              <w:jc w:val="center"/>
              <w:rPr>
                <w:rFonts w:hint="eastAsia"/>
                <w:lang w:eastAsia="zh-CN"/>
              </w:rPr>
            </w:pPr>
            <w:r>
              <w:rPr>
                <w:rFonts w:hint="eastAsia"/>
                <w:lang w:eastAsia="zh-CN"/>
              </w:rPr>
              <w:t>名称</w:t>
            </w:r>
          </w:p>
        </w:tc>
        <w:tc>
          <w:tcPr>
            <w:tcW w:w="1243" w:type="pct"/>
            <w:tcBorders>
              <w:tl2br w:val="nil"/>
              <w:tr2bl w:val="nil"/>
            </w:tcBorders>
            <w:shd w:val="clear" w:color="auto" w:fill="auto"/>
            <w:vAlign w:val="center"/>
          </w:tcPr>
          <w:p>
            <w:pPr>
              <w:pStyle w:val="11"/>
              <w:bidi w:val="0"/>
              <w:jc w:val="center"/>
              <w:rPr>
                <w:rFonts w:hint="eastAsia"/>
                <w:lang w:eastAsia="zh-CN"/>
              </w:rPr>
            </w:pPr>
            <w:r>
              <w:rPr>
                <w:rFonts w:hint="eastAsia"/>
                <w:lang w:eastAsia="zh-CN"/>
              </w:rPr>
              <w:t>型号</w:t>
            </w:r>
          </w:p>
        </w:tc>
        <w:tc>
          <w:tcPr>
            <w:tcW w:w="2283" w:type="pct"/>
            <w:tcBorders>
              <w:tl2br w:val="nil"/>
              <w:tr2bl w:val="nil"/>
            </w:tcBorders>
            <w:shd w:val="clear" w:color="auto" w:fill="auto"/>
            <w:vAlign w:val="center"/>
          </w:tcPr>
          <w:p>
            <w:pPr>
              <w:pStyle w:val="11"/>
              <w:bidi w:val="0"/>
              <w:jc w:val="center"/>
              <w:rPr>
                <w:rFonts w:hint="default"/>
                <w:lang w:val="en-US" w:eastAsia="zh-CN"/>
              </w:rPr>
            </w:pPr>
            <w:r>
              <w:rPr>
                <w:rFonts w:hint="eastAsia"/>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灭火沙池</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干粉灭火器</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lang w:eastAsia="zh-CN"/>
              </w:rPr>
            </w:pP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35kg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lang w:eastAsia="zh-CN"/>
              </w:rPr>
            </w:pP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5kg</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消防桶</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消防铲</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sz w:val="21"/>
                <w:szCs w:val="21"/>
              </w:rPr>
            </w:pPr>
            <w:r>
              <w:rPr>
                <w:rFonts w:hint="eastAsia" w:ascii="Times New Roman" w:hAnsi="Times New Roman" w:cs="Times New Roman"/>
                <w:sz w:val="21"/>
                <w:szCs w:val="21"/>
                <w:lang w:eastAsia="zh-CN"/>
              </w:rPr>
              <w:t>静电阻隔报警系统</w:t>
            </w:r>
          </w:p>
        </w:tc>
        <w:tc>
          <w:tcPr>
            <w:tcW w:w="124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eastAsia" w:cs="Times New Roman"/>
                <w:sz w:val="21"/>
                <w:szCs w:val="21"/>
                <w:lang w:val="en-US" w:eastAsia="zh-CN"/>
              </w:rPr>
            </w:pPr>
            <w:r>
              <w:rPr>
                <w:rFonts w:hint="eastAsia" w:ascii="Times New Roman" w:hAnsi="Times New Roman" w:cs="Times New Roman"/>
                <w:sz w:val="21"/>
                <w:szCs w:val="21"/>
                <w:lang w:val="en-US" w:eastAsia="zh-CN"/>
              </w:rPr>
              <w:t>/</w:t>
            </w:r>
          </w:p>
        </w:tc>
        <w:tc>
          <w:tcPr>
            <w:tcW w:w="2283"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ascii="Times New Roman" w:hAnsi="Times New Roman" w:eastAsia="宋体" w:cs="Times New Roman"/>
                <w:sz w:val="21"/>
                <w:szCs w:val="21"/>
              </w:rPr>
            </w:pPr>
            <w:r>
              <w:rPr>
                <w:rFonts w:hint="eastAsia" w:ascii="Times New Roman" w:hAnsi="Times New Roman" w:cs="Times New Roman"/>
                <w:sz w:val="21"/>
                <w:szCs w:val="21"/>
                <w:lang w:val="en-US" w:eastAsia="zh-CN"/>
              </w:rPr>
              <w:t>1套</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由以上</w:t>
      </w:r>
      <w:r>
        <w:rPr>
          <w:rFonts w:hint="eastAsia" w:ascii="Times New Roman" w:hAnsi="Times New Roman" w:cs="Times New Roman" w:eastAsiaTheme="minorEastAsia"/>
          <w:sz w:val="24"/>
          <w:szCs w:val="21"/>
          <w:u w:val="none"/>
          <w:lang w:eastAsia="zh-CN"/>
        </w:rPr>
        <w:t>三</w:t>
      </w:r>
      <w:r>
        <w:rPr>
          <w:rFonts w:hint="default" w:ascii="Times New Roman" w:hAnsi="Times New Roman" w:cs="Times New Roman" w:eastAsiaTheme="minorEastAsia"/>
          <w:sz w:val="24"/>
          <w:szCs w:val="21"/>
          <w:u w:val="none"/>
        </w:rPr>
        <w:t>个表可知，本项目拟建的应急事故预案防范措施已基本符合突发事故应急预案表，但是各步骤还需加强管理与运行维护，以减少发生危险的因素。</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6</w:t>
      </w:r>
      <w:r>
        <w:rPr>
          <w:rFonts w:hint="default" w:ascii="Times New Roman" w:hAnsi="Times New Roman" w:cs="Times New Roman" w:eastAsiaTheme="minorEastAsia"/>
          <w:b/>
          <w:bCs/>
          <w:sz w:val="28"/>
          <w:szCs w:val="22"/>
          <w:u w:val="none"/>
          <w:lang w:val="en-US" w:eastAsia="zh-CN"/>
        </w:rPr>
        <w:t>、评价结论与建议</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（1）结论：</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a.</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本项目涉及易燃易爆物质，生产设备处在常温常压条件下，具有一定的潜在危险性。</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本项目的主要潜在风险事故为泄露和火灾爆炸，但其最大风险值属于可接受水平。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经本次风险分析，拟建项目存在一定潜在风险，但只要将本评价中制定的相关应急预案及防治措施落实后，可将该项目风险值降到最低。</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（2）建议：</w:t>
      </w:r>
    </w:p>
    <w:p>
      <w:pPr>
        <w:spacing w:line="520" w:lineRule="exact"/>
        <w:ind w:firstLine="480" w:firstLineChars="200"/>
        <w:jc w:val="left"/>
        <w:rPr>
          <w:rFonts w:hint="default" w:ascii="Times New Roman" w:hAnsi="Times New Roman" w:cs="Times New Roman" w:eastAsiaTheme="minorEastAsia"/>
          <w:sz w:val="24"/>
          <w:szCs w:val="21"/>
          <w:u w:val="single"/>
        </w:rPr>
      </w:pPr>
      <w:r>
        <w:rPr>
          <w:rFonts w:hint="default" w:ascii="Times New Roman" w:hAnsi="Times New Roman" w:eastAsia="TimesNewRomanPSMT" w:cs="Times New Roman"/>
          <w:sz w:val="24"/>
          <w:szCs w:val="21"/>
          <w:u w:val="none"/>
        </w:rPr>
        <w:t>a.</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本项目具有潜在的事故风险，虽然其风险值处于可接受水平，但企业也不能掉以轻心，应从建设、生产、储运等方面积极采取防护措施。企业必须采取本评价提出的相关风险防范措施，以防止潜在风险事故地发生。</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b.</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为了防范事故和减少危害，需根据企业实际情况制定灾害事故的应急预案。当出现事故时，采取紧急的工程应急措施，以控制事故和减少对环境造成的危害。</w:t>
      </w:r>
    </w:p>
    <w:p>
      <w:pPr>
        <w:pStyle w:val="2"/>
        <w:ind w:left="0" w:leftChars="0" w:firstLine="0" w:firstLineChars="0"/>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c.</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控制装载量：所有装载前，查清可装载的安全容量，每次装载控制在安全容量以下。</w:t>
      </w:r>
    </w:p>
    <w:p>
      <w:pPr>
        <w:pStyle w:val="2"/>
        <w:ind w:left="0" w:leftChars="0" w:firstLine="0" w:firstLineChars="0"/>
        <w:rPr>
          <w:rFonts w:hint="default" w:ascii="Times New Roman" w:hAnsi="Times New Roman" w:eastAsia="TimesNewRomanPSMT" w:cs="Times New Roman"/>
          <w:sz w:val="24"/>
          <w:szCs w:val="21"/>
          <w:u w:val="none"/>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2"/>
        <w:ind w:left="0" w:leftChars="0" w:firstLine="0" w:firstLineChars="0"/>
        <w:rPr>
          <w:rFonts w:hint="default" w:ascii="Times New Roman" w:hAnsi="Times New Roman" w:eastAsia="TimesNewRomanPSMT" w:cs="Times New Roman"/>
          <w:sz w:val="24"/>
          <w:szCs w:val="21"/>
          <w:u w:val="none"/>
        </w:rPr>
      </w:pPr>
    </w:p>
    <w:p>
      <w:pPr>
        <w:rPr>
          <w:rFonts w:hint="default" w:ascii="Times New Roman" w:hAnsi="Times New Roman" w:eastAsia="TimesNewRomanPSMT" w:cs="Times New Roman"/>
          <w:sz w:val="24"/>
          <w:szCs w:val="21"/>
          <w:u w:val="none"/>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rFonts w:hint="eastAsia"/>
          <w:b/>
          <w:sz w:val="28"/>
          <w:szCs w:val="28"/>
        </w:rPr>
      </w:pPr>
      <w:r>
        <w:rPr>
          <w:sz w:val="21"/>
        </w:rPr>
        <mc:AlternateContent>
          <mc:Choice Requires="wps">
            <w:drawing>
              <wp:anchor distT="0" distB="0" distL="114300" distR="114300" simplePos="0" relativeHeight="843663360" behindDoc="0" locked="0" layoutInCell="1" allowOverlap="1">
                <wp:simplePos x="0" y="0"/>
                <wp:positionH relativeFrom="column">
                  <wp:posOffset>1405890</wp:posOffset>
                </wp:positionH>
                <wp:positionV relativeFrom="paragraph">
                  <wp:posOffset>2706370</wp:posOffset>
                </wp:positionV>
                <wp:extent cx="685800" cy="304800"/>
                <wp:effectExtent l="4445" t="4445" r="33655" b="414655"/>
                <wp:wrapNone/>
                <wp:docPr id="30" name="矩形标注 30"/>
                <wp:cNvGraphicFramePr/>
                <a:graphic xmlns:a="http://schemas.openxmlformats.org/drawingml/2006/main">
                  <a:graphicData uri="http://schemas.microsoft.com/office/word/2010/wordprocessingShape">
                    <wps:wsp>
                      <wps:cNvSpPr/>
                      <wps:spPr>
                        <a:xfrm>
                          <a:off x="0" y="0"/>
                          <a:ext cx="685800" cy="304800"/>
                        </a:xfrm>
                        <a:prstGeom prst="wedgeRectCallout">
                          <a:avLst>
                            <a:gd name="adj1" fmla="val 51019"/>
                            <a:gd name="adj2" fmla="val 174792"/>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auto"/>
                                <w:lang w:val="en-US" w:eastAsia="zh-CN"/>
                              </w:rPr>
                              <w:t>本项目</w:t>
                            </w:r>
                          </w:p>
                        </w:txbxContent>
                      </wps:txbx>
                      <wps:bodyPr upright="1"/>
                    </wps:wsp>
                  </a:graphicData>
                </a:graphic>
              </wp:anchor>
            </w:drawing>
          </mc:Choice>
          <mc:Fallback>
            <w:pict>
              <v:shape id="_x0000_s1026" o:spid="_x0000_s1026" o:spt="61" type="#_x0000_t61" style="position:absolute;left:0pt;margin-left:110.7pt;margin-top:213.1pt;height:24pt;width:54pt;z-index:843663360;mso-width-relative:page;mso-height-relative:page;" fillcolor="#FFFFFF" filled="t" stroked="t" coordsize="21600,21600" o:gfxdata="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QyObTZAAAACwEAAA8AAAAAAAAAAQAgAAAAIgAAAGRycy9kb3du&#10;cmV2LnhtbFBLAQIUABQAAAAIAIdO4kCXDIoaNwIAAI4EAAAOAAAAAAAAAAEAIAAAACgBAABkcnMv&#10;ZTJvRG9jLnhtbFBLBQYAAAAABgAGAFkBAADRBQAAAAA=&#10;" adj="21820,48555">
                <v:fill on="t" focussize="0,0"/>
                <v:stroke color="#000000" joinstyle="miter"/>
                <v:imagedata o:title=""/>
                <o:lock v:ext="edit" aspectratio="f"/>
                <v:textbox>
                  <w:txbxContent>
                    <w:p>
                      <w:pPr>
                        <w:rPr>
                          <w:rFonts w:hint="eastAsia" w:eastAsia="宋体"/>
                          <w:color w:val="FF0000"/>
                          <w:lang w:val="en-US" w:eastAsia="zh-CN"/>
                        </w:rPr>
                      </w:pPr>
                      <w:r>
                        <w:rPr>
                          <w:rFonts w:hint="eastAsia"/>
                          <w:color w:val="auto"/>
                          <w:lang w:val="en-US" w:eastAsia="zh-CN"/>
                        </w:rPr>
                        <w:t>本项目</w:t>
                      </w:r>
                    </w:p>
                  </w:txbxContent>
                </v:textbox>
              </v:shape>
            </w:pict>
          </mc:Fallback>
        </mc:AlternateContent>
      </w:r>
      <w:r>
        <w:rPr>
          <w:sz w:val="21"/>
        </w:rPr>
        <w:drawing>
          <wp:anchor distT="0" distB="0" distL="114300" distR="114300" simplePos="0" relativeHeight="843664384" behindDoc="0" locked="0" layoutInCell="1" allowOverlap="1">
            <wp:simplePos x="0" y="0"/>
            <wp:positionH relativeFrom="column">
              <wp:posOffset>7807960</wp:posOffset>
            </wp:positionH>
            <wp:positionV relativeFrom="paragraph">
              <wp:posOffset>49530</wp:posOffset>
            </wp:positionV>
            <wp:extent cx="1016635" cy="1079500"/>
            <wp:effectExtent l="0" t="0" r="12065" b="6350"/>
            <wp:wrapNone/>
            <wp:docPr id="31" name="图片 3" descr="1605168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605168567(1)"/>
                    <pic:cNvPicPr>
                      <a:picLocks noChangeAspect="1"/>
                    </pic:cNvPicPr>
                  </pic:nvPicPr>
                  <pic:blipFill>
                    <a:blip r:embed="rId30"/>
                    <a:stretch>
                      <a:fillRect/>
                    </a:stretch>
                  </pic:blipFill>
                  <pic:spPr>
                    <a:xfrm>
                      <a:off x="0" y="0"/>
                      <a:ext cx="1016635" cy="1079500"/>
                    </a:xfrm>
                    <a:prstGeom prst="rect">
                      <a:avLst/>
                    </a:prstGeom>
                    <a:noFill/>
                    <a:ln>
                      <a:noFill/>
                    </a:ln>
                  </pic:spPr>
                </pic:pic>
              </a:graphicData>
            </a:graphic>
          </wp:anchor>
        </w:drawing>
      </w:r>
      <w:r>
        <w:rPr>
          <w:b/>
          <w:sz w:val="28"/>
          <w:szCs w:val="28"/>
          <w:lang w:val="zh-CN"/>
        </w:rPr>
        <w:drawing>
          <wp:inline distT="0" distB="0" distL="114300" distR="114300">
            <wp:extent cx="8813800" cy="5488940"/>
            <wp:effectExtent l="0" t="0" r="6350" b="16510"/>
            <wp:docPr id="32" name="图片 1" descr="鲁山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鲁山地图"/>
                    <pic:cNvPicPr>
                      <a:picLocks noChangeAspect="1"/>
                    </pic:cNvPicPr>
                  </pic:nvPicPr>
                  <pic:blipFill>
                    <a:blip r:embed="rId31"/>
                    <a:stretch>
                      <a:fillRect/>
                    </a:stretch>
                  </pic:blipFill>
                  <pic:spPr>
                    <a:xfrm>
                      <a:off x="0" y="0"/>
                      <a:ext cx="8813800" cy="5488940"/>
                    </a:xfrm>
                    <a:prstGeom prst="rect">
                      <a:avLst/>
                    </a:prstGeom>
                    <a:noFill/>
                    <a:ln>
                      <a:noFill/>
                    </a:ln>
                  </pic:spPr>
                </pic:pic>
              </a:graphicData>
            </a:graphic>
          </wp:inline>
        </w:drawing>
      </w:r>
      <w:r>
        <w:rPr>
          <w:rFonts w:hint="eastAsia"/>
          <w:b/>
          <w:bCs/>
          <w:sz w:val="30"/>
          <w:szCs w:val="30"/>
        </w:rPr>
        <w:t>附图</w:t>
      </w:r>
      <w:r>
        <w:rPr>
          <w:rFonts w:hint="default" w:ascii="Times New Roman" w:hAnsi="Times New Roman" w:cs="Times New Roman"/>
          <w:b/>
          <w:bCs/>
          <w:sz w:val="30"/>
          <w:szCs w:val="30"/>
        </w:rPr>
        <w:t>1</w:t>
      </w:r>
      <w:r>
        <w:rPr>
          <w:rFonts w:hint="eastAsia"/>
          <w:b/>
          <w:bCs/>
          <w:sz w:val="30"/>
          <w:szCs w:val="30"/>
        </w:rPr>
        <w:t>：</w:t>
      </w:r>
      <w:r>
        <w:rPr>
          <w:rFonts w:hint="eastAsia"/>
          <w:b/>
          <w:bCs/>
          <w:sz w:val="28"/>
          <w:szCs w:val="28"/>
          <w:lang w:eastAsia="zh-CN"/>
        </w:rPr>
        <w:t>项目</w:t>
      </w:r>
      <w:r>
        <w:rPr>
          <w:rFonts w:hint="eastAsia"/>
          <w:b/>
          <w:bCs/>
          <w:sz w:val="28"/>
          <w:szCs w:val="28"/>
        </w:rPr>
        <w:t>地理位置图</w:t>
      </w:r>
    </w:p>
    <w:p>
      <w:pPr>
        <w:rPr>
          <w:rFonts w:ascii="Times New Roman"/>
          <w:sz w:val="20"/>
        </w:rPr>
      </w:pPr>
      <w:r>
        <w:rPr>
          <w:rFonts w:ascii="Times New Roman"/>
          <w:sz w:val="20"/>
        </w:rPr>
        <w:br w:type="page"/>
      </w:r>
    </w:p>
    <w:p>
      <w:pPr>
        <w:rPr>
          <w:rFonts w:ascii="Times New Roman"/>
          <w:sz w:val="20"/>
        </w:rPr>
      </w:pPr>
      <w:r>
        <w:rPr>
          <w:rFonts w:hint="eastAsia" w:eastAsia="宋体"/>
          <w:b/>
          <w:bCs/>
          <w:sz w:val="28"/>
          <w:szCs w:val="28"/>
          <w:lang w:eastAsia="zh-CN"/>
        </w:rPr>
        <w:drawing>
          <wp:anchor distT="0" distB="0" distL="114300" distR="114300" simplePos="0" relativeHeight="2027770880" behindDoc="1" locked="0" layoutInCell="1" allowOverlap="1">
            <wp:simplePos x="0" y="0"/>
            <wp:positionH relativeFrom="column">
              <wp:posOffset>259715</wp:posOffset>
            </wp:positionH>
            <wp:positionV relativeFrom="paragraph">
              <wp:posOffset>233680</wp:posOffset>
            </wp:positionV>
            <wp:extent cx="8849360" cy="4763770"/>
            <wp:effectExtent l="0" t="0" r="8890" b="17780"/>
            <wp:wrapNone/>
            <wp:docPr id="33" name="图片 33" descr="北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北加油站"/>
                    <pic:cNvPicPr>
                      <a:picLocks noChangeAspect="1"/>
                    </pic:cNvPicPr>
                  </pic:nvPicPr>
                  <pic:blipFill>
                    <a:blip r:embed="rId32"/>
                    <a:stretch>
                      <a:fillRect/>
                    </a:stretch>
                  </pic:blipFill>
                  <pic:spPr>
                    <a:xfrm>
                      <a:off x="0" y="0"/>
                      <a:ext cx="8849360" cy="4763770"/>
                    </a:xfrm>
                    <a:prstGeom prst="rect">
                      <a:avLst/>
                    </a:prstGeom>
                  </pic:spPr>
                </pic:pic>
              </a:graphicData>
            </a:graphic>
          </wp:anchor>
        </w:drawing>
      </w:r>
    </w:p>
    <w:p>
      <w:pPr>
        <w:jc w:val="center"/>
        <w:rPr>
          <w:rFonts w:hint="eastAsia"/>
          <w:b/>
          <w:bCs/>
          <w:sz w:val="30"/>
          <w:szCs w:val="30"/>
        </w:rPr>
      </w:pPr>
      <w:bookmarkStart w:id="27" w:name="附图1 地理位置图"/>
      <w:bookmarkEnd w:id="27"/>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ind w:left="0" w:leftChars="0" w:firstLine="0" w:firstLineChars="0"/>
        <w:jc w:val="center"/>
        <w:rPr>
          <w:rFonts w:hint="eastAsia"/>
          <w:b/>
          <w:bCs/>
          <w:sz w:val="28"/>
          <w:szCs w:val="28"/>
        </w:rPr>
      </w:pPr>
      <w:r>
        <w:rPr>
          <w:rFonts w:hint="eastAsia"/>
          <w:b/>
          <w:bCs/>
          <w:sz w:val="30"/>
          <w:szCs w:val="30"/>
        </w:rPr>
        <w:t>附图</w:t>
      </w:r>
      <w:r>
        <w:rPr>
          <w:rFonts w:hint="eastAsia"/>
          <w:b/>
          <w:bCs/>
          <w:sz w:val="30"/>
          <w:szCs w:val="30"/>
          <w:lang w:val="en-US" w:eastAsia="zh-CN"/>
        </w:rPr>
        <w:t>2</w:t>
      </w:r>
      <w:r>
        <w:rPr>
          <w:rFonts w:hint="eastAsia"/>
          <w:b/>
          <w:bCs/>
          <w:sz w:val="30"/>
          <w:szCs w:val="30"/>
        </w:rPr>
        <w:t>：</w:t>
      </w:r>
      <w:r>
        <w:rPr>
          <w:rFonts w:hint="eastAsia"/>
          <w:b/>
          <w:bCs/>
          <w:sz w:val="28"/>
          <w:szCs w:val="28"/>
        </w:rPr>
        <w:t>项目</w:t>
      </w:r>
      <w:r>
        <w:rPr>
          <w:rFonts w:hint="eastAsia"/>
          <w:b/>
          <w:bCs/>
          <w:sz w:val="28"/>
          <w:szCs w:val="28"/>
          <w:lang w:eastAsia="zh-CN"/>
        </w:rPr>
        <w:t>四邻关系</w:t>
      </w:r>
      <w:r>
        <w:rPr>
          <w:rFonts w:hint="eastAsia"/>
          <w:b/>
          <w:bCs/>
          <w:sz w:val="28"/>
          <w:szCs w:val="28"/>
        </w:rPr>
        <w:t>图</w:t>
      </w: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b/>
          <w:bCs/>
          <w:sz w:val="28"/>
          <w:szCs w:val="28"/>
        </w:rPr>
      </w:pPr>
      <w:r>
        <w:rPr>
          <w:rFonts w:hint="eastAsia"/>
          <w:b/>
          <w:bCs/>
          <w:sz w:val="28"/>
          <w:szCs w:val="28"/>
        </w:rPr>
        <w:br w:type="page"/>
      </w:r>
    </w:p>
    <w:p>
      <w:pPr>
        <w:jc w:val="center"/>
        <w:rPr>
          <w:rFonts w:hint="eastAsia"/>
          <w:b/>
          <w:bCs/>
          <w:sz w:val="28"/>
          <w:szCs w:val="28"/>
        </w:rPr>
      </w:pPr>
      <w:r>
        <w:rPr>
          <w:rFonts w:hint="eastAsia" w:eastAsia="宋体"/>
          <w:lang w:eastAsia="zh-CN"/>
        </w:rPr>
        <w:drawing>
          <wp:anchor distT="0" distB="0" distL="114300" distR="114300" simplePos="0" relativeHeight="2619808768" behindDoc="1" locked="0" layoutInCell="1" allowOverlap="1">
            <wp:simplePos x="0" y="0"/>
            <wp:positionH relativeFrom="column">
              <wp:posOffset>-34290</wp:posOffset>
            </wp:positionH>
            <wp:positionV relativeFrom="paragraph">
              <wp:posOffset>26670</wp:posOffset>
            </wp:positionV>
            <wp:extent cx="9389110" cy="5245735"/>
            <wp:effectExtent l="0" t="0" r="2540" b="12065"/>
            <wp:wrapNone/>
            <wp:docPr id="34" name="图片 34" descr="1315415489a2df59ef18eadfcf9e0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315415489a2df59ef18eadfcf9e0e5"/>
                    <pic:cNvPicPr>
                      <a:picLocks noChangeAspect="1"/>
                    </pic:cNvPicPr>
                  </pic:nvPicPr>
                  <pic:blipFill>
                    <a:blip r:embed="rId33"/>
                    <a:srcRect r="3067" b="14112"/>
                    <a:stretch>
                      <a:fillRect/>
                    </a:stretch>
                  </pic:blipFill>
                  <pic:spPr>
                    <a:xfrm>
                      <a:off x="0" y="0"/>
                      <a:ext cx="9389110" cy="5245735"/>
                    </a:xfrm>
                    <a:prstGeom prst="rect">
                      <a:avLst/>
                    </a:prstGeom>
                    <a:noFill/>
                    <a:ln>
                      <a:noFill/>
                    </a:ln>
                  </pic:spPr>
                </pic:pic>
              </a:graphicData>
            </a:graphic>
          </wp:anchor>
        </w:drawing>
      </w:r>
    </w:p>
    <w:p>
      <w:pPr>
        <w:jc w:val="center"/>
        <w:rPr>
          <w:rFonts w:hint="eastAsia" w:eastAsia="宋体"/>
          <w:lang w:eastAsia="zh-CN"/>
        </w:rPr>
      </w:pPr>
    </w:p>
    <w:p>
      <w:pPr>
        <w:jc w:val="center"/>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b/>
          <w:bCs/>
          <w:sz w:val="28"/>
          <w:szCs w:val="28"/>
        </w:rPr>
      </w:pPr>
    </w:p>
    <w:p>
      <w:pPr>
        <w:pStyle w:val="2"/>
        <w:rPr>
          <w:rFonts w:hint="eastAsia"/>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default" w:ascii="Times New Roman" w:hAnsi="Times New Roman" w:cs="Times New Roman"/>
          <w:b/>
          <w:bCs/>
          <w:sz w:val="30"/>
          <w:szCs w:val="30"/>
          <w:lang w:val="en-US" w:eastAsia="zh-CN"/>
        </w:rPr>
        <w:t>3</w:t>
      </w:r>
      <w:r>
        <w:rPr>
          <w:rFonts w:hint="eastAsia"/>
          <w:b/>
          <w:bCs/>
          <w:sz w:val="30"/>
          <w:szCs w:val="30"/>
        </w:rPr>
        <w:t>：</w:t>
      </w:r>
      <w:r>
        <w:rPr>
          <w:rFonts w:hint="eastAsia"/>
          <w:b/>
          <w:bCs/>
          <w:sz w:val="28"/>
          <w:szCs w:val="28"/>
        </w:rPr>
        <w:t>项目</w:t>
      </w:r>
      <w:r>
        <w:rPr>
          <w:rFonts w:hint="eastAsia"/>
          <w:b/>
          <w:bCs/>
          <w:sz w:val="28"/>
          <w:szCs w:val="28"/>
          <w:lang w:eastAsia="zh-CN"/>
        </w:rPr>
        <w:t>总</w:t>
      </w:r>
      <w:r>
        <w:rPr>
          <w:rFonts w:hint="eastAsia"/>
          <w:b/>
          <w:bCs/>
          <w:sz w:val="28"/>
          <w:szCs w:val="28"/>
        </w:rPr>
        <w:t>平面布置图</w:t>
      </w: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ascii="宋体" w:hAnsi="宋体" w:cs="宋体"/>
          <w:kern w:val="0"/>
          <w:sz w:val="24"/>
          <w:szCs w:val="24"/>
        </w:rPr>
      </w:pPr>
      <w:r>
        <w:rPr>
          <w:rFonts w:ascii="宋体" w:hAnsi="宋体" w:cs="宋体"/>
          <w:kern w:val="0"/>
          <w:sz w:val="24"/>
          <w:szCs w:val="24"/>
        </w:rPr>
        <w:br w:type="page"/>
      </w:r>
    </w:p>
    <w:p>
      <w:pPr>
        <w:ind w:left="0" w:leftChars="0" w:firstLine="0" w:firstLineChars="0"/>
        <w:rPr>
          <w:rFonts w:ascii="宋体" w:hAnsi="宋体" w:cs="宋体"/>
          <w:kern w:val="0"/>
          <w:sz w:val="24"/>
          <w:szCs w:val="24"/>
        </w:rPr>
      </w:pPr>
      <w:r>
        <w:rPr>
          <w:sz w:val="24"/>
        </w:rPr>
        <mc:AlternateContent>
          <mc:Choice Requires="wps">
            <w:drawing>
              <wp:anchor distT="0" distB="0" distL="114300" distR="114300" simplePos="0" relativeHeight="843694080" behindDoc="0" locked="0" layoutInCell="1" allowOverlap="1">
                <wp:simplePos x="0" y="0"/>
                <wp:positionH relativeFrom="column">
                  <wp:posOffset>1458595</wp:posOffset>
                </wp:positionH>
                <wp:positionV relativeFrom="paragraph">
                  <wp:posOffset>1624965</wp:posOffset>
                </wp:positionV>
                <wp:extent cx="968375" cy="485775"/>
                <wp:effectExtent l="4445" t="5080" r="17780" b="880745"/>
                <wp:wrapNone/>
                <wp:docPr id="35" name="圆角矩形标注 35"/>
                <wp:cNvGraphicFramePr/>
                <a:graphic xmlns:a="http://schemas.openxmlformats.org/drawingml/2006/main">
                  <a:graphicData uri="http://schemas.microsoft.com/office/word/2010/wordprocessingShape">
                    <wps:wsp>
                      <wps:cNvSpPr/>
                      <wps:spPr>
                        <a:xfrm>
                          <a:off x="0" y="0"/>
                          <a:ext cx="968375" cy="485775"/>
                        </a:xfrm>
                        <a:prstGeom prst="wedgeRoundRectCallout">
                          <a:avLst>
                            <a:gd name="adj1" fmla="val 35370"/>
                            <a:gd name="adj2" fmla="val 224046"/>
                            <a:gd name="adj3" fmla="val 16667"/>
                          </a:avLst>
                        </a:prstGeom>
                        <a:noFill/>
                        <a:ln w="9525" cap="flat" cmpd="sng">
                          <a:solidFill>
                            <a:srgbClr val="FF0000"/>
                          </a:solidFill>
                          <a:prstDash val="solid"/>
                          <a:miter/>
                          <a:headEnd type="none" w="med" len="med"/>
                          <a:tailEnd type="none" w="med" len="med"/>
                        </a:ln>
                      </wps:spPr>
                      <wps:txb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wps:txbx>
                      <wps:bodyPr upright="1"/>
                    </wps:wsp>
                  </a:graphicData>
                </a:graphic>
              </wp:anchor>
            </w:drawing>
          </mc:Choice>
          <mc:Fallback>
            <w:pict>
              <v:shape id="_x0000_s1026" o:spid="_x0000_s1026" o:spt="62" type="#_x0000_t62" style="position:absolute;left:0pt;margin-left:114.85pt;margin-top:127.95pt;height:38.25pt;width:76.25pt;z-index:843694080;mso-width-relative:page;mso-height-relative:page;" filled="f" stroked="t" coordsize="21600,21600" o:gfxdata="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qGb+doAAAALAQAADwAA&#10;AAAAAAABACAAAAAiAAAAZHJzL2Rvd25yZXYueG1sUEsBAhQAFAAAAAgAh07iQKPCCxxNAgAAlAQA&#10;AA4AAAAAAAAAAQAgAAAAKQEAAGRycy9lMm9Eb2MueG1sUEsFBgAAAAAGAAYAWQEAAOgFAAAAAA==&#10;" adj="18440,59194,14400">
                <v:fill on="f" focussize="0,0"/>
                <v:stroke color="#FF0000" joinstyle="miter"/>
                <v:imagedata o:title=""/>
                <o:lock v:ext="edit" aspectratio="f"/>
                <v:textbo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ascii="宋体" w:hAnsi="宋体" w:cs="宋体"/>
          <w:kern w:val="0"/>
          <w:sz w:val="24"/>
          <w:szCs w:val="24"/>
        </w:rPr>
        <w:drawing>
          <wp:inline distT="0" distB="0" distL="114300" distR="114300">
            <wp:extent cx="9044305" cy="5496560"/>
            <wp:effectExtent l="0" t="0" r="4445" b="8890"/>
            <wp:docPr id="41" name="图片 4" descr="鲁山县饮用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descr="鲁山县饮用水源保护区"/>
                    <pic:cNvPicPr>
                      <a:picLocks noChangeAspect="1"/>
                    </pic:cNvPicPr>
                  </pic:nvPicPr>
                  <pic:blipFill>
                    <a:blip r:embed="rId34"/>
                    <a:srcRect t="1703"/>
                    <a:stretch>
                      <a:fillRect/>
                    </a:stretch>
                  </pic:blipFill>
                  <pic:spPr>
                    <a:xfrm>
                      <a:off x="0" y="0"/>
                      <a:ext cx="9044305" cy="5496560"/>
                    </a:xfrm>
                    <a:prstGeom prst="rect">
                      <a:avLst/>
                    </a:prstGeom>
                    <a:noFill/>
                    <a:ln>
                      <a:noFill/>
                    </a:ln>
                  </pic:spPr>
                </pic:pic>
              </a:graphicData>
            </a:graphic>
          </wp:inline>
        </w:drawing>
      </w:r>
    </w:p>
    <w:p>
      <w:pPr>
        <w:tabs>
          <w:tab w:val="left" w:pos="982"/>
        </w:tabs>
        <w:bidi w:val="0"/>
        <w:jc w:val="center"/>
        <w:rPr>
          <w:rFonts w:hint="eastAsia"/>
          <w:lang w:eastAsia="zh-CN"/>
        </w:rPr>
      </w:pPr>
      <w:r>
        <w:rPr>
          <w:rFonts w:hint="eastAsia"/>
          <w:b/>
          <w:bCs/>
          <w:sz w:val="28"/>
          <w:szCs w:val="36"/>
          <w:lang w:eastAsia="zh-CN"/>
        </w:rPr>
        <w:t>附图</w:t>
      </w:r>
      <w:r>
        <w:rPr>
          <w:rFonts w:hint="eastAsia"/>
          <w:b/>
          <w:bCs/>
          <w:sz w:val="28"/>
          <w:szCs w:val="36"/>
          <w:lang w:val="en-US" w:eastAsia="zh-CN"/>
        </w:rPr>
        <w:t>4项目与饮用水源保护区位置关系图</w:t>
      </w:r>
      <w:r>
        <w:rPr>
          <w:sz w:val="21"/>
        </w:rPr>
        <mc:AlternateContent>
          <mc:Choice Requires="wps">
            <w:drawing>
              <wp:anchor distT="0" distB="0" distL="114300" distR="114300" simplePos="0" relativeHeight="843687936" behindDoc="0" locked="0" layoutInCell="1" allowOverlap="1">
                <wp:simplePos x="0" y="0"/>
                <wp:positionH relativeFrom="column">
                  <wp:posOffset>4263390</wp:posOffset>
                </wp:positionH>
                <wp:positionV relativeFrom="paragraph">
                  <wp:posOffset>2369185</wp:posOffset>
                </wp:positionV>
                <wp:extent cx="640715" cy="32893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640715" cy="328930"/>
                        </a:xfrm>
                        <a:prstGeom prst="rect">
                          <a:avLst/>
                        </a:prstGeom>
                        <a:noFill/>
                        <a:ln>
                          <a:noFill/>
                        </a:ln>
                      </wps:spPr>
                      <wps:txbx>
                        <w:txbxContent>
                          <w:p>
                            <w:pPr>
                              <w:rPr>
                                <w:rFonts w:hint="default" w:eastAsia="宋体"/>
                                <w:color w:val="FFFF00"/>
                                <w:lang w:val="en-US" w:eastAsia="zh-CN"/>
                              </w:rPr>
                            </w:pPr>
                            <w:r>
                              <w:rPr>
                                <w:rFonts w:hint="eastAsia"/>
                                <w:color w:val="FFFF00"/>
                                <w:lang w:val="en-US" w:eastAsia="zh-CN"/>
                              </w:rPr>
                              <w:t>1120m</w:t>
                            </w:r>
                          </w:p>
                        </w:txbxContent>
                      </wps:txbx>
                      <wps:bodyPr upright="1"/>
                    </wps:wsp>
                  </a:graphicData>
                </a:graphic>
              </wp:anchor>
            </w:drawing>
          </mc:Choice>
          <mc:Fallback>
            <w:pict>
              <v:shape id="_x0000_s1026" o:spid="_x0000_s1026" o:spt="202" type="#_x0000_t202" style="position:absolute;left:0pt;margin-left:335.7pt;margin-top:186.55pt;height:25.9pt;width:50.45pt;z-index:843687936;mso-width-relative:page;mso-height-relative:page;" filled="f" stroked="f" coordsize="21600,21600" o:gfxdata="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lSZL&#10;+9kAAAALAQAADwAAAAAAAAABACAAAAAiAAAAZHJzL2Rvd25yZXYueG1sUEsBAhQAFAAAAAgAh07i&#10;QOtXAAmvAQAATwMAAA4AAAAAAAAAAQAgAAAAKAEAAGRycy9lMm9Eb2MueG1sUEsFBgAAAAAGAAYA&#10;WQEAAEkFAAAAAA==&#10;">
                <v:fill on="f" focussize="0,0"/>
                <v:stroke on="f"/>
                <v:imagedata o:title=""/>
                <o:lock v:ext="edit" aspectratio="f"/>
                <v:textbox>
                  <w:txbxContent>
                    <w:p>
                      <w:pPr>
                        <w:rPr>
                          <w:rFonts w:hint="default" w:eastAsia="宋体"/>
                          <w:color w:val="FFFF00"/>
                          <w:lang w:val="en-US" w:eastAsia="zh-CN"/>
                        </w:rPr>
                      </w:pPr>
                      <w:r>
                        <w:rPr>
                          <w:rFonts w:hint="eastAsia"/>
                          <w:color w:val="FFFF00"/>
                          <w:lang w:val="en-US" w:eastAsia="zh-CN"/>
                        </w:rPr>
                        <w:t>1120m</w:t>
                      </w:r>
                    </w:p>
                  </w:txbxContent>
                </v:textbox>
              </v:shape>
            </w:pict>
          </mc:Fallback>
        </mc:AlternateContent>
      </w:r>
      <w:r>
        <w:rPr>
          <w:sz w:val="21"/>
        </w:rPr>
        <mc:AlternateContent>
          <mc:Choice Requires="wps">
            <w:drawing>
              <wp:anchor distT="0" distB="0" distL="114300" distR="114300" simplePos="0" relativeHeight="843685888" behindDoc="0" locked="0" layoutInCell="1" allowOverlap="1">
                <wp:simplePos x="0" y="0"/>
                <wp:positionH relativeFrom="column">
                  <wp:posOffset>2791460</wp:posOffset>
                </wp:positionH>
                <wp:positionV relativeFrom="paragraph">
                  <wp:posOffset>1963420</wp:posOffset>
                </wp:positionV>
                <wp:extent cx="1004570" cy="28702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004570" cy="287020"/>
                        </a:xfrm>
                        <a:prstGeom prst="rect">
                          <a:avLst/>
                        </a:prstGeom>
                        <a:noFill/>
                        <a:ln>
                          <a:noFill/>
                        </a:ln>
                      </wps:spPr>
                      <wps:txbx>
                        <w:txbxContent>
                          <w:p>
                            <w:pPr>
                              <w:rPr>
                                <w:rFonts w:hint="eastAsia" w:eastAsia="宋体"/>
                                <w:color w:val="FFFF00"/>
                                <w:lang w:eastAsia="zh-CN"/>
                              </w:rPr>
                            </w:pPr>
                            <w:r>
                              <w:rPr>
                                <w:rFonts w:hint="eastAsia"/>
                                <w:color w:val="FFFF00"/>
                                <w:lang w:eastAsia="zh-CN"/>
                              </w:rPr>
                              <w:t>南水北调工程</w:t>
                            </w:r>
                          </w:p>
                        </w:txbxContent>
                      </wps:txbx>
                      <wps:bodyPr upright="1"/>
                    </wps:wsp>
                  </a:graphicData>
                </a:graphic>
              </wp:anchor>
            </w:drawing>
          </mc:Choice>
          <mc:Fallback>
            <w:pict>
              <v:shape id="_x0000_s1026" o:spid="_x0000_s1026" o:spt="202" type="#_x0000_t202" style="position:absolute;left:0pt;margin-left:219.8pt;margin-top:154.6pt;height:22.6pt;width:79.1pt;z-index:843685888;mso-width-relative:page;mso-height-relative:page;" filled="f" stroked="f" coordsize="21600,21600" o:gfxdata="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1YrHnZ&#10;AAAACwEAAA8AAAAAAAAAAQAgAAAAIgAAAGRycy9kb3ducmV2LnhtbFBLAQIUABQAAAAIAIdO4kAl&#10;EJ1zrQEAAFADAAAOAAAAAAAAAAEAIAAAACgBAABkcnMvZTJvRG9jLnhtbFBLBQYAAAAABgAGAFkB&#10;AABHBQAAAAA=&#10;">
                <v:fill on="f" focussize="0,0"/>
                <v:stroke on="f"/>
                <v:imagedata o:title=""/>
                <o:lock v:ext="edit" aspectratio="f"/>
                <v:textbox>
                  <w:txbxContent>
                    <w:p>
                      <w:pPr>
                        <w:rPr>
                          <w:rFonts w:hint="eastAsia" w:eastAsia="宋体"/>
                          <w:color w:val="FFFF00"/>
                          <w:lang w:eastAsia="zh-CN"/>
                        </w:rPr>
                      </w:pPr>
                      <w:r>
                        <w:rPr>
                          <w:rFonts w:hint="eastAsia"/>
                          <w:color w:val="FFFF00"/>
                          <w:lang w:eastAsia="zh-CN"/>
                        </w:rPr>
                        <w:t>南水北调工程</w:t>
                      </w:r>
                    </w:p>
                  </w:txbxContent>
                </v:textbox>
              </v:shape>
            </w:pict>
          </mc:Fallback>
        </mc:AlternateContent>
      </w:r>
      <w:r>
        <w:rPr>
          <w:sz w:val="21"/>
        </w:rPr>
        <mc:AlternateContent>
          <mc:Choice Requires="wps">
            <w:drawing>
              <wp:anchor distT="0" distB="0" distL="114300" distR="114300" simplePos="0" relativeHeight="843683840" behindDoc="0" locked="0" layoutInCell="1" allowOverlap="1">
                <wp:simplePos x="0" y="0"/>
                <wp:positionH relativeFrom="column">
                  <wp:posOffset>5302885</wp:posOffset>
                </wp:positionH>
                <wp:positionV relativeFrom="paragraph">
                  <wp:posOffset>3314065</wp:posOffset>
                </wp:positionV>
                <wp:extent cx="146685" cy="75565"/>
                <wp:effectExtent l="5080" t="4445" r="19685" b="15240"/>
                <wp:wrapNone/>
                <wp:docPr id="37" name="矩形 37"/>
                <wp:cNvGraphicFramePr/>
                <a:graphic xmlns:a="http://schemas.openxmlformats.org/drawingml/2006/main">
                  <a:graphicData uri="http://schemas.microsoft.com/office/word/2010/wordprocessingShape">
                    <wps:wsp>
                      <wps:cNvSpPr/>
                      <wps:spPr>
                        <a:xfrm>
                          <a:off x="0" y="0"/>
                          <a:ext cx="146685" cy="75565"/>
                        </a:xfrm>
                        <a:prstGeom prst="rect">
                          <a:avLst/>
                        </a:prstGeom>
                        <a:noFill/>
                        <a:ln w="9525" cap="flat" cmpd="sng">
                          <a:solidFill>
                            <a:srgbClr val="FF0000"/>
                          </a:solidFill>
                          <a:prstDash val="solid"/>
                          <a:miter/>
                          <a:headEnd type="none" w="med" len="med"/>
                          <a:tailEnd type="none" w="med" len="med"/>
                        </a:ln>
                      </wps:spPr>
                      <wps:txbx>
                        <w:txbxContent>
                          <w:p>
                            <w:pPr>
                              <w:jc w:val="center"/>
                            </w:pPr>
                          </w:p>
                        </w:txbxContent>
                      </wps:txbx>
                      <wps:bodyPr upright="1"/>
                    </wps:wsp>
                  </a:graphicData>
                </a:graphic>
              </wp:anchor>
            </w:drawing>
          </mc:Choice>
          <mc:Fallback>
            <w:pict>
              <v:rect id="_x0000_s1026" o:spid="_x0000_s1026" o:spt="1" style="position:absolute;left:0pt;margin-left:417.55pt;margin-top:260.95pt;height:5.95pt;width:11.55pt;z-index:843683840;mso-width-relative:page;mso-height-relative:page;" filled="f" stroked="t" coordsize="21600,21600" o:gfxdata="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FayINsAAAALAQAADwAAAAAAAAABACAAAAAiAAAAZHJzL2Rv&#10;d25yZXYueG1sUEsBAhQAFAAAAAgAh07iQPnqWzL+AQAAAAQAAA4AAAAAAAAAAQAgAAAAKgEAAGRy&#10;cy9lMm9Eb2MueG1sUEsFBgAAAAAGAAYAWQEAAJoFAAAAAA==&#10;">
                <v:fill on="f" focussize="0,0"/>
                <v:stroke color="#FF0000" joinstyle="miter"/>
                <v:imagedata o:title=""/>
                <o:lock v:ext="edit" aspectratio="f"/>
                <v:textbox>
                  <w:txbxContent>
                    <w:p>
                      <w:pPr>
                        <w:jc w:val="center"/>
                      </w:pPr>
                    </w:p>
                  </w:txbxContent>
                </v:textbox>
              </v:rect>
            </w:pict>
          </mc:Fallback>
        </mc:AlternateContent>
      </w:r>
    </w:p>
    <w:p>
      <w:pPr>
        <w:rPr>
          <w:rFonts w:hint="default"/>
          <w:b/>
          <w:sz w:val="28"/>
          <w:szCs w:val="28"/>
          <w:lang w:val="en-US" w:eastAsia="zh-CN"/>
        </w:rPr>
      </w:pPr>
      <w:r>
        <w:rPr>
          <w:rFonts w:hint="default"/>
          <w:b/>
          <w:sz w:val="28"/>
          <w:szCs w:val="28"/>
          <w:lang w:val="en-US" w:eastAsia="zh-CN"/>
        </w:rPr>
        <w:br w:type="page"/>
      </w:r>
    </w:p>
    <w:p>
      <w:pPr>
        <w:rPr>
          <w:rFonts w:hint="eastAsia"/>
          <w:b/>
          <w:bCs/>
          <w:sz w:val="28"/>
          <w:szCs w:val="36"/>
          <w:lang w:val="en-US" w:eastAsia="zh-CN"/>
        </w:rPr>
      </w:pPr>
      <w:r>
        <w:rPr>
          <w:rFonts w:hint="eastAsia"/>
          <w:b/>
          <w:bCs/>
          <w:sz w:val="28"/>
          <w:szCs w:val="36"/>
          <w:lang w:val="en-US" w:eastAsia="zh-CN"/>
        </w:rPr>
        <w:drawing>
          <wp:anchor distT="0" distB="0" distL="114300" distR="114300" simplePos="0" relativeHeight="898760704" behindDoc="1" locked="0" layoutInCell="1" allowOverlap="1">
            <wp:simplePos x="0" y="0"/>
            <wp:positionH relativeFrom="column">
              <wp:posOffset>57150</wp:posOffset>
            </wp:positionH>
            <wp:positionV relativeFrom="paragraph">
              <wp:posOffset>142240</wp:posOffset>
            </wp:positionV>
            <wp:extent cx="8849360" cy="4763770"/>
            <wp:effectExtent l="0" t="0" r="8890" b="17780"/>
            <wp:wrapNone/>
            <wp:docPr id="90" name="图片 90" descr="石人山北风险受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石人山北风险受体"/>
                    <pic:cNvPicPr>
                      <a:picLocks noChangeAspect="1"/>
                    </pic:cNvPicPr>
                  </pic:nvPicPr>
                  <pic:blipFill>
                    <a:blip r:embed="rId35"/>
                    <a:stretch>
                      <a:fillRect/>
                    </a:stretch>
                  </pic:blipFill>
                  <pic:spPr>
                    <a:xfrm>
                      <a:off x="0" y="0"/>
                      <a:ext cx="8849360" cy="4763770"/>
                    </a:xfrm>
                    <a:prstGeom prst="rect">
                      <a:avLst/>
                    </a:prstGeom>
                  </pic:spPr>
                </pic:pic>
              </a:graphicData>
            </a:graphic>
          </wp:anchor>
        </w:drawing>
      </w:r>
    </w:p>
    <w:p>
      <w:pPr>
        <w:rPr>
          <w:rFonts w:hint="eastAsia"/>
          <w:b/>
          <w:bCs/>
          <w:sz w:val="28"/>
          <w:szCs w:val="36"/>
          <w:lang w:val="en-US" w:eastAsia="zh-CN"/>
        </w:rPr>
      </w:pPr>
    </w:p>
    <w:p>
      <w:pPr>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rPr>
          <w:rFonts w:hint="eastAsia"/>
          <w:b/>
          <w:bCs/>
          <w:sz w:val="28"/>
          <w:szCs w:val="36"/>
          <w:lang w:val="en-US" w:eastAsia="zh-CN"/>
        </w:rPr>
      </w:pPr>
    </w:p>
    <w:p>
      <w:pPr>
        <w:rPr>
          <w:rFonts w:hint="eastAsia"/>
          <w:b/>
          <w:bCs/>
          <w:sz w:val="28"/>
          <w:szCs w:val="36"/>
          <w:lang w:val="en-US" w:eastAsia="zh-CN"/>
        </w:rPr>
      </w:pPr>
    </w:p>
    <w:p>
      <w:pPr>
        <w:pStyle w:val="6"/>
        <w:jc w:val="center"/>
        <w:rPr>
          <w:rFonts w:hint="eastAsia"/>
          <w:lang w:val="en-US" w:eastAsia="zh-CN"/>
        </w:rPr>
      </w:pPr>
      <w:r>
        <w:rPr>
          <w:rFonts w:hint="eastAsia"/>
          <w:b/>
          <w:bCs/>
          <w:sz w:val="28"/>
          <w:szCs w:val="36"/>
          <w:lang w:eastAsia="zh-CN"/>
        </w:rPr>
        <w:t>附图</w:t>
      </w:r>
      <w:r>
        <w:rPr>
          <w:rFonts w:hint="eastAsia"/>
          <w:b/>
          <w:bCs/>
          <w:sz w:val="28"/>
          <w:szCs w:val="36"/>
          <w:lang w:val="en-US" w:eastAsia="zh-CN"/>
        </w:rPr>
        <w:t>5  风险评价范围图</w:t>
      </w:r>
    </w:p>
    <w:p>
      <w:pPr>
        <w:rPr>
          <w:rFonts w:hint="default"/>
          <w:b/>
          <w:sz w:val="28"/>
          <w:szCs w:val="28"/>
          <w:lang w:val="en-US" w:eastAsia="zh-CN"/>
        </w:rPr>
      </w:pPr>
      <w:r>
        <w:rPr>
          <w:rFonts w:hint="eastAsia"/>
          <w:b/>
          <w:bCs/>
          <w:sz w:val="28"/>
          <w:szCs w:val="36"/>
          <w:lang w:val="en-US" w:eastAsia="zh-CN"/>
        </w:rPr>
        <w:br w:type="page"/>
      </w:r>
    </w:p>
    <w:p>
      <w:pPr>
        <w:pStyle w:val="2"/>
        <w:rPr>
          <w:rFonts w:hint="default"/>
          <w:lang w:val="en-US" w:eastAsia="zh-CN"/>
        </w:rPr>
      </w:pPr>
    </w:p>
    <w:p>
      <w:pPr>
        <w:pStyle w:val="2"/>
        <w:rPr>
          <w:rFonts w:hint="default"/>
          <w:lang w:val="en-US"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tabs>
          <w:tab w:val="left" w:pos="4830"/>
        </w:tabs>
        <w:jc w:val="both"/>
        <w:rPr>
          <w:b/>
          <w:sz w:val="28"/>
          <w:szCs w:val="28"/>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5"/>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8" name="图片 38" descr="12加油站全景（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2加油站全景（后）"/>
                          <pic:cNvPicPr>
                            <a:picLocks noChangeAspect="1"/>
                          </pic:cNvPicPr>
                        </pic:nvPicPr>
                        <pic:blipFill>
                          <a:blip r:embed="rId36"/>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9" name="图片 39" descr="3柴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柴油"/>
                          <pic:cNvPicPr>
                            <a:picLocks noChangeAspect="1"/>
                          </pic:cNvPicPr>
                        </pic:nvPicPr>
                        <pic:blipFill>
                          <a:blip r:embed="rId37"/>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sz w:val="28"/>
                <w:szCs w:val="28"/>
                <w:vertAlign w:val="baseline"/>
                <w:lang w:eastAsia="zh-CN"/>
              </w:rPr>
            </w:pPr>
            <w:r>
              <w:rPr>
                <w:rFonts w:hint="eastAsia"/>
                <w:b w:val="0"/>
                <w:bCs/>
                <w:sz w:val="24"/>
                <w:szCs w:val="24"/>
                <w:vertAlign w:val="baseline"/>
                <w:lang w:val="en-US" w:eastAsia="zh-CN"/>
              </w:rPr>
              <w:t>本项目</w:t>
            </w:r>
          </w:p>
        </w:tc>
        <w:tc>
          <w:tcPr>
            <w:tcW w:w="4825" w:type="dxa"/>
            <w:tcBorders>
              <w:tl2br w:val="nil"/>
              <w:tr2bl w:val="nil"/>
            </w:tcBorders>
            <w:noWrap w:val="0"/>
            <w:vAlign w:val="top"/>
          </w:tcPr>
          <w:p>
            <w:pPr>
              <w:tabs>
                <w:tab w:val="left" w:pos="4830"/>
              </w:tabs>
              <w:jc w:val="center"/>
              <w:rPr>
                <w:rFonts w:hint="default" w:eastAsia="宋体"/>
                <w:b/>
                <w:sz w:val="28"/>
                <w:szCs w:val="28"/>
                <w:vertAlign w:val="baseline"/>
                <w:lang w:val="en-US" w:eastAsia="zh-CN"/>
              </w:rPr>
            </w:pPr>
            <w:r>
              <w:rPr>
                <w:rFonts w:hint="eastAsia"/>
                <w:b w:val="0"/>
                <w:bCs/>
                <w:sz w:val="24"/>
                <w:szCs w:val="24"/>
                <w:vertAlign w:val="baseline"/>
                <w:lang w:val="en-US" w:eastAsia="zh-CN"/>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88310" cy="2095500"/>
                  <wp:effectExtent l="0" t="0" r="2540" b="0"/>
                  <wp:docPr id="40" name="图片 40" descr="9消防器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消防器材"/>
                          <pic:cNvPicPr>
                            <a:picLocks noChangeAspect="1"/>
                          </pic:cNvPicPr>
                        </pic:nvPicPr>
                        <pic:blipFill>
                          <a:blip r:embed="rId38"/>
                          <a:stretch>
                            <a:fillRect/>
                          </a:stretch>
                        </pic:blipFill>
                        <pic:spPr>
                          <a:xfrm>
                            <a:off x="0" y="0"/>
                            <a:ext cx="2988310" cy="2095500"/>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42" name="图片 42" descr="5罐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罐区"/>
                          <pic:cNvPicPr>
                            <a:picLocks noChangeAspect="1"/>
                          </pic:cNvPicPr>
                        </pic:nvPicPr>
                        <pic:blipFill>
                          <a:blip r:embed="rId39"/>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val="0"/>
                <w:bCs/>
                <w:sz w:val="24"/>
                <w:szCs w:val="24"/>
                <w:vertAlign w:val="baseline"/>
                <w:lang w:val="en-US" w:eastAsia="zh-CN"/>
              </w:rPr>
            </w:pPr>
            <w:r>
              <w:rPr>
                <w:rFonts w:hint="eastAsia"/>
                <w:b w:val="0"/>
                <w:bCs/>
                <w:sz w:val="24"/>
                <w:szCs w:val="24"/>
                <w:vertAlign w:val="baseline"/>
                <w:lang w:eastAsia="zh-CN"/>
              </w:rPr>
              <w:t>消防器材</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191385"/>
                  <wp:effectExtent l="0" t="0" r="12065" b="18415"/>
                  <wp:docPr id="43" name="图片 43" descr="8油气回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油气回收"/>
                          <pic:cNvPicPr>
                            <a:picLocks noChangeAspect="1"/>
                          </pic:cNvPicPr>
                        </pic:nvPicPr>
                        <pic:blipFill>
                          <a:blip r:embed="rId40"/>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085975"/>
                  <wp:effectExtent l="0" t="0" r="12065" b="9525"/>
                  <wp:docPr id="44" name="图片 44" descr="14污水处理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4污水处理厂"/>
                          <pic:cNvPicPr>
                            <a:picLocks noChangeAspect="1"/>
                          </pic:cNvPicPr>
                        </pic:nvPicPr>
                        <pic:blipFill>
                          <a:blip r:embed="rId41"/>
                          <a:stretch>
                            <a:fillRect/>
                          </a:stretch>
                        </pic:blipFill>
                        <pic:spPr>
                          <a:xfrm>
                            <a:off x="0" y="0"/>
                            <a:ext cx="2921635" cy="2085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油气回收</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生活污水处理站</w:t>
            </w:r>
          </w:p>
        </w:tc>
      </w:tr>
    </w:tbl>
    <w:p>
      <w:pPr>
        <w:tabs>
          <w:tab w:val="left" w:pos="4830"/>
        </w:tabs>
        <w:jc w:val="both"/>
        <w:rPr>
          <w:rFonts w:hint="eastAsia"/>
          <w:b/>
          <w:sz w:val="28"/>
          <w:szCs w:val="28"/>
        </w:rPr>
      </w:pPr>
      <w:r>
        <w:rPr>
          <w:rFonts w:hint="eastAsia"/>
          <w:b/>
          <w:sz w:val="28"/>
          <w:szCs w:val="28"/>
          <w:lang w:val="en-US" w:eastAsia="zh-CN"/>
        </w:rPr>
        <w:t xml:space="preserve">                        附图6  </w:t>
      </w:r>
      <w:r>
        <w:rPr>
          <w:rFonts w:hint="eastAsia"/>
          <w:b/>
          <w:sz w:val="28"/>
          <w:szCs w:val="28"/>
        </w:rPr>
        <w:t>项目</w:t>
      </w:r>
      <w:r>
        <w:rPr>
          <w:rFonts w:hint="eastAsia"/>
          <w:b/>
          <w:sz w:val="28"/>
          <w:szCs w:val="28"/>
          <w:lang w:eastAsia="zh-CN"/>
        </w:rPr>
        <w:t>现状照片</w:t>
      </w:r>
      <w:r>
        <w:rPr>
          <w:rFonts w:hint="eastAsia"/>
          <w:b/>
          <w:sz w:val="28"/>
          <w:szCs w:val="28"/>
        </w:rPr>
        <w:t>图</w:t>
      </w:r>
    </w:p>
    <w:p>
      <w:pPr>
        <w:rPr>
          <w:rFonts w:hint="eastAsia"/>
          <w:b/>
          <w:sz w:val="28"/>
          <w:szCs w:val="28"/>
        </w:rPr>
      </w:pPr>
      <w:r>
        <w:rPr>
          <w:rFonts w:hint="eastAsia"/>
          <w:b/>
          <w:sz w:val="28"/>
          <w:szCs w:val="28"/>
        </w:rPr>
        <w:br w:type="page"/>
      </w:r>
    </w:p>
    <w:p>
      <w:pPr>
        <w:rPr>
          <w:rFonts w:hint="eastAsia" w:eastAsia="宋体"/>
          <w:lang w:eastAsia="zh-CN"/>
        </w:rPr>
      </w:pPr>
      <w:r>
        <w:rPr>
          <w:rFonts w:hint="eastAsia" w:eastAsia="宋体"/>
          <w:lang w:eastAsia="zh-CN"/>
        </w:rPr>
        <w:br w:type="page"/>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drawing>
          <wp:anchor distT="0" distB="0" distL="114300" distR="114300" simplePos="0" relativeHeight="251659264" behindDoc="1" locked="0" layoutInCell="1" allowOverlap="1">
            <wp:simplePos x="0" y="0"/>
            <wp:positionH relativeFrom="column">
              <wp:posOffset>158750</wp:posOffset>
            </wp:positionH>
            <wp:positionV relativeFrom="paragraph">
              <wp:posOffset>29210</wp:posOffset>
            </wp:positionV>
            <wp:extent cx="5989320" cy="3879215"/>
            <wp:effectExtent l="0" t="0" r="11430" b="6985"/>
            <wp:wrapNone/>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42"/>
                    <a:stretch>
                      <a:fillRect/>
                    </a:stretch>
                  </pic:blipFill>
                  <pic:spPr>
                    <a:xfrm>
                      <a:off x="0" y="0"/>
                      <a:ext cx="5989320" cy="3879215"/>
                    </a:xfrm>
                    <a:prstGeom prst="rect">
                      <a:avLst/>
                    </a:prstGeom>
                    <a:noFill/>
                    <a:ln>
                      <a:noFill/>
                    </a:ln>
                  </pic:spPr>
                </pic:pic>
              </a:graphicData>
            </a:graphic>
          </wp:anchor>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sz w:val="28"/>
        </w:rPr>
        <mc:AlternateContent>
          <mc:Choice Requires="wps">
            <w:drawing>
              <wp:anchor distT="0" distB="0" distL="114300" distR="114300" simplePos="0" relativeHeight="693083136" behindDoc="0" locked="0" layoutInCell="1" allowOverlap="1">
                <wp:simplePos x="0" y="0"/>
                <wp:positionH relativeFrom="column">
                  <wp:posOffset>3197860</wp:posOffset>
                </wp:positionH>
                <wp:positionV relativeFrom="paragraph">
                  <wp:posOffset>248285</wp:posOffset>
                </wp:positionV>
                <wp:extent cx="196850" cy="229870"/>
                <wp:effectExtent l="26035" t="34925" r="43815" b="40005"/>
                <wp:wrapNone/>
                <wp:docPr id="109" name="十字星 109"/>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51.8pt;margin-top:19.55pt;height:18.1pt;width:15.5pt;z-index:693083136;v-text-anchor:middle;mso-width-relative:page;mso-height-relative:page;" fillcolor="#FFFFFF [3201]" filled="t" stroked="t" coordsize="21600,21600" o:gfxdata="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En45+dcAAAAJAQAADwAAAAAAAAABACAAAAAi&#10;AAAAZHJzL2Rvd25yZXYueG1sUEsBAhQAFAAAAAgAh07iQNlIH8B9AgAABgUAAA4AAAAAAAAAAQAg&#10;AAAAJgEAAGRycy9lMm9Eb2MueG1sUEsFBgAAAAAGAAYAWQEAABUGA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619852800" behindDoc="0" locked="0" layoutInCell="1" allowOverlap="1">
                <wp:simplePos x="0" y="0"/>
                <wp:positionH relativeFrom="column">
                  <wp:posOffset>3329940</wp:posOffset>
                </wp:positionH>
                <wp:positionV relativeFrom="paragraph">
                  <wp:posOffset>215900</wp:posOffset>
                </wp:positionV>
                <wp:extent cx="690245" cy="10795"/>
                <wp:effectExtent l="0" t="4445" r="14605" b="13335"/>
                <wp:wrapNone/>
                <wp:docPr id="107" name="直接连接符 107"/>
                <wp:cNvGraphicFramePr/>
                <a:graphic xmlns:a="http://schemas.openxmlformats.org/drawingml/2006/main">
                  <a:graphicData uri="http://schemas.microsoft.com/office/word/2010/wordprocessingShape">
                    <wps:wsp>
                      <wps:cNvCnPr/>
                      <wps:spPr>
                        <a:xfrm flipV="1">
                          <a:off x="4114800" y="3862705"/>
                          <a:ext cx="690245" cy="107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2.2pt;margin-top:17pt;height:0.85pt;width:54.35pt;z-index:-1675114496;mso-width-relative:page;mso-height-relative:page;" filled="f" stroked="t" coordsize="21600,21600" o:gfxdata="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jk/ytkAAAAJAQAADwAAAAAAAAABACAAAAAiAAAAZHJz&#10;L2Rvd25yZXYueG1sUEsBAhQAFAAAAAgAh07iQOse8lwDAgAAzgMAAA4AAAAAAAAAAQAgAAAAKAEA&#10;AGRycy9lMm9Eb2MueG1sUEsFBgAAAAAGAAYAWQEAAJ0FAAAAAA==&#10;">
                <v:fill on="f" focussize="0,0"/>
                <v:stroke weight="0.5pt" color="#5B9BD5 [3204]" miterlimit="8" joinstyle="miter"/>
                <v:imagedata o:title=""/>
                <o:lock v:ext="edit" aspectratio="f"/>
              </v:line>
            </w:pict>
          </mc:Fallback>
        </mc:AlternateContent>
      </w:r>
      <w:r>
        <w:rPr>
          <w:sz w:val="28"/>
        </w:rPr>
        <mc:AlternateContent>
          <mc:Choice Requires="wps">
            <w:drawing>
              <wp:anchor distT="0" distB="0" distL="114300" distR="114300" simplePos="0" relativeHeight="2619851776" behindDoc="0" locked="0" layoutInCell="1" allowOverlap="1">
                <wp:simplePos x="0" y="0"/>
                <wp:positionH relativeFrom="column">
                  <wp:posOffset>3329940</wp:posOffset>
                </wp:positionH>
                <wp:positionV relativeFrom="paragraph">
                  <wp:posOffset>248920</wp:posOffset>
                </wp:positionV>
                <wp:extent cx="11430" cy="153035"/>
                <wp:effectExtent l="4445" t="0" r="22225" b="17780"/>
                <wp:wrapNone/>
                <wp:docPr id="106" name="直接连接符 106"/>
                <wp:cNvGraphicFramePr/>
                <a:graphic xmlns:a="http://schemas.openxmlformats.org/drawingml/2006/main">
                  <a:graphicData uri="http://schemas.microsoft.com/office/word/2010/wordprocessingShape">
                    <wps:wsp>
                      <wps:cNvCnPr/>
                      <wps:spPr>
                        <a:xfrm flipV="1">
                          <a:off x="4114800" y="3895725"/>
                          <a:ext cx="11430" cy="1530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2.2pt;margin-top:19.6pt;height:12.05pt;width:0.9pt;z-index:-1675115520;mso-width-relative:page;mso-height-relative:page;" filled="f" stroked="t" coordsize="21600,21600" o:gfxdata="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tZJ62gAAAAkBAAAPAAAAAAAAAAEAIAAAACIAAABkcnMv&#10;ZG93bnJldi54bWxQSwECFAAUAAAACACHTuJAFrguqgECAADOAwAADgAAAAAAAAABACAAAAApAQAA&#10;ZHJzL2Uyb0RvYy54bWxQSwUGAAAAAAYABgBZAQAAnAUAAAAA&#10;">
                <v:fill on="f" focussize="0,0"/>
                <v:stroke weight="0.5pt" color="#5B9BD5 [3204]" miterlimit="8" joinstyle="miter"/>
                <v:imagedata o:title=""/>
                <o:lock v:ext="edit" aspectratio="f"/>
              </v:line>
            </w:pict>
          </mc:Fallback>
        </mc:AlternateContent>
      </w:r>
      <w:r>
        <w:rPr>
          <w:sz w:val="28"/>
        </w:rPr>
        <mc:AlternateContent>
          <mc:Choice Requires="wps">
            <w:drawing>
              <wp:anchor distT="0" distB="0" distL="114300" distR="114300" simplePos="0" relativeHeight="2619845632" behindDoc="0" locked="0" layoutInCell="1" allowOverlap="1">
                <wp:simplePos x="0" y="0"/>
                <wp:positionH relativeFrom="column">
                  <wp:posOffset>3987165</wp:posOffset>
                </wp:positionH>
                <wp:positionV relativeFrom="paragraph">
                  <wp:posOffset>215900</wp:posOffset>
                </wp:positionV>
                <wp:extent cx="306705" cy="864870"/>
                <wp:effectExtent l="4445" t="1905" r="12700" b="9525"/>
                <wp:wrapNone/>
                <wp:docPr id="92" name="直接连接符 92"/>
                <wp:cNvGraphicFramePr/>
                <a:graphic xmlns:a="http://schemas.openxmlformats.org/drawingml/2006/main">
                  <a:graphicData uri="http://schemas.microsoft.com/office/word/2010/wordprocessingShape">
                    <wps:wsp>
                      <wps:cNvCnPr/>
                      <wps:spPr>
                        <a:xfrm>
                          <a:off x="4772025" y="3862705"/>
                          <a:ext cx="306705" cy="8648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13.95pt;margin-top:17pt;height:68.1pt;width:24.15pt;z-index:-1675121664;mso-width-relative:page;mso-height-relative:page;" filled="f" stroked="t" coordsize="21600,21600" o:gfxdata="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KpwsnNkAAAAKAQAADwAAAAAAAAABACAAAAAiAAAAZHJzL2Rvd25y&#10;ZXYueG1sUEsBAhQAFAAAAAgAh07iQFndt479AQAAwwMAAA4AAAAAAAAAAQAgAAAAKAEAAGRycy9l&#10;Mm9Eb2MueG1sUEsFBgAAAAAGAAYAWQEAAJcFAAAAAA==&#10;">
                <v:fill on="f" focussize="0,0"/>
                <v:stroke weight="0.5pt" color="#5B9BD5 [3204]" miterlimit="8" joinstyle="miter"/>
                <v:imagedata o:title=""/>
                <o:lock v:ext="edit" aspectratio="f"/>
              </v:line>
            </w:pict>
          </mc:Fallback>
        </mc:AlternateContent>
      </w:r>
    </w:p>
    <w:p>
      <w:pPr>
        <w:pStyle w:val="2"/>
        <w:rPr>
          <w:rFonts w:hint="eastAsia" w:eastAsia="宋体"/>
          <w:lang w:eastAsia="zh-CN"/>
        </w:rPr>
      </w:pPr>
      <w:r>
        <w:rPr>
          <w:sz w:val="28"/>
        </w:rPr>
        <mc:AlternateContent>
          <mc:Choice Requires="wps">
            <w:drawing>
              <wp:anchor distT="0" distB="0" distL="114300" distR="114300" simplePos="0" relativeHeight="693083136" behindDoc="0" locked="0" layoutInCell="1" allowOverlap="1">
                <wp:simplePos x="0" y="0"/>
                <wp:positionH relativeFrom="column">
                  <wp:posOffset>2431415</wp:posOffset>
                </wp:positionH>
                <wp:positionV relativeFrom="paragraph">
                  <wp:posOffset>321945</wp:posOffset>
                </wp:positionV>
                <wp:extent cx="196850" cy="229870"/>
                <wp:effectExtent l="26035" t="34925" r="43815" b="40005"/>
                <wp:wrapNone/>
                <wp:docPr id="111" name="十字星 111"/>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91.45pt;margin-top:25.35pt;height:18.1pt;width:15.5pt;z-index:693083136;v-text-anchor:middle;mso-width-relative:page;mso-height-relative:page;" fillcolor="#FFFFFF [3201]" filled="t" stroked="t" coordsize="21600,21600" o:gfxdata="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FQnNgAAAAJAQAADwAAAAAAAAABACAAAAAi&#10;AAAAZHJzL2Rvd25yZXYueG1sUEsBAhQAFAAAAAgAh07iQCnGSHd8AgAABgUAAA4AAAAAAAAAAQAg&#10;AAAAJwEAAGRycy9lMm9Eb2MueG1sUEsFBgAAAAAGAAYAWQEAABUGA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619853824" behindDoc="0" locked="0" layoutInCell="1" allowOverlap="1">
                <wp:simplePos x="0" y="0"/>
                <wp:positionH relativeFrom="column">
                  <wp:posOffset>4118610</wp:posOffset>
                </wp:positionH>
                <wp:positionV relativeFrom="paragraph">
                  <wp:posOffset>191770</wp:posOffset>
                </wp:positionV>
                <wp:extent cx="196850" cy="229870"/>
                <wp:effectExtent l="26035" t="34925" r="43815" b="40005"/>
                <wp:wrapNone/>
                <wp:docPr id="108" name="十字星 108"/>
                <wp:cNvGraphicFramePr/>
                <a:graphic xmlns:a="http://schemas.openxmlformats.org/drawingml/2006/main">
                  <a:graphicData uri="http://schemas.microsoft.com/office/word/2010/wordprocessingShape">
                    <wps:wsp>
                      <wps:cNvSpPr/>
                      <wps:spPr>
                        <a:xfrm>
                          <a:off x="4903470" y="4180205"/>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24.3pt;margin-top:15.1pt;height:18.1pt;width:15.5pt;z-index:-1675113472;v-text-anchor:middle;mso-width-relative:page;mso-height-relative:page;" fillcolor="#FFFFFF [3201]" filled="t" stroked="t" coordsize="21600,21600" o:gfxdata="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SgYxHtcAAAAJAQAADwAAAAAA&#10;AAABACAAAAAiAAAAZHJzL2Rvd25yZXYueG1sUEsBAhQAFAAAAAgAh07iQEtXoWSGAgAAEgUAAA4A&#10;AAAAAAAAAQAgAAAAJgEAAGRycy9lMm9Eb2MueG1sUEsFBgAAAAAGAAYAWQEAAB4GA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619850752" behindDoc="0" locked="0" layoutInCell="1" allowOverlap="1">
                <wp:simplePos x="0" y="0"/>
                <wp:positionH relativeFrom="column">
                  <wp:posOffset>2519680</wp:posOffset>
                </wp:positionH>
                <wp:positionV relativeFrom="paragraph">
                  <wp:posOffset>114935</wp:posOffset>
                </wp:positionV>
                <wp:extent cx="854075" cy="98425"/>
                <wp:effectExtent l="635" t="4445" r="2540" b="11430"/>
                <wp:wrapNone/>
                <wp:docPr id="105" name="直接连接符 105"/>
                <wp:cNvGraphicFramePr/>
                <a:graphic xmlns:a="http://schemas.openxmlformats.org/drawingml/2006/main">
                  <a:graphicData uri="http://schemas.microsoft.com/office/word/2010/wordprocessingShape">
                    <wps:wsp>
                      <wps:cNvCnPr/>
                      <wps:spPr>
                        <a:xfrm flipV="1">
                          <a:off x="3304540" y="4103370"/>
                          <a:ext cx="854075" cy="98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8.4pt;margin-top:9.05pt;height:7.75pt;width:67.25pt;z-index:-1675116544;mso-width-relative:page;mso-height-relative:page;" filled="f" stroked="t" coordsize="21600,21600" o:gfxdata="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Yslz7YAAAACQEAAA8AAAAAAAAAAQAgAAAAIgAAAGRycy9k&#10;b3ducmV2LnhtbFBLAQIUABQAAAAIAIdO4kCYOoMFAgIAAM4DAAAOAAAAAAAAAAEAIAAAACcBAABk&#10;cnMvZTJvRG9jLnhtbFBLBQYAAAAABgAGAFkBAACbBQAAAAA=&#10;">
                <v:fill on="f" focussize="0,0"/>
                <v:stroke weight="0.5pt" color="#5B9BD5 [3204]" miterlimit="8" joinstyle="miter"/>
                <v:imagedata o:title=""/>
                <o:lock v:ext="edit" aspectratio="f"/>
              </v:line>
            </w:pict>
          </mc:Fallback>
        </mc:AlternateContent>
      </w:r>
      <w:r>
        <w:rPr>
          <w:sz w:val="28"/>
        </w:rPr>
        <mc:AlternateContent>
          <mc:Choice Requires="wps">
            <w:drawing>
              <wp:anchor distT="0" distB="0" distL="114300" distR="114300" simplePos="0" relativeHeight="2619849728" behindDoc="0" locked="0" layoutInCell="1" allowOverlap="1">
                <wp:simplePos x="0" y="0"/>
                <wp:positionH relativeFrom="column">
                  <wp:posOffset>2531110</wp:posOffset>
                </wp:positionH>
                <wp:positionV relativeFrom="paragraph">
                  <wp:posOffset>224790</wp:posOffset>
                </wp:positionV>
                <wp:extent cx="76200" cy="415925"/>
                <wp:effectExtent l="4445" t="635" r="14605" b="2540"/>
                <wp:wrapNone/>
                <wp:docPr id="100" name="直接连接符 100"/>
                <wp:cNvGraphicFramePr/>
                <a:graphic xmlns:a="http://schemas.openxmlformats.org/drawingml/2006/main">
                  <a:graphicData uri="http://schemas.microsoft.com/office/word/2010/wordprocessingShape">
                    <wps:wsp>
                      <wps:cNvCnPr/>
                      <wps:spPr>
                        <a:xfrm flipH="1" flipV="1">
                          <a:off x="3315970" y="4213225"/>
                          <a:ext cx="76200" cy="415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99.3pt;margin-top:17.7pt;height:32.75pt;width:6pt;z-index:-1675117568;mso-width-relative:page;mso-height-relative:page;" filled="f" stroked="t" coordsize="21600,21600" o:gfxdata="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&#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4F3MTXAAAACgEAAA8AAAAAAAAAAQAgAAAAIgAAAGRy&#10;cy9kb3ducmV2LnhtbFBLAQIUABQAAAAIAIdO4kAZoSgeBgIAANgDAAAOAAAAAAAAAAEAIAAAACYB&#10;AABkcnMvZTJvRG9jLnhtbFBLBQYAAAAABgAGAFkBAACeBQAAAAA=&#10;">
                <v:fill on="f" focussize="0,0"/>
                <v:stroke weight="0.5pt" color="#5B9BD5 [3204]" miterlimit="8" joinstyle="miter"/>
                <v:imagedata o:title=""/>
                <o:lock v:ext="edit" aspectratio="f"/>
              </v:line>
            </w:pict>
          </mc:Fallback>
        </mc:AlternateContent>
      </w:r>
    </w:p>
    <w:p>
      <w:pPr>
        <w:pStyle w:val="2"/>
        <w:rPr>
          <w:rFonts w:hint="eastAsia" w:eastAsia="宋体"/>
          <w:lang w:eastAsia="zh-CN"/>
        </w:rPr>
      </w:pPr>
      <w:r>
        <w:rPr>
          <w:sz w:val="28"/>
        </w:rPr>
        <mc:AlternateContent>
          <mc:Choice Requires="wps">
            <w:drawing>
              <wp:anchor distT="0" distB="0" distL="114300" distR="114300" simplePos="0" relativeHeight="693083136" behindDoc="0" locked="0" layoutInCell="1" allowOverlap="1">
                <wp:simplePos x="0" y="0"/>
                <wp:positionH relativeFrom="column">
                  <wp:posOffset>3394710</wp:posOffset>
                </wp:positionH>
                <wp:positionV relativeFrom="paragraph">
                  <wp:posOffset>243840</wp:posOffset>
                </wp:positionV>
                <wp:extent cx="196850" cy="229870"/>
                <wp:effectExtent l="26035" t="34925" r="43815" b="40005"/>
                <wp:wrapNone/>
                <wp:docPr id="110" name="十字星 110"/>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67.3pt;margin-top:19.2pt;height:18.1pt;width:15.5pt;z-index:693083136;v-text-anchor:middle;mso-width-relative:page;mso-height-relative:page;" fillcolor="#FFFFFF [3201]" filled="t" stroked="t" coordsize="21600,21600" o:gfxdata="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IbILm1wAAAAkBAAAPAAAAAAAAAAEAIAAAACIA&#10;AABkcnMvZG93bnJldi54bWxQSwECFAAUAAAACACHTuJAQjiY4XwCAAAGBQAADgAAAAAAAAABACAA&#10;AAAmAQAAZHJzL2Uyb0RvYy54bWxQSwUGAAAAAAYABgBZAQAAFAY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2619848704" behindDoc="0" locked="0" layoutInCell="1" allowOverlap="1">
                <wp:simplePos x="0" y="0"/>
                <wp:positionH relativeFrom="column">
                  <wp:posOffset>2596515</wp:posOffset>
                </wp:positionH>
                <wp:positionV relativeFrom="paragraph">
                  <wp:posOffset>299085</wp:posOffset>
                </wp:positionV>
                <wp:extent cx="963295" cy="33020"/>
                <wp:effectExtent l="0" t="4445" r="8255" b="19685"/>
                <wp:wrapNone/>
                <wp:docPr id="99" name="直接连接符 99"/>
                <wp:cNvGraphicFramePr/>
                <a:graphic xmlns:a="http://schemas.openxmlformats.org/drawingml/2006/main">
                  <a:graphicData uri="http://schemas.microsoft.com/office/word/2010/wordprocessingShape">
                    <wps:wsp>
                      <wps:cNvCnPr/>
                      <wps:spPr>
                        <a:xfrm flipH="1">
                          <a:off x="3381375" y="4629150"/>
                          <a:ext cx="963295" cy="33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04.45pt;margin-top:23.55pt;height:2.6pt;width:75.85pt;z-index:-1675118592;mso-width-relative:page;mso-height-relative:page;" filled="f" stroked="t" coordsize="21600,21600" o:gfxdata="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5ITbLNkAAAAJAQAADwAAAAAAAAABACAAAAAiAAAAZHJz&#10;L2Rvd25yZXYueG1sUEsBAhQAFAAAAAgAh07iQLaWaEEDAgAAzAMAAA4AAAAAAAAAAQAgAAAAKAEA&#10;AGRycy9lMm9Eb2MueG1sUEsFBgAAAAAGAAYAWQEAAJ0FAAAAAA==&#10;">
                <v:fill on="f" focussize="0,0"/>
                <v:stroke weight="0.5pt" color="#5B9BD5 [3204]" miterlimit="8" joinstyle="miter"/>
                <v:imagedata o:title=""/>
                <o:lock v:ext="edit" aspectratio="f"/>
              </v:line>
            </w:pict>
          </mc:Fallback>
        </mc:AlternateContent>
      </w:r>
      <w:r>
        <w:rPr>
          <w:sz w:val="28"/>
        </w:rPr>
        <mc:AlternateContent>
          <mc:Choice Requires="wps">
            <w:drawing>
              <wp:anchor distT="0" distB="0" distL="114300" distR="114300" simplePos="0" relativeHeight="2619847680" behindDoc="0" locked="0" layoutInCell="1" allowOverlap="1">
                <wp:simplePos x="0" y="0"/>
                <wp:positionH relativeFrom="column">
                  <wp:posOffset>3582035</wp:posOffset>
                </wp:positionH>
                <wp:positionV relativeFrom="paragraph">
                  <wp:posOffset>299085</wp:posOffset>
                </wp:positionV>
                <wp:extent cx="164465" cy="251460"/>
                <wp:effectExtent l="3810" t="2540" r="22225" b="12700"/>
                <wp:wrapNone/>
                <wp:docPr id="98" name="直接连接符 98"/>
                <wp:cNvGraphicFramePr/>
                <a:graphic xmlns:a="http://schemas.openxmlformats.org/drawingml/2006/main">
                  <a:graphicData uri="http://schemas.microsoft.com/office/word/2010/wordprocessingShape">
                    <wps:wsp>
                      <wps:cNvCnPr/>
                      <wps:spPr>
                        <a:xfrm flipH="1" flipV="1">
                          <a:off x="4366895" y="4629150"/>
                          <a:ext cx="164465" cy="2514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82.05pt;margin-top:23.55pt;height:19.8pt;width:12.95pt;z-index:-1675119616;mso-width-relative:page;mso-height-relative:page;" filled="f" stroked="t" coordsize="21600,21600" o:gfxdata="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4v8f/YAAAACQEAAA8AAAAAAAAAAQAgAAAAIgAA&#10;AGRycy9kb3ducmV2LnhtbFBLAQIUABQAAAAIAIdO4kDr0UQxCAIAANcDAAAOAAAAAAAAAAEAIAAA&#10;ACcBAABkcnMvZTJvRG9jLnhtbFBLBQYAAAAABgAGAFkBAAChBQAAAAA=&#10;">
                <v:fill on="f" focussize="0,0"/>
                <v:stroke weight="0.5pt" color="#5B9BD5 [3204]" miterlimit="8" joinstyle="miter"/>
                <v:imagedata o:title=""/>
                <o:lock v:ext="edit" aspectratio="f"/>
              </v:line>
            </w:pict>
          </mc:Fallback>
        </mc:AlternateContent>
      </w:r>
    </w:p>
    <w:p>
      <w:pPr>
        <w:pStyle w:val="2"/>
        <w:rPr>
          <w:rFonts w:hint="eastAsia" w:eastAsia="宋体"/>
          <w:lang w:eastAsia="zh-CN"/>
        </w:rPr>
      </w:pPr>
      <w:r>
        <w:rPr>
          <w:sz w:val="28"/>
        </w:rPr>
        <mc:AlternateContent>
          <mc:Choice Requires="wps">
            <w:drawing>
              <wp:anchor distT="0" distB="0" distL="114300" distR="114300" simplePos="0" relativeHeight="2619846656" behindDoc="0" locked="0" layoutInCell="1" allowOverlap="1">
                <wp:simplePos x="0" y="0"/>
                <wp:positionH relativeFrom="column">
                  <wp:posOffset>3768090</wp:posOffset>
                </wp:positionH>
                <wp:positionV relativeFrom="paragraph">
                  <wp:posOffset>45085</wp:posOffset>
                </wp:positionV>
                <wp:extent cx="536575" cy="186055"/>
                <wp:effectExtent l="1270" t="4445" r="14605" b="19050"/>
                <wp:wrapNone/>
                <wp:docPr id="97" name="直接连接符 97"/>
                <wp:cNvGraphicFramePr/>
                <a:graphic xmlns:a="http://schemas.openxmlformats.org/drawingml/2006/main">
                  <a:graphicData uri="http://schemas.microsoft.com/office/word/2010/wordprocessingShape">
                    <wps:wsp>
                      <wps:cNvCnPr/>
                      <wps:spPr>
                        <a:xfrm flipH="1">
                          <a:off x="4552950" y="4716780"/>
                          <a:ext cx="536575" cy="1860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96.7pt;margin-top:3.55pt;height:14.65pt;width:42.25pt;z-index:-1675120640;mso-width-relative:page;mso-height-relative:page;" filled="f" stroked="t" coordsize="21600,21600" o:gfxdata="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&#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xsheHaAAAACAEAAA8AAAAAAAAAAQAgAAAAIgAAAGRy&#10;cy9kb3ducmV2LnhtbFBLAQIUABQAAAAIAIdO4kAGASGBAwIAAM0DAAAOAAAAAAAAAAEAIAAAACkB&#10;AABkcnMvZTJvRG9jLnhtbFBLBQYAAAAABgAGAFkBAACeBQAAAAA=&#10;">
                <v:fill on="f" focussize="0,0"/>
                <v:stroke weight="0.5pt" color="#5B9BD5 [3204]" miterlimit="8" joinstyle="miter"/>
                <v:imagedata o:title=""/>
                <o:lock v:ext="edit" aspectratio="f"/>
              </v:line>
            </w:pict>
          </mc:Fallback>
        </mc:AlternateContent>
      </w:r>
    </w:p>
    <w:p>
      <w:pPr>
        <w:pStyle w:val="2"/>
        <w:rPr>
          <w:rFonts w:hint="eastAsia" w:eastAsia="宋体"/>
          <w:lang w:eastAsia="zh-CN"/>
        </w:rPr>
      </w:pPr>
    </w:p>
    <w:p>
      <w:pPr>
        <w:pStyle w:val="2"/>
        <w:rPr>
          <w:rFonts w:hint="eastAsia" w:eastAsia="宋体"/>
          <w:lang w:eastAsia="zh-CN"/>
        </w:rPr>
      </w:pPr>
      <w:r>
        <w:rPr>
          <w:sz w:val="28"/>
        </w:rPr>
        <mc:AlternateContent>
          <mc:Choice Requires="wps">
            <w:drawing>
              <wp:anchor distT="0" distB="0" distL="114300" distR="114300" simplePos="0" relativeHeight="2619854848" behindDoc="1" locked="0" layoutInCell="1" allowOverlap="1">
                <wp:simplePos x="0" y="0"/>
                <wp:positionH relativeFrom="column">
                  <wp:posOffset>4490085</wp:posOffset>
                </wp:positionH>
                <wp:positionV relativeFrom="paragraph">
                  <wp:posOffset>5080</wp:posOffset>
                </wp:positionV>
                <wp:extent cx="1652905" cy="799465"/>
                <wp:effectExtent l="4445" t="4445" r="19050" b="15240"/>
                <wp:wrapNone/>
                <wp:docPr id="112" name="文本框 112"/>
                <wp:cNvGraphicFramePr/>
                <a:graphic xmlns:a="http://schemas.openxmlformats.org/drawingml/2006/main">
                  <a:graphicData uri="http://schemas.microsoft.com/office/word/2010/wordprocessingShape">
                    <wps:wsp>
                      <wps:cNvSpPr txBox="1"/>
                      <wps:spPr>
                        <a:xfrm>
                          <a:off x="5428615" y="5491480"/>
                          <a:ext cx="1652905" cy="7994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lang w:val="en-US" w:eastAsia="zh-CN"/>
                              </w:rPr>
                            </w:pPr>
                            <w:r>
                              <w:rPr>
                                <w:rFonts w:hint="eastAsia"/>
                                <w:lang w:val="en-US" w:eastAsia="zh-CN"/>
                              </w:rPr>
                              <w:t xml:space="preserve">     厂界范围</w:t>
                            </w:r>
                          </w:p>
                          <w:p>
                            <w:pPr>
                              <w:pStyle w:val="2"/>
                              <w:ind w:left="0" w:leftChars="0" w:firstLine="560" w:firstLineChars="200"/>
                              <w:rPr>
                                <w:rFonts w:hint="default"/>
                                <w:lang w:val="en-US" w:eastAsia="zh-CN"/>
                              </w:rPr>
                            </w:pPr>
                            <w:r>
                              <w:rPr>
                                <w:rFonts w:hint="eastAsia"/>
                                <w:lang w:val="en-US" w:eastAsia="zh-CN"/>
                              </w:rPr>
                              <w:t>噪声检测点位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55pt;margin-top:0.4pt;height:62.95pt;width:130.15pt;z-index:2116538368;mso-width-relative:page;mso-height-relative:page;" fillcolor="#FFFFFF [3201]" filled="t" stroked="t" coordsize="21600,21600" o:gfxdata="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no7721QAAAAgBAAAPAAAAAAAAAAEAIAAAACIAAABkcnMvZG93bnJldi54bWxQSwECFAAUAAAA&#10;CACHTuJAbkJ8aGMCAADHBAAADgAAAAAAAAABACAAAAAkAQAAZHJzL2Uyb0RvYy54bWxQSwUGAAAA&#10;AAYABgBZAQAA+QUAAAAA&#10;">
                <v:fill on="t" focussize="0,0"/>
                <v:stroke weight="0.5pt" color="#000000 [3204]" joinstyle="round"/>
                <v:imagedata o:title=""/>
                <o:lock v:ext="edit" aspectratio="f"/>
                <v:textbox>
                  <w:txbxContent>
                    <w:p>
                      <w:pPr>
                        <w:ind w:left="0" w:leftChars="0" w:firstLine="0" w:firstLineChars="0"/>
                        <w:rPr>
                          <w:rFonts w:hint="eastAsia"/>
                          <w:lang w:val="en-US" w:eastAsia="zh-CN"/>
                        </w:rPr>
                      </w:pPr>
                      <w:r>
                        <w:rPr>
                          <w:rFonts w:hint="eastAsia"/>
                          <w:lang w:val="en-US" w:eastAsia="zh-CN"/>
                        </w:rPr>
                        <w:t xml:space="preserve">     厂界范围</w:t>
                      </w:r>
                    </w:p>
                    <w:p>
                      <w:pPr>
                        <w:pStyle w:val="2"/>
                        <w:ind w:left="0" w:leftChars="0" w:firstLine="560" w:firstLineChars="200"/>
                        <w:rPr>
                          <w:rFonts w:hint="default"/>
                          <w:lang w:val="en-US" w:eastAsia="zh-CN"/>
                        </w:rPr>
                      </w:pPr>
                      <w:r>
                        <w:rPr>
                          <w:rFonts w:hint="eastAsia"/>
                          <w:lang w:val="en-US" w:eastAsia="zh-CN"/>
                        </w:rPr>
                        <w:t>噪声检测点位</w:t>
                      </w:r>
                    </w:p>
                  </w:txbxContent>
                </v:textbox>
              </v:shape>
            </w:pict>
          </mc:Fallback>
        </mc:AlternateContent>
      </w:r>
      <w:r>
        <w:rPr>
          <w:sz w:val="28"/>
        </w:rPr>
        <mc:AlternateContent>
          <mc:Choice Requires="wps">
            <w:drawing>
              <wp:anchor distT="0" distB="0" distL="114300" distR="114300" simplePos="0" relativeHeight="2619855872" behindDoc="0" locked="0" layoutInCell="1" allowOverlap="1">
                <wp:simplePos x="0" y="0"/>
                <wp:positionH relativeFrom="column">
                  <wp:posOffset>4655185</wp:posOffset>
                </wp:positionH>
                <wp:positionV relativeFrom="paragraph">
                  <wp:posOffset>202565</wp:posOffset>
                </wp:positionV>
                <wp:extent cx="251460" cy="0"/>
                <wp:effectExtent l="0" t="0" r="0" b="0"/>
                <wp:wrapNone/>
                <wp:docPr id="113" name="直接连接符 113"/>
                <wp:cNvGraphicFramePr/>
                <a:graphic xmlns:a="http://schemas.openxmlformats.org/drawingml/2006/main">
                  <a:graphicData uri="http://schemas.microsoft.com/office/word/2010/wordprocessingShape">
                    <wps:wsp>
                      <wps:cNvCnPr/>
                      <wps:spPr>
                        <a:xfrm>
                          <a:off x="5440045" y="5557520"/>
                          <a:ext cx="251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6.55pt;margin-top:15.95pt;height:0pt;width:19.8pt;z-index:-1675111424;mso-width-relative:page;mso-height-relative:page;" filled="f" stroked="t" coordsize="21600,21600" o:gfxdata="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SoR032AAAAAkBAAAPAAAAAAAAAAEAIAAAACIAAABkcnMvZG93bnJldi54bWxQ&#10;SwECFAAUAAAACACHTuJAvjkXV/cBAADAAwAADgAAAAAAAAABACAAAAAnAQAAZHJzL2Uyb0RvYy54&#10;bWxQSwUGAAAAAAYABgBZAQAAkAUAAAAA&#10;">
                <v:fill on="f" focussize="0,0"/>
                <v:stroke weight="0.5pt" color="#5B9BD5 [3204]" miterlimit="8" joinstyle="miter"/>
                <v:imagedata o:title=""/>
                <o:lock v:ext="edit" aspectratio="f"/>
              </v:line>
            </w:pict>
          </mc:Fallback>
        </mc:AlternateContent>
      </w:r>
    </w:p>
    <w:p>
      <w:pPr>
        <w:pStyle w:val="2"/>
        <w:rPr>
          <w:rFonts w:hint="eastAsia" w:eastAsia="宋体"/>
          <w:lang w:eastAsia="zh-CN"/>
        </w:rPr>
      </w:pPr>
      <w:r>
        <w:rPr>
          <w:sz w:val="28"/>
        </w:rPr>
        <mc:AlternateContent>
          <mc:Choice Requires="wps">
            <w:drawing>
              <wp:anchor distT="0" distB="0" distL="114300" distR="114300" simplePos="0" relativeHeight="693085184" behindDoc="0" locked="0" layoutInCell="1" allowOverlap="1">
                <wp:simplePos x="0" y="0"/>
                <wp:positionH relativeFrom="column">
                  <wp:posOffset>4676140</wp:posOffset>
                </wp:positionH>
                <wp:positionV relativeFrom="paragraph">
                  <wp:posOffset>125095</wp:posOffset>
                </wp:positionV>
                <wp:extent cx="196850" cy="229870"/>
                <wp:effectExtent l="26035" t="34925" r="43815" b="40005"/>
                <wp:wrapNone/>
                <wp:docPr id="115" name="十字星 115"/>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68.2pt;margin-top:9.85pt;height:18.1pt;width:15.5pt;z-index:693085184;v-text-anchor:middle;mso-width-relative:page;mso-height-relative:page;" fillcolor="#FFFFFF [3201]" filled="t" stroked="t" coordsize="21600,21600" o:gfxdata="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muDvNcAAAAJAQAADwAAAAAAAAABACAAAAAi&#10;AAAAZHJzL2Rvd25yZXYueG1sUEsBAhQAFAAAAAgAh07iQEY1mEF9AgAABgUAAA4AAAAAAAAAAQAg&#10;AAAAJgEAAGRycy9lMm9Eb2MueG1sUEsFBgAAAAAGAAYAWQEAABUGAAAAAA==&#10;" adj="8100">
                <v:fill on="t" focussize="0,0"/>
                <v:stroke weight="1pt" color="#000000 [3200]" miterlimit="8" joinstyle="miter"/>
                <v:imagedata o:title=""/>
                <o:lock v:ext="edit" aspectratio="f"/>
                <v:textbox>
                  <w:txbxContent>
                    <w:p>
                      <w:pPr>
                        <w:jc w:val="center"/>
                      </w:pPr>
                    </w:p>
                  </w:txbxContent>
                </v:textbox>
              </v:shape>
            </w:pict>
          </mc:Fallback>
        </mc:AlternateContent>
      </w:r>
    </w:p>
    <w:p>
      <w:pPr>
        <w:pStyle w:val="2"/>
        <w:rPr>
          <w:rFonts w:hint="eastAsia" w:eastAsia="宋体"/>
          <w:lang w:eastAsia="zh-CN"/>
        </w:rPr>
      </w:pPr>
    </w:p>
    <w:p>
      <w:pPr>
        <w:pStyle w:val="2"/>
        <w:jc w:val="center"/>
        <w:rPr>
          <w:rFonts w:hint="default" w:eastAsia="宋体"/>
          <w:lang w:val="en-US" w:eastAsia="zh-CN"/>
        </w:rPr>
      </w:pPr>
      <w:r>
        <w:rPr>
          <w:rFonts w:hint="eastAsia"/>
          <w:b/>
          <w:bCs/>
          <w:lang w:eastAsia="zh-CN"/>
        </w:rPr>
        <w:t>附图</w:t>
      </w:r>
      <w:r>
        <w:rPr>
          <w:rFonts w:hint="eastAsia"/>
          <w:b/>
          <w:bCs/>
          <w:lang w:val="en-US" w:eastAsia="zh-CN"/>
        </w:rPr>
        <w:t>7  噪声检测点位布置图</w:t>
      </w:r>
    </w:p>
    <w:p>
      <w:pPr>
        <w:rPr>
          <w:rFonts w:hint="eastAsia" w:eastAsia="宋体"/>
          <w:lang w:eastAsia="zh-CN"/>
        </w:rPr>
      </w:pPr>
      <w:r>
        <w:rPr>
          <w:rFonts w:hint="eastAsia" w:eastAsia="宋体"/>
          <w:lang w:eastAsia="zh-CN"/>
        </w:rPr>
        <w:br w:type="page"/>
      </w:r>
    </w:p>
    <w:p>
      <w:pPr>
        <w:pStyle w:val="2"/>
        <w:rPr>
          <w:rFonts w:hint="eastAsia" w:eastAsia="宋体"/>
          <w:lang w:eastAsia="zh-CN"/>
        </w:rPr>
      </w:pPr>
    </w:p>
    <w:p>
      <w:pPr>
        <w:pStyle w:val="2"/>
        <w:rPr>
          <w:rFonts w:hint="eastAsia" w:eastAsia="宋体"/>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color w:val="auto"/>
          <w:sz w:val="30"/>
          <w:szCs w:val="30"/>
        </w:rPr>
      </w:pPr>
      <w:r>
        <w:rPr>
          <w:rFonts w:hint="eastAsia"/>
          <w:color w:val="auto"/>
          <w:sz w:val="30"/>
          <w:szCs w:val="30"/>
        </w:rPr>
        <w:t>附件一：</w:t>
      </w:r>
      <w:r>
        <w:rPr>
          <w:rFonts w:hint="eastAsia"/>
          <w:color w:val="auto"/>
          <w:sz w:val="30"/>
          <w:szCs w:val="30"/>
          <w:lang w:val="en-US" w:eastAsia="zh-CN"/>
        </w:rPr>
        <w:t xml:space="preserve">                  </w:t>
      </w:r>
    </w:p>
    <w:p>
      <w:pPr>
        <w:rPr>
          <w:rFonts w:hint="eastAsia"/>
          <w:color w:val="auto"/>
          <w:sz w:val="30"/>
          <w:szCs w:val="30"/>
        </w:rPr>
      </w:pPr>
    </w:p>
    <w:p>
      <w:pPr>
        <w:jc w:val="center"/>
        <w:rPr>
          <w:rFonts w:hint="eastAsia" w:eastAsia="宋体"/>
          <w:color w:val="auto"/>
          <w:sz w:val="30"/>
          <w:szCs w:val="30"/>
          <w:lang w:val="en-US" w:eastAsia="zh-CN"/>
        </w:rPr>
      </w:pPr>
      <w:r>
        <w:rPr>
          <w:rFonts w:hint="eastAsia"/>
          <w:color w:val="auto"/>
          <w:sz w:val="30"/>
          <w:szCs w:val="30"/>
          <w:lang w:val="en-US" w:eastAsia="zh-CN"/>
        </w:rPr>
        <w:t>委托书</w:t>
      </w:r>
    </w:p>
    <w:p>
      <w:pPr>
        <w:jc w:val="left"/>
        <w:rPr>
          <w:rFonts w:hint="eastAsia"/>
          <w:sz w:val="28"/>
          <w:szCs w:val="28"/>
          <w:lang w:val="en-US" w:eastAsia="zh-CN"/>
        </w:rPr>
      </w:pPr>
      <w:r>
        <w:rPr>
          <w:rFonts w:hint="eastAsia"/>
          <w:sz w:val="28"/>
          <w:szCs w:val="28"/>
          <w:lang w:val="en-US" w:eastAsia="zh-CN"/>
        </w:rPr>
        <w:t xml:space="preserve"> </w:t>
      </w: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r>
        <w:rPr>
          <w:rFonts w:hint="eastAsia"/>
          <w:sz w:val="28"/>
          <w:szCs w:val="28"/>
          <w:lang w:val="en-US" w:eastAsia="zh-CN"/>
        </w:rPr>
        <w:t>根据我市的有关规定及建设项目环境管理的相关要求，为了做好公司的环境保护工作，我单位授权委托</w:t>
      </w:r>
      <w:r>
        <w:rPr>
          <w:rFonts w:hint="eastAsia"/>
          <w:color w:val="auto"/>
          <w:sz w:val="28"/>
          <w:szCs w:val="28"/>
          <w:highlight w:val="none"/>
          <w:u w:val="none"/>
          <w:lang w:val="en-US" w:eastAsia="zh-CN"/>
        </w:rPr>
        <w:t>河北科祥环保科技有限公司</w:t>
      </w:r>
      <w:r>
        <w:rPr>
          <w:rFonts w:hint="eastAsia"/>
          <w:sz w:val="28"/>
          <w:szCs w:val="28"/>
          <w:lang w:val="en-US" w:eastAsia="zh-CN"/>
        </w:rPr>
        <w:t>办理</w:t>
      </w:r>
      <w:r>
        <w:rPr>
          <w:rFonts w:hint="eastAsia"/>
          <w:sz w:val="28"/>
          <w:szCs w:val="28"/>
          <w:u w:val="none"/>
          <w:lang w:eastAsia="zh-CN"/>
        </w:rPr>
        <w:t>河南高速能源有限责任公司鲁山经营部石人山服务区北加油站</w:t>
      </w:r>
      <w:r>
        <w:rPr>
          <w:rFonts w:hint="eastAsia"/>
          <w:sz w:val="28"/>
          <w:szCs w:val="28"/>
          <w:lang w:val="en-US" w:eastAsia="zh-CN"/>
        </w:rPr>
        <w:t>改建项目环境影响评价相关事宜。</w:t>
      </w:r>
    </w:p>
    <w:p>
      <w:pPr>
        <w:ind w:left="0" w:leftChars="0" w:firstLine="638" w:firstLineChars="228"/>
        <w:jc w:val="left"/>
        <w:rPr>
          <w:rFonts w:hint="eastAsia"/>
          <w:sz w:val="28"/>
          <w:szCs w:val="28"/>
          <w:lang w:val="en-US" w:eastAsia="zh-CN"/>
        </w:rPr>
      </w:pPr>
      <w:r>
        <w:rPr>
          <w:rFonts w:hint="eastAsia"/>
          <w:sz w:val="28"/>
          <w:szCs w:val="28"/>
          <w:lang w:val="en-US" w:eastAsia="zh-CN"/>
        </w:rPr>
        <w:t>我单位承诺所提交的全部申请文件及其附件真实、合法、有效，其电子文本与纸质文本及相关原件完全一致，具有同等法律效力。如因我单位提交的申请文件及其附件（含电子文本）失实或不符合有关法律法规而造成的任何不良后果的，由我单位承担相应的法律责任。</w:t>
      </w: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p>
    <w:p>
      <w:pPr>
        <w:ind w:firstLine="4480" w:firstLineChars="1600"/>
        <w:jc w:val="both"/>
        <w:rPr>
          <w:rFonts w:hint="eastAsia"/>
          <w:sz w:val="28"/>
          <w:szCs w:val="28"/>
          <w:u w:val="none"/>
          <w:lang w:eastAsia="zh-CN"/>
        </w:rPr>
      </w:pPr>
      <w:r>
        <w:rPr>
          <w:rFonts w:hint="eastAsia"/>
          <w:sz w:val="28"/>
          <w:szCs w:val="28"/>
          <w:u w:val="none"/>
          <w:lang w:eastAsia="zh-CN"/>
        </w:rPr>
        <w:t>河南高速能源有限责任公司鲁山经营</w:t>
      </w:r>
    </w:p>
    <w:p>
      <w:pPr>
        <w:ind w:firstLine="4480" w:firstLineChars="1600"/>
        <w:jc w:val="both"/>
        <w:rPr>
          <w:rFonts w:hint="eastAsia"/>
          <w:sz w:val="28"/>
          <w:szCs w:val="28"/>
          <w:lang w:val="en-US" w:eastAsia="zh-CN"/>
        </w:rPr>
      </w:pPr>
      <w:r>
        <w:rPr>
          <w:rFonts w:hint="eastAsia"/>
          <w:sz w:val="28"/>
          <w:szCs w:val="28"/>
          <w:u w:val="none"/>
          <w:lang w:eastAsia="zh-CN"/>
        </w:rPr>
        <w:t>部石人山服务区北加油站项目</w:t>
      </w:r>
      <w:r>
        <w:rPr>
          <w:rFonts w:hint="eastAsia"/>
          <w:sz w:val="28"/>
          <w:szCs w:val="28"/>
          <w:lang w:val="en-US" w:eastAsia="zh-CN"/>
        </w:rPr>
        <w:t>：（公章）</w:t>
      </w:r>
    </w:p>
    <w:p>
      <w:pPr>
        <w:ind w:firstLine="5040" w:firstLineChars="1800"/>
        <w:jc w:val="left"/>
        <w:rPr>
          <w:rFonts w:hint="eastAsia"/>
          <w:sz w:val="28"/>
          <w:szCs w:val="28"/>
          <w:lang w:val="en-US" w:eastAsia="zh-CN"/>
        </w:rPr>
      </w:pPr>
      <w:r>
        <w:rPr>
          <w:rFonts w:hint="eastAsia"/>
          <w:sz w:val="28"/>
          <w:szCs w:val="28"/>
          <w:lang w:val="en-US" w:eastAsia="zh-CN"/>
        </w:rPr>
        <w:t>2020年10月12日</w:t>
      </w:r>
    </w:p>
    <w:p>
      <w:pPr>
        <w:rPr>
          <w:rFonts w:hint="eastAsia"/>
          <w:sz w:val="28"/>
          <w:szCs w:val="28"/>
          <w:lang w:val="en-US" w:eastAsia="zh-CN"/>
        </w:rPr>
      </w:pPr>
      <w:r>
        <w:rPr>
          <w:rFonts w:hint="eastAsia"/>
          <w:sz w:val="28"/>
          <w:szCs w:val="28"/>
          <w:lang w:val="en-US" w:eastAsia="zh-CN"/>
        </w:rPr>
        <w:br w:type="page"/>
      </w:r>
      <w:r>
        <w:rPr>
          <w:rFonts w:hint="eastAsia"/>
          <w:sz w:val="28"/>
          <w:szCs w:val="28"/>
          <w:lang w:val="en-US" w:eastAsia="zh-CN"/>
        </w:rPr>
        <w:br w:type="page"/>
      </w:r>
    </w:p>
    <w:p>
      <w:pPr>
        <w:pStyle w:val="2"/>
        <w:rPr>
          <w:rFonts w:hint="eastAsia"/>
          <w:lang w:val="en-US" w:eastAsia="zh-CN"/>
        </w:rPr>
      </w:pPr>
      <w:r>
        <w:rPr>
          <w:rFonts w:hint="eastAsia"/>
          <w:sz w:val="30"/>
          <w:szCs w:val="30"/>
          <w:lang w:eastAsia="zh-CN"/>
        </w:rPr>
        <w:drawing>
          <wp:anchor distT="0" distB="0" distL="114300" distR="114300" simplePos="0" relativeHeight="898760704" behindDoc="1" locked="0" layoutInCell="1" allowOverlap="1">
            <wp:simplePos x="0" y="0"/>
            <wp:positionH relativeFrom="column">
              <wp:posOffset>-105410</wp:posOffset>
            </wp:positionH>
            <wp:positionV relativeFrom="paragraph">
              <wp:posOffset>238125</wp:posOffset>
            </wp:positionV>
            <wp:extent cx="6239510" cy="8780145"/>
            <wp:effectExtent l="0" t="0" r="8890" b="1905"/>
            <wp:wrapNone/>
            <wp:docPr id="45" name="图片 45" descr="9c5e1445161fbe13b2958a254eaa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c5e1445161fbe13b2958a254eaa745"/>
                    <pic:cNvPicPr>
                      <a:picLocks noChangeAspect="1"/>
                    </pic:cNvPicPr>
                  </pic:nvPicPr>
                  <pic:blipFill>
                    <a:blip r:embed="rId43"/>
                    <a:srcRect l="9684" t="7668" r="9822" b="7382"/>
                    <a:stretch>
                      <a:fillRect/>
                    </a:stretch>
                  </pic:blipFill>
                  <pic:spPr>
                    <a:xfrm>
                      <a:off x="0" y="0"/>
                      <a:ext cx="6239510" cy="8780145"/>
                    </a:xfrm>
                    <a:prstGeom prst="rect">
                      <a:avLst/>
                    </a:prstGeom>
                  </pic:spPr>
                </pic:pic>
              </a:graphicData>
            </a:graphic>
          </wp:anchor>
        </w:drawing>
      </w:r>
    </w:p>
    <w:p>
      <w:pPr>
        <w:rPr>
          <w:rFonts w:hint="eastAsia"/>
          <w:sz w:val="30"/>
          <w:szCs w:val="30"/>
          <w:lang w:eastAsia="zh-CN"/>
        </w:rPr>
      </w:pPr>
    </w:p>
    <w:p>
      <w:pPr>
        <w:rPr>
          <w:rFonts w:hint="eastAsia"/>
          <w:sz w:val="30"/>
          <w:szCs w:val="30"/>
          <w:lang w:eastAsia="zh-CN"/>
        </w:rPr>
      </w:pPr>
      <w:r>
        <w:rPr>
          <w:rFonts w:hint="eastAsia"/>
          <w:sz w:val="30"/>
          <w:szCs w:val="30"/>
          <w:lang w:eastAsia="zh-CN"/>
        </w:rPr>
        <w:t>附件二：</w:t>
      </w:r>
    </w:p>
    <w:p>
      <w:pPr>
        <w:jc w:val="center"/>
        <w:rPr>
          <w:rFonts w:hint="eastAsia"/>
          <w:sz w:val="30"/>
          <w:szCs w:val="30"/>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r>
        <w:rPr>
          <w:rFonts w:hint="eastAsia"/>
          <w:sz w:val="30"/>
          <w:szCs w:val="30"/>
          <w:lang w:eastAsia="zh-CN"/>
        </w:rPr>
        <w:br w:type="page"/>
      </w:r>
    </w:p>
    <w:p>
      <w:pPr>
        <w:rPr>
          <w:rFonts w:hint="eastAsia"/>
          <w:sz w:val="30"/>
          <w:szCs w:val="30"/>
          <w:lang w:eastAsia="zh-CN"/>
        </w:rPr>
      </w:pPr>
      <w:r>
        <w:rPr>
          <w:rFonts w:hint="eastAsia"/>
          <w:sz w:val="30"/>
          <w:szCs w:val="30"/>
          <w:lang w:eastAsia="zh-CN"/>
        </w:rPr>
        <w:t>附件三：</w:t>
      </w:r>
    </w:p>
    <w:p>
      <w:pPr>
        <w:rPr>
          <w:rFonts w:hint="eastAsia"/>
          <w:sz w:val="30"/>
          <w:szCs w:val="30"/>
          <w:lang w:eastAsia="zh-CN"/>
        </w:rPr>
      </w:pPr>
      <w:r>
        <w:rPr>
          <w:rFonts w:hint="eastAsia"/>
          <w:lang w:val="en-US" w:eastAsia="zh-CN"/>
        </w:rPr>
        <w:drawing>
          <wp:inline distT="0" distB="0" distL="114300" distR="114300">
            <wp:extent cx="5353050" cy="8152130"/>
            <wp:effectExtent l="0" t="0" r="1270" b="0"/>
            <wp:docPr id="46" name="图片 2" descr="尧山北区营业执照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尧山北区营业执照 001"/>
                    <pic:cNvPicPr>
                      <a:picLocks noChangeAspect="1"/>
                    </pic:cNvPicPr>
                  </pic:nvPicPr>
                  <pic:blipFill>
                    <a:blip r:embed="rId44"/>
                    <a:stretch>
                      <a:fillRect/>
                    </a:stretch>
                  </pic:blipFill>
                  <pic:spPr>
                    <a:xfrm rot="5400000">
                      <a:off x="0" y="0"/>
                      <a:ext cx="5353050" cy="8152130"/>
                    </a:xfrm>
                    <a:prstGeom prst="rect">
                      <a:avLst/>
                    </a:prstGeom>
                    <a:noFill/>
                    <a:ln>
                      <a:noFill/>
                    </a:ln>
                  </pic:spPr>
                </pic:pic>
              </a:graphicData>
            </a:graphic>
          </wp:inline>
        </w:drawing>
      </w:r>
    </w:p>
    <w:p>
      <w:pPr>
        <w:rPr>
          <w:rFonts w:hint="eastAsia"/>
          <w:sz w:val="30"/>
          <w:szCs w:val="30"/>
          <w:lang w:eastAsia="zh-CN"/>
        </w:rPr>
      </w:pPr>
      <w:r>
        <w:rPr>
          <w:rFonts w:hint="eastAsia"/>
          <w:sz w:val="30"/>
          <w:szCs w:val="30"/>
          <w:lang w:eastAsia="zh-CN"/>
        </w:rPr>
        <w:br w:type="page"/>
      </w:r>
    </w:p>
    <w:p>
      <w:pPr>
        <w:pStyle w:val="2"/>
        <w:rPr>
          <w:rFonts w:hint="eastAsia"/>
          <w:lang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default"/>
          <w:sz w:val="30"/>
          <w:szCs w:val="30"/>
          <w:lang w:val="en-US" w:eastAsia="zh-CN"/>
        </w:rPr>
      </w:pPr>
      <w:r>
        <w:drawing>
          <wp:anchor distT="0" distB="0" distL="114300" distR="114300" simplePos="0" relativeHeight="843695104" behindDoc="1" locked="0" layoutInCell="1" allowOverlap="1">
            <wp:simplePos x="0" y="0"/>
            <wp:positionH relativeFrom="column">
              <wp:posOffset>-718820</wp:posOffset>
            </wp:positionH>
            <wp:positionV relativeFrom="paragraph">
              <wp:posOffset>-779145</wp:posOffset>
            </wp:positionV>
            <wp:extent cx="7415530" cy="10352405"/>
            <wp:effectExtent l="0" t="0" r="13970" b="10795"/>
            <wp:wrapNone/>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5"/>
                    <a:stretch>
                      <a:fillRect/>
                    </a:stretch>
                  </pic:blipFill>
                  <pic:spPr>
                    <a:xfrm>
                      <a:off x="0" y="0"/>
                      <a:ext cx="7415530" cy="10352405"/>
                    </a:xfrm>
                    <a:prstGeom prst="rect">
                      <a:avLst/>
                    </a:prstGeom>
                    <a:noFill/>
                    <a:ln>
                      <a:noFill/>
                    </a:ln>
                  </pic:spPr>
                </pic:pic>
              </a:graphicData>
            </a:graphic>
          </wp:anchor>
        </w:drawing>
      </w:r>
      <w:r>
        <w:rPr>
          <w:rFonts w:hint="eastAsia"/>
          <w:sz w:val="30"/>
          <w:szCs w:val="30"/>
          <w:lang w:eastAsia="zh-CN"/>
        </w:rPr>
        <w:t>附件</w:t>
      </w:r>
      <w:r>
        <w:rPr>
          <w:rFonts w:hint="eastAsia"/>
          <w:sz w:val="30"/>
          <w:szCs w:val="30"/>
          <w:lang w:val="en-US" w:eastAsia="zh-CN"/>
        </w:rPr>
        <w:t>4</w:t>
      </w:r>
    </w:p>
    <w:p/>
    <w:p>
      <w:r>
        <w:br w:type="page"/>
      </w:r>
    </w:p>
    <w:p>
      <w:pPr>
        <w:pStyle w:val="2"/>
      </w:pPr>
    </w:p>
    <w:p>
      <w:r>
        <w:drawing>
          <wp:anchor distT="0" distB="0" distL="114300" distR="114300" simplePos="0" relativeHeight="843695104" behindDoc="1" locked="0" layoutInCell="1" allowOverlap="1">
            <wp:simplePos x="0" y="0"/>
            <wp:positionH relativeFrom="column">
              <wp:posOffset>-692785</wp:posOffset>
            </wp:positionH>
            <wp:positionV relativeFrom="paragraph">
              <wp:posOffset>-825500</wp:posOffset>
            </wp:positionV>
            <wp:extent cx="7513955" cy="10271125"/>
            <wp:effectExtent l="0" t="0" r="10795" b="15875"/>
            <wp:wrapNone/>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6"/>
                    <a:stretch>
                      <a:fillRect/>
                    </a:stretch>
                  </pic:blipFill>
                  <pic:spPr>
                    <a:xfrm>
                      <a:off x="0" y="0"/>
                      <a:ext cx="7513955" cy="10271125"/>
                    </a:xfrm>
                    <a:prstGeom prst="rect">
                      <a:avLst/>
                    </a:prstGeom>
                    <a:noFill/>
                    <a:ln>
                      <a:noFill/>
                    </a:ln>
                  </pic:spPr>
                </pic:pic>
              </a:graphicData>
            </a:graphic>
          </wp:anchor>
        </w:drawing>
      </w:r>
    </w:p>
    <w:p>
      <w:r>
        <w:br w:type="page"/>
      </w:r>
    </w:p>
    <w:p/>
    <w:p>
      <w:r>
        <w:drawing>
          <wp:anchor distT="0" distB="0" distL="114300" distR="114300" simplePos="0" relativeHeight="843695104" behindDoc="1" locked="0" layoutInCell="1" allowOverlap="1">
            <wp:simplePos x="0" y="0"/>
            <wp:positionH relativeFrom="column">
              <wp:posOffset>-710565</wp:posOffset>
            </wp:positionH>
            <wp:positionV relativeFrom="paragraph">
              <wp:posOffset>-798830</wp:posOffset>
            </wp:positionV>
            <wp:extent cx="7434580" cy="10081895"/>
            <wp:effectExtent l="0" t="0" r="13970" b="14605"/>
            <wp:wrapNone/>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47"/>
                    <a:stretch>
                      <a:fillRect/>
                    </a:stretch>
                  </pic:blipFill>
                  <pic:spPr>
                    <a:xfrm>
                      <a:off x="0" y="0"/>
                      <a:ext cx="7434580" cy="10081895"/>
                    </a:xfrm>
                    <a:prstGeom prst="rect">
                      <a:avLst/>
                    </a:prstGeom>
                    <a:noFill/>
                    <a:ln>
                      <a:noFill/>
                    </a:ln>
                  </pic:spPr>
                </pic:pic>
              </a:graphicData>
            </a:graphic>
          </wp:anchor>
        </w:drawing>
      </w:r>
    </w:p>
    <w:p>
      <w:r>
        <w:br w:type="page"/>
      </w:r>
    </w:p>
    <w:p>
      <w:pPr>
        <w:pStyle w:val="2"/>
      </w:pPr>
    </w:p>
    <w:p>
      <w:pPr>
        <w:rPr>
          <w:rFonts w:hint="eastAsia"/>
          <w:sz w:val="30"/>
          <w:szCs w:val="30"/>
          <w:lang w:eastAsia="zh-CN"/>
        </w:rPr>
      </w:pPr>
      <w:r>
        <w:drawing>
          <wp:anchor distT="0" distB="0" distL="114300" distR="114300" simplePos="0" relativeHeight="843695104" behindDoc="1" locked="0" layoutInCell="1" allowOverlap="1">
            <wp:simplePos x="0" y="0"/>
            <wp:positionH relativeFrom="column">
              <wp:posOffset>-692785</wp:posOffset>
            </wp:positionH>
            <wp:positionV relativeFrom="paragraph">
              <wp:posOffset>-844550</wp:posOffset>
            </wp:positionV>
            <wp:extent cx="7462520" cy="10532745"/>
            <wp:effectExtent l="0" t="0" r="5080" b="1905"/>
            <wp:wrapNone/>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48"/>
                    <a:stretch>
                      <a:fillRect/>
                    </a:stretch>
                  </pic:blipFill>
                  <pic:spPr>
                    <a:xfrm>
                      <a:off x="0" y="0"/>
                      <a:ext cx="7462520" cy="10532745"/>
                    </a:xfrm>
                    <a:prstGeom prst="rect">
                      <a:avLst/>
                    </a:prstGeom>
                    <a:noFill/>
                    <a:ln>
                      <a:noFill/>
                    </a:ln>
                  </pic:spPr>
                </pic:pic>
              </a:graphicData>
            </a:graphic>
          </wp:anchor>
        </w:drawing>
      </w:r>
      <w:r>
        <w:rPr>
          <w:rFonts w:hint="eastAsia"/>
          <w:sz w:val="30"/>
          <w:szCs w:val="30"/>
          <w:lang w:eastAsia="zh-CN"/>
        </w:rPr>
        <w:br w:type="page"/>
      </w:r>
    </w:p>
    <w:p>
      <w:pPr>
        <w:rPr>
          <w:rFonts w:hint="eastAsia"/>
          <w:sz w:val="30"/>
          <w:szCs w:val="30"/>
          <w:lang w:val="en-US" w:eastAsia="zh-CN"/>
        </w:rPr>
      </w:pPr>
      <w:r>
        <w:rPr>
          <w:rFonts w:hint="eastAsia"/>
          <w:sz w:val="30"/>
          <w:szCs w:val="30"/>
        </w:rPr>
        <w:t>附件</w:t>
      </w:r>
      <w:r>
        <w:rPr>
          <w:rFonts w:hint="eastAsia"/>
          <w:sz w:val="30"/>
          <w:szCs w:val="30"/>
          <w:lang w:val="en-US" w:eastAsia="zh-CN"/>
        </w:rPr>
        <w:t>5</w:t>
      </w:r>
      <w:r>
        <w:rPr>
          <w:rFonts w:hint="eastAsia"/>
          <w:sz w:val="30"/>
          <w:szCs w:val="30"/>
        </w:rPr>
        <w:t>：</w:t>
      </w:r>
      <w:r>
        <w:rPr>
          <w:rFonts w:hint="eastAsia"/>
          <w:sz w:val="30"/>
          <w:szCs w:val="30"/>
          <w:lang w:val="en-US" w:eastAsia="zh-CN"/>
        </w:rPr>
        <w:t xml:space="preserve">  </w:t>
      </w:r>
    </w:p>
    <w:p>
      <w:pPr>
        <w:jc w:val="center"/>
        <w:rPr>
          <w:rFonts w:hint="eastAsia"/>
          <w:sz w:val="30"/>
          <w:szCs w:val="30"/>
          <w:lang w:val="en-US" w:eastAsia="zh-CN"/>
        </w:rPr>
      </w:pPr>
      <w:r>
        <w:rPr>
          <w:rFonts w:hint="eastAsia"/>
          <w:lang w:val="en-US" w:eastAsia="zh-CN"/>
        </w:rPr>
        <w:drawing>
          <wp:inline distT="0" distB="0" distL="114300" distR="114300">
            <wp:extent cx="6102350" cy="8368665"/>
            <wp:effectExtent l="0" t="0" r="12700" b="13335"/>
            <wp:docPr id="72" name="图片 17" descr="94d9335633db9a22ef7744dcc812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94d9335633db9a22ef7744dcc81299f"/>
                    <pic:cNvPicPr>
                      <a:picLocks noChangeAspect="1"/>
                    </pic:cNvPicPr>
                  </pic:nvPicPr>
                  <pic:blipFill>
                    <a:blip r:embed="rId49"/>
                    <a:stretch>
                      <a:fillRect/>
                    </a:stretch>
                  </pic:blipFill>
                  <pic:spPr>
                    <a:xfrm>
                      <a:off x="0" y="0"/>
                      <a:ext cx="6102350" cy="8368665"/>
                    </a:xfrm>
                    <a:prstGeom prst="rect">
                      <a:avLst/>
                    </a:prstGeom>
                    <a:noFill/>
                    <a:ln>
                      <a:noFill/>
                    </a:ln>
                  </pic:spPr>
                </pic:pic>
              </a:graphicData>
            </a:graphic>
          </wp:inline>
        </w:drawing>
      </w:r>
      <w:r>
        <w:rPr>
          <w:rFonts w:hint="eastAsia"/>
          <w:lang w:val="en-US" w:eastAsia="zh-CN"/>
        </w:rPr>
        <w:drawing>
          <wp:inline distT="0" distB="0" distL="114300" distR="114300">
            <wp:extent cx="5910580" cy="7929245"/>
            <wp:effectExtent l="0" t="0" r="13970" b="14605"/>
            <wp:docPr id="73" name="图片 18" descr="bd9acc14be7fdf426943b3eee112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bd9acc14be7fdf426943b3eee112c54"/>
                    <pic:cNvPicPr>
                      <a:picLocks noChangeAspect="1"/>
                    </pic:cNvPicPr>
                  </pic:nvPicPr>
                  <pic:blipFill>
                    <a:blip r:embed="rId50"/>
                    <a:srcRect t="11189"/>
                    <a:stretch>
                      <a:fillRect/>
                    </a:stretch>
                  </pic:blipFill>
                  <pic:spPr>
                    <a:xfrm>
                      <a:off x="0" y="0"/>
                      <a:ext cx="5910580" cy="7929245"/>
                    </a:xfrm>
                    <a:prstGeom prst="rect">
                      <a:avLst/>
                    </a:prstGeom>
                    <a:noFill/>
                    <a:ln>
                      <a:noFill/>
                    </a:ln>
                  </pic:spPr>
                </pic:pic>
              </a:graphicData>
            </a:graphic>
          </wp:inline>
        </w:drawing>
      </w:r>
      <w:r>
        <w:rPr>
          <w:rFonts w:hint="eastAsia"/>
          <w:lang w:val="en-US" w:eastAsia="zh-CN"/>
        </w:rPr>
        <w:drawing>
          <wp:inline distT="0" distB="0" distL="114300" distR="114300">
            <wp:extent cx="6106795" cy="7873365"/>
            <wp:effectExtent l="0" t="0" r="8255" b="13335"/>
            <wp:docPr id="76" name="图片 19" descr="fa867e5208aef812fa752d65f601d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descr="fa867e5208aef812fa752d65f601d6b"/>
                    <pic:cNvPicPr>
                      <a:picLocks noChangeAspect="1"/>
                    </pic:cNvPicPr>
                  </pic:nvPicPr>
                  <pic:blipFill>
                    <a:blip r:embed="rId51"/>
                    <a:stretch>
                      <a:fillRect/>
                    </a:stretch>
                  </pic:blipFill>
                  <pic:spPr>
                    <a:xfrm>
                      <a:off x="0" y="0"/>
                      <a:ext cx="6106795" cy="7873365"/>
                    </a:xfrm>
                    <a:prstGeom prst="rect">
                      <a:avLst/>
                    </a:prstGeom>
                    <a:noFill/>
                    <a:ln>
                      <a:noFill/>
                    </a:ln>
                  </pic:spPr>
                </pic:pic>
              </a:graphicData>
            </a:graphic>
          </wp:inline>
        </w:drawing>
      </w:r>
      <w:r>
        <w:rPr>
          <w:rFonts w:hint="eastAsia"/>
          <w:lang w:val="en-US" w:eastAsia="zh-CN"/>
        </w:rPr>
        <w:drawing>
          <wp:inline distT="0" distB="0" distL="114300" distR="114300">
            <wp:extent cx="5671185" cy="8524240"/>
            <wp:effectExtent l="0" t="0" r="5715" b="10160"/>
            <wp:docPr id="77" name="图片 20" descr="69f4515a5386ba811af54432e1d5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descr="69f4515a5386ba811af54432e1d5f0e"/>
                    <pic:cNvPicPr>
                      <a:picLocks noChangeAspect="1"/>
                    </pic:cNvPicPr>
                  </pic:nvPicPr>
                  <pic:blipFill>
                    <a:blip r:embed="rId52"/>
                    <a:srcRect t="3465" b="3107"/>
                    <a:stretch>
                      <a:fillRect/>
                    </a:stretch>
                  </pic:blipFill>
                  <pic:spPr>
                    <a:xfrm>
                      <a:off x="0" y="0"/>
                      <a:ext cx="5671185" cy="8524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textAlignment w:val="auto"/>
        <w:rPr>
          <w:rFonts w:hint="eastAsia"/>
          <w:sz w:val="30"/>
          <w:szCs w:val="30"/>
        </w:rPr>
      </w:pPr>
      <w:r>
        <w:rPr>
          <w:rFonts w:hint="eastAsia"/>
          <w:sz w:val="30"/>
          <w:szCs w:val="30"/>
        </w:rPr>
        <w:t>附件</w:t>
      </w:r>
      <w:r>
        <w:rPr>
          <w:rFonts w:hint="eastAsia"/>
          <w:sz w:val="30"/>
          <w:szCs w:val="30"/>
          <w:lang w:eastAsia="zh-CN"/>
        </w:rPr>
        <w:t>五</w:t>
      </w:r>
      <w:r>
        <w:rPr>
          <w:rFonts w:hint="eastAsia"/>
          <w:sz w:val="30"/>
          <w:szCs w:val="30"/>
        </w:rPr>
        <w:t>：</w:t>
      </w:r>
      <w:r>
        <w:rPr>
          <w:rFonts w:hint="eastAsia"/>
          <w:sz w:val="30"/>
          <w:szCs w:val="30"/>
          <w:lang w:val="en-US" w:eastAsia="zh-CN"/>
        </w:rPr>
        <w:t xml:space="preserve">              </w:t>
      </w:r>
    </w:p>
    <w:p>
      <w:pPr>
        <w:jc w:val="center"/>
        <w:rPr>
          <w:rFonts w:hint="eastAsia" w:eastAsia="宋体"/>
          <w:sz w:val="30"/>
          <w:szCs w:val="30"/>
          <w:lang w:eastAsia="zh-CN"/>
        </w:rPr>
      </w:pPr>
      <w:r>
        <w:rPr>
          <w:rFonts w:hint="eastAsia"/>
          <w:lang w:val="en-US" w:eastAsia="zh-CN"/>
        </w:rPr>
        <w:drawing>
          <wp:inline distT="0" distB="0" distL="114300" distR="114300">
            <wp:extent cx="5993765" cy="8442960"/>
            <wp:effectExtent l="0" t="0" r="6985" b="15240"/>
            <wp:docPr id="78" name="图片 21" descr="9d96535be9a645005831618ad1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descr="9d96535be9a645005831618ad194601"/>
                    <pic:cNvPicPr>
                      <a:picLocks noChangeAspect="1"/>
                    </pic:cNvPicPr>
                  </pic:nvPicPr>
                  <pic:blipFill>
                    <a:blip r:embed="rId53"/>
                    <a:srcRect t="12094"/>
                    <a:stretch>
                      <a:fillRect/>
                    </a:stretch>
                  </pic:blipFill>
                  <pic:spPr>
                    <a:xfrm>
                      <a:off x="0" y="0"/>
                      <a:ext cx="5993765" cy="8442960"/>
                    </a:xfrm>
                    <a:prstGeom prst="rect">
                      <a:avLst/>
                    </a:prstGeom>
                    <a:noFill/>
                    <a:ln>
                      <a:noFill/>
                    </a:ln>
                  </pic:spPr>
                </pic:pic>
              </a:graphicData>
            </a:graphic>
          </wp:inline>
        </w:drawing>
      </w:r>
      <w:r>
        <w:rPr>
          <w:rFonts w:hint="eastAsia"/>
          <w:lang w:val="en-US" w:eastAsia="zh-CN"/>
        </w:rPr>
        <w:drawing>
          <wp:inline distT="0" distB="0" distL="114300" distR="114300">
            <wp:extent cx="6314440" cy="8383270"/>
            <wp:effectExtent l="0" t="0" r="10160" b="17780"/>
            <wp:docPr id="79" name="图片 22" descr="94311cd69cf887cac14adaafd3c8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descr="94311cd69cf887cac14adaafd3c8f40"/>
                    <pic:cNvPicPr>
                      <a:picLocks noChangeAspect="1"/>
                    </pic:cNvPicPr>
                  </pic:nvPicPr>
                  <pic:blipFill>
                    <a:blip r:embed="rId54"/>
                    <a:srcRect t="8742"/>
                    <a:stretch>
                      <a:fillRect/>
                    </a:stretch>
                  </pic:blipFill>
                  <pic:spPr>
                    <a:xfrm>
                      <a:off x="0" y="0"/>
                      <a:ext cx="6314440" cy="8383270"/>
                    </a:xfrm>
                    <a:prstGeom prst="rect">
                      <a:avLst/>
                    </a:prstGeom>
                    <a:noFill/>
                    <a:ln>
                      <a:noFill/>
                    </a:ln>
                  </pic:spPr>
                </pic:pic>
              </a:graphicData>
            </a:graphic>
          </wp:inline>
        </w:drawing>
      </w:r>
    </w:p>
    <w:p>
      <w:pPr>
        <w:tabs>
          <w:tab w:val="left" w:pos="3240"/>
        </w:tabs>
        <w:rPr>
          <w:rFonts w:hint="eastAsia"/>
          <w:lang w:val="en-US" w:eastAsia="zh-CN"/>
        </w:rPr>
      </w:pPr>
      <w:r>
        <w:rPr>
          <w:rFonts w:hint="eastAsia"/>
          <w:lang w:val="en-US" w:eastAsia="zh-CN"/>
        </w:rPr>
        <w:drawing>
          <wp:inline distT="0" distB="0" distL="114300" distR="114300">
            <wp:extent cx="6120130" cy="8688070"/>
            <wp:effectExtent l="0" t="0" r="13970" b="17780"/>
            <wp:docPr id="80" name="图片 23" descr="1b9423ae5d8e00f6be3554486137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descr="1b9423ae5d8e00f6be35544861371b3"/>
                    <pic:cNvPicPr>
                      <a:picLocks noChangeAspect="1"/>
                    </pic:cNvPicPr>
                  </pic:nvPicPr>
                  <pic:blipFill>
                    <a:blip r:embed="rId55"/>
                    <a:stretch>
                      <a:fillRect/>
                    </a:stretch>
                  </pic:blipFill>
                  <pic:spPr>
                    <a:xfrm>
                      <a:off x="0" y="0"/>
                      <a:ext cx="6120130" cy="8688070"/>
                    </a:xfrm>
                    <a:prstGeom prst="rect">
                      <a:avLst/>
                    </a:prstGeom>
                    <a:noFill/>
                    <a:ln>
                      <a:noFill/>
                    </a:ln>
                  </pic:spPr>
                </pic:pic>
              </a:graphicData>
            </a:graphic>
          </wp:inline>
        </w:drawing>
      </w:r>
      <w:r>
        <w:rPr>
          <w:rFonts w:hint="eastAsia"/>
          <w:lang w:val="en-US" w:eastAsia="zh-CN"/>
        </w:rPr>
        <w:drawing>
          <wp:inline distT="0" distB="0" distL="114300" distR="114300">
            <wp:extent cx="6166485" cy="8370570"/>
            <wp:effectExtent l="0" t="0" r="5715" b="11430"/>
            <wp:docPr id="81" name="图片 24" descr="eba2646742b6908e6bb473a3b315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descr="eba2646742b6908e6bb473a3b315d9c"/>
                    <pic:cNvPicPr>
                      <a:picLocks noChangeAspect="1"/>
                    </pic:cNvPicPr>
                  </pic:nvPicPr>
                  <pic:blipFill>
                    <a:blip r:embed="rId56"/>
                    <a:srcRect t="12335"/>
                    <a:stretch>
                      <a:fillRect/>
                    </a:stretch>
                  </pic:blipFill>
                  <pic:spPr>
                    <a:xfrm>
                      <a:off x="0" y="0"/>
                      <a:ext cx="6166485" cy="8370570"/>
                    </a:xfrm>
                    <a:prstGeom prst="rect">
                      <a:avLst/>
                    </a:prstGeom>
                    <a:noFill/>
                    <a:ln>
                      <a:noFill/>
                    </a:ln>
                  </pic:spPr>
                </pic:pic>
              </a:graphicData>
            </a:graphic>
          </wp:inline>
        </w:drawing>
      </w:r>
    </w:p>
    <w:p>
      <w:pPr>
        <w:tabs>
          <w:tab w:val="left" w:pos="3240"/>
        </w:tabs>
        <w:rPr>
          <w:rFonts w:hint="eastAsia"/>
          <w:sz w:val="30"/>
          <w:szCs w:val="30"/>
          <w:lang w:val="en-US"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sz w:val="30"/>
          <w:szCs w:val="30"/>
          <w:lang w:val="en-US" w:eastAsia="zh-CN"/>
        </w:rPr>
        <w:t xml:space="preserve">          </w:t>
      </w:r>
    </w:p>
    <w:p>
      <w:pPr>
        <w:tabs>
          <w:tab w:val="left" w:pos="3240"/>
        </w:tabs>
        <w:rPr>
          <w:rFonts w:hint="eastAsia"/>
          <w:sz w:val="30"/>
          <w:szCs w:val="30"/>
        </w:rPr>
      </w:pPr>
      <w:r>
        <w:drawing>
          <wp:anchor distT="0" distB="0" distL="114300" distR="114300" simplePos="0" relativeHeight="843695104" behindDoc="1" locked="0" layoutInCell="1" allowOverlap="1">
            <wp:simplePos x="0" y="0"/>
            <wp:positionH relativeFrom="column">
              <wp:posOffset>-934720</wp:posOffset>
            </wp:positionH>
            <wp:positionV relativeFrom="paragraph">
              <wp:posOffset>-768985</wp:posOffset>
            </wp:positionV>
            <wp:extent cx="7051675" cy="10011410"/>
            <wp:effectExtent l="0" t="0" r="15875" b="8890"/>
            <wp:wrapNone/>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57"/>
                    <a:stretch>
                      <a:fillRect/>
                    </a:stretch>
                  </pic:blipFill>
                  <pic:spPr>
                    <a:xfrm>
                      <a:off x="0" y="0"/>
                      <a:ext cx="7051675" cy="10011410"/>
                    </a:xfrm>
                    <a:prstGeom prst="rect">
                      <a:avLst/>
                    </a:prstGeom>
                    <a:noFill/>
                    <a:ln>
                      <a:noFill/>
                    </a:ln>
                  </pic:spPr>
                </pic:pic>
              </a:graphicData>
            </a:graphic>
          </wp:anchor>
        </w:drawing>
      </w:r>
      <w:r>
        <w:rPr>
          <w:rFonts w:hint="eastAsia"/>
          <w:sz w:val="30"/>
          <w:szCs w:val="30"/>
        </w:rPr>
        <w:t>附件</w:t>
      </w:r>
      <w:r>
        <w:rPr>
          <w:rFonts w:hint="eastAsia"/>
          <w:sz w:val="30"/>
          <w:szCs w:val="30"/>
          <w:lang w:val="en-US" w:eastAsia="zh-CN"/>
        </w:rPr>
        <w:t>7</w:t>
      </w:r>
      <w:r>
        <w:rPr>
          <w:rFonts w:hint="eastAsia"/>
          <w:sz w:val="30"/>
          <w:szCs w:val="30"/>
        </w:rPr>
        <w:t>：</w:t>
      </w:r>
    </w:p>
    <w:p>
      <w:pPr>
        <w:ind w:left="0" w:leftChars="0" w:firstLine="0" w:firstLineChars="0"/>
      </w:pPr>
    </w:p>
    <w:p>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-1038860</wp:posOffset>
            </wp:positionH>
            <wp:positionV relativeFrom="paragraph">
              <wp:posOffset>-702310</wp:posOffset>
            </wp:positionV>
            <wp:extent cx="7117715" cy="9965055"/>
            <wp:effectExtent l="0" t="0" r="6985" b="17145"/>
            <wp:wrapNone/>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58"/>
                    <a:stretch>
                      <a:fillRect/>
                    </a:stretch>
                  </pic:blipFill>
                  <pic:spPr>
                    <a:xfrm>
                      <a:off x="0" y="0"/>
                      <a:ext cx="7117715" cy="9965055"/>
                    </a:xfrm>
                    <a:prstGeom prst="rect">
                      <a:avLst/>
                    </a:prstGeom>
                    <a:noFill/>
                    <a:ln>
                      <a:noFill/>
                    </a:ln>
                  </pic:spPr>
                </pic:pic>
              </a:graphicData>
            </a:graphic>
          </wp:anchor>
        </w:drawing>
      </w:r>
    </w:p>
    <w:p>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-1004570</wp:posOffset>
            </wp:positionH>
            <wp:positionV relativeFrom="paragraph">
              <wp:posOffset>-796290</wp:posOffset>
            </wp:positionV>
            <wp:extent cx="7263765" cy="10031095"/>
            <wp:effectExtent l="0" t="0" r="13335" b="8255"/>
            <wp:wrapNone/>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59"/>
                    <a:stretch>
                      <a:fillRect/>
                    </a:stretch>
                  </pic:blipFill>
                  <pic:spPr>
                    <a:xfrm>
                      <a:off x="0" y="0"/>
                      <a:ext cx="7263765" cy="10031095"/>
                    </a:xfrm>
                    <a:prstGeom prst="rect">
                      <a:avLst/>
                    </a:prstGeom>
                    <a:noFill/>
                    <a:ln>
                      <a:noFill/>
                    </a:ln>
                  </pic:spPr>
                </pic:pic>
              </a:graphicData>
            </a:graphic>
          </wp:anchor>
        </w:drawing>
      </w:r>
    </w:p>
    <w:p>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-986790</wp:posOffset>
            </wp:positionH>
            <wp:positionV relativeFrom="paragraph">
              <wp:posOffset>-778510</wp:posOffset>
            </wp:positionV>
            <wp:extent cx="7275830" cy="10148570"/>
            <wp:effectExtent l="0" t="0" r="1270" b="5080"/>
            <wp:wrapNone/>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60"/>
                    <a:stretch>
                      <a:fillRect/>
                    </a:stretch>
                  </pic:blipFill>
                  <pic:spPr>
                    <a:xfrm>
                      <a:off x="0" y="0"/>
                      <a:ext cx="7275830" cy="10148570"/>
                    </a:xfrm>
                    <a:prstGeom prst="rect">
                      <a:avLst/>
                    </a:prstGeom>
                    <a:noFill/>
                    <a:ln>
                      <a:noFill/>
                    </a:ln>
                  </pic:spPr>
                </pic:pic>
              </a:graphicData>
            </a:graphic>
          </wp:anchor>
        </w:drawing>
      </w:r>
    </w:p>
    <w:p>
      <w:r>
        <w:br w:type="page"/>
      </w:r>
    </w:p>
    <w:p>
      <w:pPr>
        <w:pStyle w:val="2"/>
      </w:pPr>
    </w:p>
    <w:p>
      <w:pPr>
        <w:ind w:left="0" w:leftChars="0" w:firstLine="0" w:firstLineChars="0"/>
      </w:pPr>
      <w:r>
        <w:drawing>
          <wp:anchor distT="0" distB="0" distL="114300" distR="114300" simplePos="0" relativeHeight="843695104" behindDoc="1" locked="0" layoutInCell="1" allowOverlap="1">
            <wp:simplePos x="0" y="0"/>
            <wp:positionH relativeFrom="column">
              <wp:posOffset>-1029970</wp:posOffset>
            </wp:positionH>
            <wp:positionV relativeFrom="paragraph">
              <wp:posOffset>-791210</wp:posOffset>
            </wp:positionV>
            <wp:extent cx="7323455" cy="10330180"/>
            <wp:effectExtent l="0" t="0" r="10795" b="13970"/>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61"/>
                    <a:stretch>
                      <a:fillRect/>
                    </a:stretch>
                  </pic:blipFill>
                  <pic:spPr>
                    <a:xfrm>
                      <a:off x="0" y="0"/>
                      <a:ext cx="7323455" cy="10330180"/>
                    </a:xfrm>
                    <a:prstGeom prst="rect">
                      <a:avLst/>
                    </a:prstGeom>
                    <a:noFill/>
                    <a:ln>
                      <a:noFill/>
                    </a:ln>
                  </pic:spPr>
                </pic:pic>
              </a:graphicData>
            </a:graphic>
          </wp:anchor>
        </w:drawing>
      </w:r>
    </w:p>
    <w:p>
      <w:r>
        <w:br w:type="page"/>
      </w:r>
    </w:p>
    <w:p>
      <w:pPr>
        <w:ind w:left="0" w:leftChars="0" w:firstLine="0" w:firstLineChars="0"/>
      </w:pPr>
      <w:r>
        <w:drawing>
          <wp:anchor distT="0" distB="0" distL="114300" distR="114300" simplePos="0" relativeHeight="898760704" behindDoc="1" locked="0" layoutInCell="1" allowOverlap="1">
            <wp:simplePos x="0" y="0"/>
            <wp:positionH relativeFrom="column">
              <wp:posOffset>-685800</wp:posOffset>
            </wp:positionH>
            <wp:positionV relativeFrom="paragraph">
              <wp:posOffset>-282575</wp:posOffset>
            </wp:positionV>
            <wp:extent cx="6714490" cy="9479915"/>
            <wp:effectExtent l="0" t="0" r="10160" b="6985"/>
            <wp:wrapNone/>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62"/>
                    <a:stretch>
                      <a:fillRect/>
                    </a:stretch>
                  </pic:blipFill>
                  <pic:spPr>
                    <a:xfrm>
                      <a:off x="0" y="0"/>
                      <a:ext cx="6714490" cy="9479915"/>
                    </a:xfrm>
                    <a:prstGeom prst="rect">
                      <a:avLst/>
                    </a:prstGeom>
                    <a:noFill/>
                    <a:ln>
                      <a:noFill/>
                    </a:ln>
                  </pic:spPr>
                </pic:pic>
              </a:graphicData>
            </a:graphic>
          </wp:anchor>
        </w:drawing>
      </w:r>
    </w:p>
    <w:p>
      <w:pPr>
        <w:pStyle w:val="2"/>
        <w:rPr>
          <w:rFonts w:hint="default"/>
        </w:rPr>
      </w:pPr>
    </w:p>
    <w:p>
      <w:pPr>
        <w:pStyle w:val="2"/>
        <w:ind w:left="0" w:leftChars="0" w:firstLine="0" w:firstLineChars="0"/>
        <w:rPr>
          <w:rFonts w:hint="default" w:ascii="Times New Roman" w:hAnsi="Times New Roman" w:eastAsia="TimesNewRomanPSMT" w:cs="Times New Roman"/>
          <w:sz w:val="24"/>
          <w:szCs w:val="21"/>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default" w:ascii="Times New Roman" w:hAnsi="Times New Roman" w:eastAsia="TimesNewRomanPSMT" w:cs="Times New Roman"/>
          <w:sz w:val="24"/>
          <w:szCs w:val="21"/>
          <w:u w:val="none"/>
        </w:rPr>
      </w:pPr>
      <w:r>
        <w:drawing>
          <wp:anchor distT="0" distB="0" distL="114300" distR="114300" simplePos="0" relativeHeight="898760704" behindDoc="1" locked="0" layoutInCell="1" allowOverlap="1">
            <wp:simplePos x="0" y="0"/>
            <wp:positionH relativeFrom="column">
              <wp:posOffset>-377825</wp:posOffset>
            </wp:positionH>
            <wp:positionV relativeFrom="paragraph">
              <wp:posOffset>-294005</wp:posOffset>
            </wp:positionV>
            <wp:extent cx="6458585" cy="9050020"/>
            <wp:effectExtent l="0" t="0" r="18415" b="17780"/>
            <wp:wrapNone/>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63"/>
                    <a:stretch>
                      <a:fillRect/>
                    </a:stretch>
                  </pic:blipFill>
                  <pic:spPr>
                    <a:xfrm>
                      <a:off x="0" y="0"/>
                      <a:ext cx="6458585" cy="9050020"/>
                    </a:xfrm>
                    <a:prstGeom prst="rect">
                      <a:avLst/>
                    </a:prstGeom>
                    <a:noFill/>
                    <a:ln>
                      <a:noFill/>
                    </a:ln>
                  </pic:spPr>
                </pic:pic>
              </a:graphicData>
            </a:graphic>
          </wp:anchor>
        </w:drawing>
      </w:r>
      <w:r>
        <w:rPr>
          <w:rFonts w:hint="default" w:ascii="Times New Roman" w:hAnsi="Times New Roman" w:eastAsia="TimesNewRomanPSMT" w:cs="Times New Roman"/>
          <w:sz w:val="24"/>
          <w:szCs w:val="21"/>
          <w:u w:val="none"/>
        </w:rPr>
        <w:br w:type="page"/>
      </w:r>
    </w:p>
    <w:p>
      <w:pPr>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drawing>
          <wp:anchor distT="0" distB="0" distL="114300" distR="114300" simplePos="0" relativeHeight="898760704" behindDoc="1" locked="0" layoutInCell="1" allowOverlap="1">
            <wp:simplePos x="0" y="0"/>
            <wp:positionH relativeFrom="column">
              <wp:posOffset>-420370</wp:posOffset>
            </wp:positionH>
            <wp:positionV relativeFrom="paragraph">
              <wp:posOffset>-218440</wp:posOffset>
            </wp:positionV>
            <wp:extent cx="6376035" cy="9016365"/>
            <wp:effectExtent l="0" t="0" r="5715" b="13335"/>
            <wp:wrapNone/>
            <wp:docPr id="143" name="图片 143" descr="eceee4a747e035ced18414e77be8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eceee4a747e035ced18414e77be8a3a"/>
                    <pic:cNvPicPr>
                      <a:picLocks noChangeAspect="1"/>
                    </pic:cNvPicPr>
                  </pic:nvPicPr>
                  <pic:blipFill>
                    <a:blip r:embed="rId64"/>
                    <a:stretch>
                      <a:fillRect/>
                    </a:stretch>
                  </pic:blipFill>
                  <pic:spPr>
                    <a:xfrm>
                      <a:off x="0" y="0"/>
                      <a:ext cx="6376035" cy="9016365"/>
                    </a:xfrm>
                    <a:prstGeom prst="rect">
                      <a:avLst/>
                    </a:prstGeom>
                  </pic:spPr>
                </pic:pic>
              </a:graphicData>
            </a:graphic>
          </wp:anchor>
        </w:drawing>
      </w:r>
    </w:p>
    <w:p>
      <w:pPr>
        <w:pStyle w:val="2"/>
        <w:ind w:left="0" w:leftChars="0" w:firstLine="0" w:firstLineChars="0"/>
        <w:rPr>
          <w:rFonts w:hint="default" w:ascii="Times New Roman" w:hAnsi="Times New Roman" w:eastAsia="TimesNewRomanPSMT" w:cs="Times New Roman"/>
          <w:sz w:val="24"/>
          <w:szCs w:val="21"/>
          <w:u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ind w:left="0" w:leftChars="0" w:firstLine="0" w:firstLineChars="0"/>
        <w:rPr>
          <w:rFonts w:hint="default" w:ascii="Times New Roman" w:hAnsi="Times New Roman" w:eastAsia="TimesNewRomanPSMT" w:cs="Times New Roman"/>
          <w:sz w:val="24"/>
          <w:szCs w:val="21"/>
          <w:u w:val="none"/>
        </w:rPr>
      </w:pPr>
      <w:r>
        <w:drawing>
          <wp:anchor distT="0" distB="0" distL="114300" distR="114300" simplePos="0" relativeHeight="2674874368" behindDoc="1" locked="0" layoutInCell="1" allowOverlap="1">
            <wp:simplePos x="0" y="0"/>
            <wp:positionH relativeFrom="column">
              <wp:posOffset>237490</wp:posOffset>
            </wp:positionH>
            <wp:positionV relativeFrom="paragraph">
              <wp:posOffset>-528320</wp:posOffset>
            </wp:positionV>
            <wp:extent cx="8858250" cy="6266815"/>
            <wp:effectExtent l="0" t="0" r="0" b="635"/>
            <wp:wrapNone/>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65"/>
                    <a:stretch>
                      <a:fillRect/>
                    </a:stretch>
                  </pic:blipFill>
                  <pic:spPr>
                    <a:xfrm>
                      <a:off x="0" y="0"/>
                      <a:ext cx="8858250" cy="6266815"/>
                    </a:xfrm>
                    <a:prstGeom prst="rect">
                      <a:avLst/>
                    </a:prstGeom>
                    <a:noFill/>
                    <a:ln>
                      <a:noFill/>
                    </a:ln>
                  </pic:spPr>
                </pic:pic>
              </a:graphicData>
            </a:graphic>
          </wp:anchor>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PMingLiU">
    <w:panose1 w:val="02020500000000000000"/>
    <w:charset w:val="88"/>
    <w:family w:val="auto"/>
    <w:pitch w:val="default"/>
    <w:sig w:usb0="A00002FF" w:usb1="28CFFCFA" w:usb2="00000016" w:usb3="00000000" w:csb0="00100001"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TimesNewRomanPSMT">
    <w:altName w:val="Times New Roman"/>
    <w:panose1 w:val="00000000000000000000"/>
    <w:charset w:val="00"/>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6"/>
      </w:rPr>
    </w:pPr>
    <w:r>
      <w:fldChar w:fldCharType="begin"/>
    </w:r>
    <w:r>
      <w:rPr>
        <w:rStyle w:val="26"/>
      </w:rPr>
      <w:instrText xml:space="preserve">PAGE  </w:instrText>
    </w:r>
    <w:r>
      <w:fldChar w:fldCharType="end"/>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hint="eastAsia" w:eastAsia="宋体"/>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3</w:t>
                          </w:r>
                          <w:r>
                            <w:rPr>
                              <w:rFonts w:hint="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hLPQ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bhLPQzAgAAYwQAAA4AAAAAAAAAAQAgAAAAHwEAAGRycy9lMm9Eb2MueG1sUEsF&#10;BgAAAAAGAAYAWQEAAMQFAAAAAA==&#10;">
              <v:fill on="f" focussize="0,0"/>
              <v:stroke on="f" weight="0.5pt"/>
              <v:imagedata o:title=""/>
              <o:lock v:ext="edit" aspectratio="f"/>
              <v:textbox inset="0mm,0mm,0mm,0mm" style="mso-fit-shape-to-text:t;">
                <w:txbxContent>
                  <w:p>
                    <w:pPr>
                      <w:pStyle w:val="14"/>
                      <w:rPr>
                        <w:rFonts w:hint="eastAsia" w:eastAsia="宋体"/>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3</w:t>
                    </w:r>
                    <w:r>
                      <w:rPr>
                        <w:rFonts w:hint="eastAsia"/>
                        <w:sz w:val="21"/>
                        <w:szCs w:val="21"/>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71</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6H0o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nOh9KNAIAAGUEAAAOAAAAAAAAAAEAIAAAAB8BAABkcnMvZTJvRG9jLnhtbFBL&#10;BQYAAAAABgAGAFkBAADFBQAAAAA=&#10;">
              <v:fill on="f" focussize="0,0"/>
              <v:stroke on="f" weight="0.5pt"/>
              <v:imagedata o:title=""/>
              <o:lock v:ext="edit" aspectratio="f"/>
              <v:textbox inset="0mm,0mm,0mm,0mm" style="mso-fit-shape-to-text:t;">
                <w:txbxContent>
                  <w:p>
                    <w:pPr>
                      <w:pStyle w:val="14"/>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71</w:t>
                    </w:r>
                    <w:r>
                      <w:rPr>
                        <w:rFonts w:hint="eastAsia"/>
                        <w:lang w:eastAsia="zh-CN"/>
                      </w:rPr>
                      <w:fldChar w:fldCharType="end"/>
                    </w:r>
                    <w:r>
                      <w:rPr>
                        <w:rFonts w:hint="eastAsia"/>
                        <w:lang w:eastAsia="zh-CN"/>
                      </w:rP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lvl w:ilvl="0" w:tentative="0">
      <w:start w:val="1"/>
      <w:numFmt w:val="decimal"/>
      <w:lvlText w:val="%1."/>
      <w:lvlJc w:val="left"/>
      <w:pPr>
        <w:tabs>
          <w:tab w:val="left" w:pos="964"/>
        </w:tabs>
        <w:ind w:left="964" w:hanging="397"/>
      </w:pPr>
      <w:rPr>
        <w:rFonts w:hint="eastAsia"/>
        <w:sz w:val="24"/>
        <w:szCs w:val="24"/>
      </w:rPr>
    </w:lvl>
  </w:abstractNum>
  <w:abstractNum w:abstractNumId="1">
    <w:nsid w:val="0423D6EC"/>
    <w:multiLevelType w:val="singleLevel"/>
    <w:tmpl w:val="0423D6EC"/>
    <w:lvl w:ilvl="0" w:tentative="0">
      <w:start w:val="1"/>
      <w:numFmt w:val="decimal"/>
      <w:suff w:val="nothing"/>
      <w:lvlText w:val="%1）"/>
      <w:lvlJc w:val="left"/>
    </w:lvl>
  </w:abstractNum>
  <w:abstractNum w:abstractNumId="2">
    <w:nsid w:val="19284B65"/>
    <w:multiLevelType w:val="multilevel"/>
    <w:tmpl w:val="19284B65"/>
    <w:lvl w:ilvl="0" w:tentative="0">
      <w:start w:val="1"/>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E432845"/>
    <w:rsid w:val="0560011D"/>
    <w:rsid w:val="0BB42DD4"/>
    <w:rsid w:val="0DBF4076"/>
    <w:rsid w:val="0E320718"/>
    <w:rsid w:val="0F435749"/>
    <w:rsid w:val="12CA43E4"/>
    <w:rsid w:val="188C6BC9"/>
    <w:rsid w:val="1C8F073C"/>
    <w:rsid w:val="1E27709C"/>
    <w:rsid w:val="20774D84"/>
    <w:rsid w:val="22070D2F"/>
    <w:rsid w:val="254742BF"/>
    <w:rsid w:val="29207508"/>
    <w:rsid w:val="2A90349B"/>
    <w:rsid w:val="2B9E0BCB"/>
    <w:rsid w:val="2DD60B7F"/>
    <w:rsid w:val="2FFF6B6C"/>
    <w:rsid w:val="304B4B5C"/>
    <w:rsid w:val="34810B81"/>
    <w:rsid w:val="372F30F6"/>
    <w:rsid w:val="383C7062"/>
    <w:rsid w:val="38FE43E9"/>
    <w:rsid w:val="397B769A"/>
    <w:rsid w:val="3B887D86"/>
    <w:rsid w:val="3FC8252B"/>
    <w:rsid w:val="4465593D"/>
    <w:rsid w:val="44714A64"/>
    <w:rsid w:val="454C1FB9"/>
    <w:rsid w:val="4B2C167B"/>
    <w:rsid w:val="4CBC1D9A"/>
    <w:rsid w:val="4EF410B0"/>
    <w:rsid w:val="513C6049"/>
    <w:rsid w:val="55E323FA"/>
    <w:rsid w:val="56667B08"/>
    <w:rsid w:val="5A106E15"/>
    <w:rsid w:val="5A1A2104"/>
    <w:rsid w:val="5A470759"/>
    <w:rsid w:val="5DF142D6"/>
    <w:rsid w:val="5E432845"/>
    <w:rsid w:val="5F3F24F2"/>
    <w:rsid w:val="5FAE6DF9"/>
    <w:rsid w:val="5FD95375"/>
    <w:rsid w:val="60CD3679"/>
    <w:rsid w:val="6174135C"/>
    <w:rsid w:val="62D902BC"/>
    <w:rsid w:val="63531A2C"/>
    <w:rsid w:val="64144338"/>
    <w:rsid w:val="65CB3382"/>
    <w:rsid w:val="6C8459DC"/>
    <w:rsid w:val="6C8B7A16"/>
    <w:rsid w:val="6D6A79C8"/>
    <w:rsid w:val="6E0B1C4D"/>
    <w:rsid w:val="6F5F7FC1"/>
    <w:rsid w:val="711B61C7"/>
    <w:rsid w:val="713A6107"/>
    <w:rsid w:val="725B386B"/>
    <w:rsid w:val="748406E1"/>
    <w:rsid w:val="75175083"/>
    <w:rsid w:val="76463083"/>
    <w:rsid w:val="77775544"/>
    <w:rsid w:val="781500EE"/>
    <w:rsid w:val="78BB0292"/>
    <w:rsid w:val="7A8943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29"/>
    <w:qFormat/>
    <w:uiPriority w:val="0"/>
    <w:pPr>
      <w:keepNext/>
      <w:keepLines/>
      <w:spacing w:before="340" w:after="330" w:line="579" w:lineRule="auto"/>
      <w:ind w:firstLine="0" w:firstLineChars="0"/>
      <w:jc w:val="center"/>
      <w:outlineLvl w:val="0"/>
    </w:pPr>
    <w:rPr>
      <w:rFonts w:ascii="Times New Roman" w:hAnsi="Times New Roman" w:eastAsia="黑体" w:cs="Times New Roman"/>
      <w:b/>
      <w:bCs/>
      <w:kern w:val="44"/>
      <w:sz w:val="36"/>
      <w:szCs w:val="44"/>
    </w:rPr>
  </w:style>
  <w:style w:type="paragraph" w:styleId="4">
    <w:name w:val="heading 2"/>
    <w:basedOn w:val="1"/>
    <w:next w:val="1"/>
    <w:semiHidden/>
    <w:unhideWhenUsed/>
    <w:qFormat/>
    <w:uiPriority w:val="0"/>
    <w:pPr>
      <w:keepNext/>
      <w:keepLines/>
      <w:spacing w:before="260" w:beforeLines="0" w:beforeAutospacing="0" w:after="260" w:afterLines="0" w:afterAutospacing="0" w:line="413" w:lineRule="auto"/>
      <w:ind w:firstLine="0" w:firstLineChars="0"/>
      <w:outlineLvl w:val="1"/>
    </w:pPr>
    <w:rPr>
      <w:rFonts w:ascii="Arial" w:hAnsi="Arial" w:eastAsia="黑体" w:cs="Times New Roman"/>
      <w:b/>
      <w:sz w:val="28"/>
      <w:szCs w:val="22"/>
    </w:rPr>
  </w:style>
  <w:style w:type="paragraph" w:styleId="5">
    <w:name w:val="heading 3"/>
    <w:basedOn w:val="1"/>
    <w:next w:val="1"/>
    <w:semiHidden/>
    <w:unhideWhenUsed/>
    <w:qFormat/>
    <w:uiPriority w:val="0"/>
    <w:pPr>
      <w:keepNext/>
      <w:keepLines/>
      <w:spacing w:beforeLines="0" w:beforeAutospacing="0" w:afterLines="0" w:afterAutospacing="0" w:line="360" w:lineRule="auto"/>
      <w:ind w:firstLine="0" w:firstLineChars="0"/>
      <w:outlineLvl w:val="2"/>
    </w:pPr>
    <w:rPr>
      <w:rFonts w:ascii="Times New Roman" w:hAnsi="Times New Roman" w:eastAsia="宋体" w:cs="Times New Roman"/>
      <w:b/>
      <w:sz w:val="24"/>
      <w:szCs w:val="22"/>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Block Text"/>
    <w:basedOn w:val="1"/>
    <w:qFormat/>
    <w:uiPriority w:val="0"/>
    <w:pPr>
      <w:autoSpaceDE w:val="0"/>
      <w:autoSpaceDN w:val="0"/>
      <w:adjustRightInd w:val="0"/>
      <w:spacing w:before="1" w:line="537" w:lineRule="exact"/>
      <w:ind w:left="88" w:right="6"/>
    </w:pPr>
    <w:rPr>
      <w:kern w:val="0"/>
      <w:sz w:val="28"/>
      <w:szCs w:val="20"/>
    </w:rPr>
  </w:style>
  <w:style w:type="paragraph" w:styleId="6">
    <w:name w:val="Normal Indent"/>
    <w:basedOn w:val="1"/>
    <w:next w:val="1"/>
    <w:qFormat/>
    <w:uiPriority w:val="0"/>
  </w:style>
  <w:style w:type="paragraph" w:styleId="7">
    <w:name w:val="caption"/>
    <w:basedOn w:val="1"/>
    <w:next w:val="1"/>
    <w:semiHidden/>
    <w:unhideWhenUsed/>
    <w:qFormat/>
    <w:uiPriority w:val="0"/>
    <w:pPr>
      <w:spacing w:line="240" w:lineRule="auto"/>
      <w:ind w:firstLine="0" w:firstLineChars="0"/>
      <w:jc w:val="center"/>
    </w:pPr>
    <w:rPr>
      <w:rFonts w:ascii="Times New Roman" w:hAnsi="Times New Roman" w:eastAsia="黑体" w:cstheme="majorBidi"/>
      <w:b/>
      <w:sz w:val="22"/>
      <w:szCs w:val="20"/>
    </w:rPr>
  </w:style>
  <w:style w:type="paragraph" w:styleId="8">
    <w:name w:val="annotation text"/>
    <w:basedOn w:val="1"/>
    <w:qFormat/>
    <w:uiPriority w:val="0"/>
    <w:pPr>
      <w:jc w:val="left"/>
    </w:pPr>
  </w:style>
  <w:style w:type="paragraph" w:styleId="9">
    <w:name w:val="Body Text"/>
    <w:basedOn w:val="1"/>
    <w:next w:val="10"/>
    <w:qFormat/>
    <w:uiPriority w:val="0"/>
    <w:pPr>
      <w:spacing w:after="120"/>
    </w:pPr>
  </w:style>
  <w:style w:type="paragraph" w:customStyle="1" w:styleId="10">
    <w:name w:val="Body Text 2_050de59c-084d-4175-9105-ef8c1c28e700"/>
    <w:basedOn w:val="1"/>
    <w:qFormat/>
    <w:uiPriority w:val="0"/>
    <w:pPr>
      <w:spacing w:after="120" w:line="480" w:lineRule="auto"/>
    </w:pPr>
  </w:style>
  <w:style w:type="paragraph" w:styleId="11">
    <w:name w:val="Body Text Indent"/>
    <w:basedOn w:val="1"/>
    <w:qFormat/>
    <w:uiPriority w:val="0"/>
    <w:pPr>
      <w:spacing w:line="240" w:lineRule="auto"/>
      <w:ind w:firstLine="0" w:firstLineChars="0"/>
    </w:pPr>
    <w:rPr>
      <w:rFonts w:ascii="Times New Roman" w:hAnsi="Times New Roman" w:eastAsia="宋体" w:cs="华文新魏"/>
      <w:sz w:val="21"/>
      <w:szCs w:val="21"/>
    </w:rPr>
  </w:style>
  <w:style w:type="paragraph" w:styleId="12">
    <w:name w:val="Plain Text"/>
    <w:basedOn w:val="1"/>
    <w:qFormat/>
    <w:uiPriority w:val="0"/>
    <w:rPr>
      <w:rFonts w:ascii="宋体" w:hAnsi="Courier New" w:cs="Courier New"/>
      <w:sz w:val="21"/>
      <w:szCs w:val="21"/>
    </w:rPr>
  </w:style>
  <w:style w:type="paragraph" w:styleId="13">
    <w:name w:val="Body Text Indent 2"/>
    <w:basedOn w:val="1"/>
    <w:qFormat/>
    <w:uiPriority w:val="0"/>
    <w:pPr>
      <w:spacing w:after="120" w:afterLines="0" w:line="480" w:lineRule="auto"/>
      <w:ind w:left="420" w:leftChars="200"/>
    </w:p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0"/>
    <w:pPr>
      <w:adjustRightInd w:val="0"/>
      <w:snapToGrid w:val="0"/>
      <w:jc w:val="center"/>
    </w:pPr>
    <w:rPr>
      <w:sz w:val="21"/>
      <w:szCs w:val="21"/>
    </w:rPr>
  </w:style>
  <w:style w:type="paragraph" w:styleId="17">
    <w:name w:val="Body Text 2"/>
    <w:basedOn w:val="1"/>
    <w:qFormat/>
    <w:uiPriority w:val="0"/>
    <w:pPr>
      <w:spacing w:line="360" w:lineRule="auto"/>
      <w:jc w:val="left"/>
    </w:pPr>
    <w:rPr>
      <w:sz w:val="24"/>
    </w:rPr>
  </w:style>
  <w:style w:type="paragraph" w:styleId="18">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19">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20">
    <w:name w:val="Body Text First Indent"/>
    <w:basedOn w:val="9"/>
    <w:unhideWhenUsed/>
    <w:qFormat/>
    <w:uiPriority w:val="99"/>
    <w:pPr>
      <w:ind w:firstLine="420" w:firstLineChars="100"/>
    </w:pPr>
  </w:style>
  <w:style w:type="paragraph" w:styleId="21">
    <w:name w:val="Body Text First Indent 2"/>
    <w:basedOn w:val="11"/>
    <w:next w:val="1"/>
    <w:qFormat/>
    <w:uiPriority w:val="0"/>
    <w:pPr>
      <w:widowControl w:val="0"/>
      <w:spacing w:after="120"/>
      <w:ind w:left="420" w:leftChars="200" w:firstLine="420" w:firstLineChars="200"/>
      <w:jc w:val="both"/>
    </w:pPr>
    <w:rPr>
      <w:rFonts w:ascii="Times New Roman" w:hAnsi="Times New Roman" w:eastAsia="宋体" w:cs="Times New Roman"/>
      <w:kern w:val="2"/>
      <w:sz w:val="28"/>
      <w:lang w:val="zh-CN" w:eastAsia="zh-CN" w:bidi="ar-SA"/>
    </w:rPr>
  </w:style>
  <w:style w:type="table" w:styleId="23">
    <w:name w:val="Table Grid"/>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uiPriority w:val="0"/>
    <w:rPr>
      <w:b/>
    </w:rPr>
  </w:style>
  <w:style w:type="character" w:styleId="26">
    <w:name w:val="page number"/>
    <w:basedOn w:val="24"/>
    <w:qFormat/>
    <w:uiPriority w:val="0"/>
  </w:style>
  <w:style w:type="character" w:styleId="27">
    <w:name w:val="Hyperlink"/>
    <w:basedOn w:val="24"/>
    <w:qFormat/>
    <w:uiPriority w:val="0"/>
    <w:rPr>
      <w:color w:val="0000CC"/>
      <w:sz w:val="15"/>
      <w:szCs w:val="15"/>
      <w:u w:val="single"/>
    </w:rPr>
  </w:style>
  <w:style w:type="character" w:styleId="28">
    <w:name w:val="annotation reference"/>
    <w:qFormat/>
    <w:uiPriority w:val="0"/>
    <w:rPr>
      <w:sz w:val="21"/>
      <w:szCs w:val="21"/>
    </w:rPr>
  </w:style>
  <w:style w:type="character" w:customStyle="1" w:styleId="29">
    <w:name w:val="标题 1 Char"/>
    <w:link w:val="3"/>
    <w:qFormat/>
    <w:uiPriority w:val="0"/>
    <w:rPr>
      <w:rFonts w:ascii="Times New Roman" w:hAnsi="Times New Roman" w:eastAsia="黑体" w:cs="Times New Roman"/>
      <w:b/>
      <w:bCs/>
      <w:kern w:val="44"/>
      <w:sz w:val="36"/>
      <w:szCs w:val="44"/>
    </w:rPr>
  </w:style>
  <w:style w:type="paragraph" w:customStyle="1" w:styleId="30">
    <w:name w:val="中文报告书样式"/>
    <w:basedOn w:val="1"/>
    <w:qFormat/>
    <w:uiPriority w:val="0"/>
    <w:pPr>
      <w:adjustRightInd w:val="0"/>
      <w:spacing w:line="480" w:lineRule="atLeast"/>
      <w:ind w:firstLine="482"/>
      <w:textAlignment w:val="baseline"/>
    </w:pPr>
    <w:rPr>
      <w:kern w:val="24"/>
      <w:sz w:val="24"/>
    </w:rPr>
  </w:style>
  <w:style w:type="paragraph" w:customStyle="1" w:styleId="3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2">
    <w:name w:val="中正文"/>
    <w:basedOn w:val="18"/>
    <w:qFormat/>
    <w:uiPriority w:val="0"/>
    <w:pPr>
      <w:ind w:firstLine="480"/>
    </w:pPr>
  </w:style>
  <w:style w:type="paragraph" w:customStyle="1" w:styleId="33">
    <w:name w:val="Table Paragraph"/>
    <w:basedOn w:val="1"/>
    <w:qFormat/>
    <w:uiPriority w:val="1"/>
    <w:rPr>
      <w:rFonts w:ascii="宋体" w:hAnsi="宋体" w:cs="宋体"/>
      <w:lang w:val="zh-CN" w:bidi="zh-CN"/>
    </w:rPr>
  </w:style>
  <w:style w:type="paragraph" w:customStyle="1" w:styleId="34">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35">
    <w:name w:val="Body text|210"/>
    <w:basedOn w:val="1"/>
    <w:qFormat/>
    <w:uiPriority w:val="0"/>
    <w:pPr>
      <w:widowControl w:val="0"/>
      <w:shd w:val="clear" w:color="auto" w:fill="FFFFFF"/>
      <w:spacing w:before="400" w:line="312" w:lineRule="exact"/>
      <w:jc w:val="distribute"/>
    </w:pPr>
    <w:rPr>
      <w:rFonts w:ascii="PMingLiU" w:hAnsi="PMingLiU" w:eastAsia="PMingLiU" w:cs="PMingLiU"/>
      <w:sz w:val="21"/>
      <w:szCs w:val="21"/>
      <w:u w:val="none"/>
    </w:rPr>
  </w:style>
  <w:style w:type="paragraph" w:styleId="36">
    <w:name w:val="List Paragraph"/>
    <w:basedOn w:val="1"/>
    <w:qFormat/>
    <w:uiPriority w:val="34"/>
    <w:pPr>
      <w:ind w:firstLine="420" w:firstLineChars="200"/>
    </w:pPr>
  </w:style>
  <w:style w:type="paragraph" w:customStyle="1" w:styleId="37">
    <w:name w:val="表格、图标文字"/>
    <w:basedOn w:val="1"/>
    <w:qFormat/>
    <w:uiPriority w:val="0"/>
    <w:pPr>
      <w:spacing w:line="360" w:lineRule="exact"/>
      <w:ind w:firstLine="0" w:firstLineChars="0"/>
      <w:jc w:val="center"/>
    </w:pPr>
    <w:rPr>
      <w:sz w:val="21"/>
    </w:rPr>
  </w:style>
  <w:style w:type="paragraph" w:customStyle="1" w:styleId="38">
    <w:name w:val="表、图标题"/>
    <w:basedOn w:val="1"/>
    <w:qFormat/>
    <w:uiPriority w:val="0"/>
    <w:pPr>
      <w:keepNext/>
      <w:spacing w:before="50" w:beforeLines="50" w:after="50" w:afterLines="50" w:line="360" w:lineRule="exact"/>
    </w:pPr>
    <w:rPr>
      <w:rFonts w:eastAsia="黑体"/>
    </w:rPr>
  </w:style>
  <w:style w:type="paragraph" w:customStyle="1" w:styleId="39">
    <w:name w:val="zl正文"/>
    <w:basedOn w:val="1"/>
    <w:qFormat/>
    <w:uiPriority w:val="0"/>
    <w:pPr>
      <w:spacing w:line="360" w:lineRule="auto"/>
      <w:ind w:firstLine="480" w:firstLineChars="200"/>
    </w:pPr>
    <w:rPr>
      <w:kern w:val="0"/>
      <w:sz w:val="24"/>
    </w:rPr>
  </w:style>
  <w:style w:type="paragraph" w:customStyle="1" w:styleId="40">
    <w:name w:val="正文五"/>
    <w:basedOn w:val="1"/>
    <w:qFormat/>
    <w:uiPriority w:val="0"/>
    <w:pPr>
      <w:snapToGrid w:val="0"/>
      <w:jc w:val="center"/>
    </w:pPr>
    <w:rPr>
      <w:sz w:val="24"/>
      <w:szCs w:val="28"/>
    </w:rPr>
  </w:style>
  <w:style w:type="paragraph" w:customStyle="1" w:styleId="41">
    <w:name w:val="文本正文"/>
    <w:basedOn w:val="1"/>
    <w:qFormat/>
    <w:uiPriority w:val="0"/>
    <w:pPr>
      <w:widowControl/>
      <w:spacing w:line="360" w:lineRule="auto"/>
      <w:ind w:firstLine="480" w:firstLineChars="200"/>
      <w:jc w:val="left"/>
    </w:pPr>
    <w:rPr>
      <w:sz w:val="24"/>
      <w:lang w:val="zh-CN" w:eastAsia="zh-CN"/>
    </w:rPr>
  </w:style>
  <w:style w:type="paragraph" w:customStyle="1" w:styleId="42">
    <w:name w:val="表头"/>
    <w:basedOn w:val="6"/>
    <w:qFormat/>
    <w:uiPriority w:val="0"/>
    <w:pPr>
      <w:adjustRightInd w:val="0"/>
      <w:snapToGrid w:val="0"/>
      <w:spacing w:line="600" w:lineRule="exact"/>
      <w:ind w:firstLine="281" w:firstLineChars="100"/>
      <w:jc w:val="center"/>
    </w:pPr>
    <w:rPr>
      <w:rFonts w:ascii="宋体" w:hAnsi="宋体"/>
      <w:b/>
      <w:sz w:val="28"/>
      <w:szCs w:val="28"/>
    </w:rPr>
  </w:style>
  <w:style w:type="paragraph" w:customStyle="1" w:styleId="43">
    <w:name w:val="+正文"/>
    <w:basedOn w:val="1"/>
    <w:qFormat/>
    <w:uiPriority w:val="0"/>
    <w:pPr>
      <w:spacing w:line="360" w:lineRule="auto"/>
      <w:ind w:firstLine="200" w:firstLineChars="200"/>
    </w:pPr>
    <w:rPr>
      <w:sz w:val="24"/>
      <w:szCs w:val="28"/>
    </w:rPr>
  </w:style>
  <w:style w:type="paragraph" w:customStyle="1" w:styleId="44">
    <w:name w:val="列出段落1"/>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2.png"/><Relationship Id="rId64" Type="http://schemas.openxmlformats.org/officeDocument/2006/relationships/image" Target="media/image51.jpe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3.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2.xml"/><Relationship Id="rId49" Type="http://schemas.openxmlformats.org/officeDocument/2006/relationships/image" Target="media/image36.jpe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footer" Target="footer1.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png"/><Relationship Id="rId31" Type="http://schemas.openxmlformats.org/officeDocument/2006/relationships/image" Target="media/image18.jpe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wmf"/><Relationship Id="rId28" Type="http://schemas.openxmlformats.org/officeDocument/2006/relationships/oleObject" Target="embeddings/oleObject3.bin"/><Relationship Id="rId27" Type="http://schemas.openxmlformats.org/officeDocument/2006/relationships/image" Target="media/image15.wmf"/><Relationship Id="rId26" Type="http://schemas.openxmlformats.org/officeDocument/2006/relationships/oleObject" Target="embeddings/oleObject2.bin"/><Relationship Id="rId25" Type="http://schemas.openxmlformats.org/officeDocument/2006/relationships/image" Target="media/image14.wmf"/><Relationship Id="rId24" Type="http://schemas.openxmlformats.org/officeDocument/2006/relationships/image" Target="media/image13.wmf"/><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8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135</Pages>
  <Words>49192</Words>
  <Characters>54506</Characters>
  <Lines>0</Lines>
  <Paragraphs>0</Paragraphs>
  <TotalTime>1</TotalTime>
  <ScaleCrop>false</ScaleCrop>
  <LinksUpToDate>false</LinksUpToDate>
  <CharactersWithSpaces>55805</CharactersWithSpaces>
  <Application>WPS Office_11.1.0.10299_F1E327BC-269C-435d-A152-05C5408002CA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2020-10-14T05:32:00Z</dcterms:created>
  <dc:creator>Administrator</dc:creator>
  <cp:lastModifiedBy>✘✘</cp:lastModifiedBy>
  <cp:lastPrinted>2020-12-05T01:32:00Z</cp:lastPrinted>
  <dcterms:modified xsi:type="dcterms:W3CDTF">2020-12-30T02:38:05Z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2052-11.1.0.10299</vt:lpwstr>
  </property>
</Properties>
</file>