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eastAsia="zh-CN"/>
        </w:rPr>
        <w:t>鲁山县大利塑料制品厂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年产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万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eastAsia="zh-CN"/>
        </w:rPr>
        <w:t>只林果塑料筐建设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项目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eastAsia="zh-CN"/>
        </w:rPr>
        <w:t>修改说明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4215"/>
        <w:gridCol w:w="3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21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专家意见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进一步完善项目周边环境敏感点调查内容及公众参与内容。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P46已进一步完善项目周边环境敏感点调查内容及公众参与内容。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结合环境攻坚战相关要求，强化施工期污染防治措施。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P26、P27、P28、P29结合环境攻坚战相关要求，强化了施工期污染防治措施。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严格按照大气污染防控相关政策要求，细化工艺过程分析内容，完善熔融、注塑、烘干、成型等生产工艺节点有机废气收集处理污染防控措施，校核物料平衡，核算VOC产生源强；完善封闭车间相关设施二次封闭废气相关环节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P18、P19、P22、P24已严格按照大气污染防控相关政策要求，细化了工艺过程分析内容，完善了熔融、注塑、烘干、成型等生产工艺节点有机废气收集处理污染防控措施，校核了物料平衡，核算VOC产生源强；完善封闭</w:t>
            </w:r>
            <w:bookmarkStart w:id="0" w:name="_GoBack"/>
            <w:bookmarkEnd w:id="0"/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车间相关设施二次封闭废气相关环节。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完善环境风险分析相关内容。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P39、P40、P41已经完善了环境风险分析相关内容。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完善环保投资及验收一览表内容。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P42、P43已完善环保投资及验收一览表内容。</w:t>
            </w:r>
          </w:p>
        </w:tc>
      </w:tr>
    </w:tbl>
    <w:p>
      <w:pPr>
        <w:jc w:val="center"/>
        <w:rPr>
          <w:rFonts w:hint="eastAsia" w:ascii="Times New Roman" w:hAnsi="Times New Roman" w:cs="宋体"/>
          <w:b/>
          <w:bCs/>
          <w:color w:val="auto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14B0"/>
    <w:rsid w:val="68CA6C8C"/>
    <w:rsid w:val="6F1514B0"/>
    <w:rsid w:val="78FC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463</Characters>
  <Lines>0</Lines>
  <Paragraphs>0</Paragraphs>
  <TotalTime>11</TotalTime>
  <ScaleCrop>false</ScaleCrop>
  <LinksUpToDate>false</LinksUpToDate>
  <CharactersWithSpaces>463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2020-12-08T01:55:00Z</dcterms:created>
  <dc:creator>Vision</dc:creator>
  <cp:lastModifiedBy>Vision</cp:lastModifiedBy>
  <dcterms:modified xsi:type="dcterms:W3CDTF">2021-01-12T09:38:28Z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