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eastAsia="zh-CN"/>
        </w:rPr>
        <w:t>鲁山县</w:t>
      </w:r>
      <w:r>
        <w:rPr>
          <w:rFonts w:hint="eastAsia" w:ascii="方正小标宋简体" w:eastAsia="方正小标宋简体"/>
          <w:sz w:val="44"/>
          <w:szCs w:val="44"/>
        </w:rPr>
        <w:t>民政局重大行政执法决定</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法制审核和行政执法决定公开制度</w:t>
      </w:r>
    </w:p>
    <w:p>
      <w:pPr>
        <w:rPr>
          <w:rFonts w:ascii="仿宋_GB2312" w:eastAsia="仿宋_GB2312"/>
          <w:sz w:val="32"/>
          <w:szCs w:val="32"/>
        </w:rPr>
      </w:pPr>
    </w:p>
    <w:p>
      <w:pPr>
        <w:ind w:firstLine="622"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为保障全</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民政系统法律、法规的实施，保护行政管理相对人的合法权益，促进行政执法工作程序化、规范化，根据《中华人民共和国行政处罚法》、《河南省行政执法条例》和《河南省重大行政处罚备案审查办法》的规定，结合工作实际，制定本制度。</w:t>
      </w:r>
    </w:p>
    <w:p>
      <w:pPr>
        <w:ind w:firstLine="622"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本制度适用于全</w:t>
      </w:r>
      <w:r>
        <w:rPr>
          <w:rFonts w:hint="eastAsia" w:ascii="仿宋_GB2312" w:eastAsia="仿宋_GB2312"/>
          <w:sz w:val="32"/>
          <w:szCs w:val="32"/>
          <w:lang w:eastAsia="zh-CN"/>
        </w:rPr>
        <w:t>县</w:t>
      </w:r>
      <w:r>
        <w:rPr>
          <w:rFonts w:hint="eastAsia" w:ascii="仿宋_GB2312" w:eastAsia="仿宋_GB2312"/>
          <w:sz w:val="32"/>
          <w:szCs w:val="32"/>
        </w:rPr>
        <w:t>民政系统行政执法机关及其执法人员的行政执法活动。</w:t>
      </w:r>
    </w:p>
    <w:p>
      <w:pPr>
        <w:ind w:firstLine="622"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本制度所称重大执法决定的范围：包括重大行政处罚、行政许可、行政强制、行政检查、行政执法机关认定的重大执法决定以及法律、法规、规章规定的其他重大执法决定。</w:t>
      </w:r>
    </w:p>
    <w:p>
      <w:pPr>
        <w:ind w:firstLine="622" w:firstLineChars="200"/>
        <w:rPr>
          <w:rFonts w:ascii="仿宋_GB2312" w:eastAsia="仿宋_GB2312"/>
          <w:sz w:val="32"/>
          <w:szCs w:val="32"/>
        </w:rPr>
      </w:pPr>
      <w:r>
        <w:rPr>
          <w:rFonts w:hint="eastAsia" w:ascii="仿宋_GB2312" w:eastAsia="仿宋_GB2312"/>
          <w:sz w:val="32"/>
          <w:szCs w:val="32"/>
        </w:rPr>
        <w:t>（一）重大行政处罚的种类：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责令停产停业的；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吊销许可证的；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对公民处以</w:t>
      </w:r>
      <w:r>
        <w:rPr>
          <w:rFonts w:ascii="仿宋_GB2312" w:eastAsia="仿宋_GB2312"/>
          <w:sz w:val="32"/>
          <w:szCs w:val="32"/>
        </w:rPr>
        <w:t>1</w:t>
      </w:r>
      <w:r>
        <w:rPr>
          <w:rFonts w:hint="eastAsia" w:ascii="仿宋_GB2312" w:eastAsia="仿宋_GB2312"/>
          <w:sz w:val="32"/>
          <w:szCs w:val="32"/>
        </w:rPr>
        <w:t>万元以上的罚款、对法人或者其他组织处以</w:t>
      </w:r>
      <w:r>
        <w:rPr>
          <w:rFonts w:ascii="仿宋_GB2312" w:eastAsia="仿宋_GB2312"/>
          <w:sz w:val="32"/>
          <w:szCs w:val="32"/>
        </w:rPr>
        <w:t>10</w:t>
      </w:r>
      <w:r>
        <w:rPr>
          <w:rFonts w:hint="eastAsia" w:ascii="仿宋_GB2312" w:eastAsia="仿宋_GB2312"/>
          <w:sz w:val="32"/>
          <w:szCs w:val="32"/>
        </w:rPr>
        <w:t>万元以上罚款的；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情节复杂或重大违法的；</w:t>
      </w:r>
    </w:p>
    <w:p>
      <w:pPr>
        <w:ind w:firstLine="622"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涉及行政管理相对人重大权益，容易引起行政争议或有重大社会影响；</w:t>
      </w:r>
    </w:p>
    <w:p>
      <w:pPr>
        <w:ind w:firstLine="622"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法律、法规和规章规定的其他重大行政处罚事项的。</w:t>
      </w:r>
    </w:p>
    <w:p>
      <w:pPr>
        <w:ind w:firstLine="622" w:firstLineChars="200"/>
        <w:rPr>
          <w:rFonts w:ascii="仿宋_GB2312" w:eastAsia="仿宋_GB2312"/>
          <w:sz w:val="32"/>
          <w:szCs w:val="32"/>
        </w:rPr>
      </w:pPr>
      <w:r>
        <w:rPr>
          <w:rFonts w:hint="eastAsia" w:ascii="仿宋_GB2312" w:eastAsia="仿宋_GB2312"/>
          <w:sz w:val="32"/>
          <w:szCs w:val="32"/>
        </w:rPr>
        <w:t>（二）重大行政许可的种类：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拟实施行政许可应当听证的；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拟作出不予行政许可决定、不予行政许可变更决定、不予行政许可延续决定、撤销行政许可决定的；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有限自然资源开发利用、公共资源配置以及直接关系公共利益的特定行业的市场准入等，需要赋予特定权利的；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法律、法规和规章规定的其他重大行政许可事项。</w:t>
      </w:r>
    </w:p>
    <w:p>
      <w:pPr>
        <w:ind w:firstLine="622" w:firstLineChars="200"/>
        <w:rPr>
          <w:rFonts w:ascii="仿宋_GB2312" w:eastAsia="仿宋_GB2312"/>
          <w:sz w:val="32"/>
          <w:szCs w:val="32"/>
        </w:rPr>
      </w:pPr>
      <w:r>
        <w:rPr>
          <w:rFonts w:hint="eastAsia" w:ascii="仿宋_GB2312" w:eastAsia="仿宋_GB2312"/>
          <w:sz w:val="32"/>
          <w:szCs w:val="32"/>
        </w:rPr>
        <w:t>（三）重大行政强制的种类：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拍卖或者依法处理查封、扣押的设施或者财物，价值较大的；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查封场所、设施或者财物使公民、法人或者其他组织的生产经营活动、工作难以正常进行的行政强制决定；</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法律、法规规定的其他重大行政强制事项。</w:t>
      </w:r>
    </w:p>
    <w:p>
      <w:pPr>
        <w:ind w:firstLine="622"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重大行政执法决定法制审核制度，是指行政执法机关按照一般程序办理的执法案件，拟作出重大行政执法决定之前，由本机关的法制机构对其合法性、适当性等进行审核，提出书面处理意见，未经法制审核或者审核未通过不得作出决定的内部监督制约制度。</w:t>
      </w:r>
    </w:p>
    <w:p>
      <w:pPr>
        <w:ind w:firstLine="622" w:firstLineChars="200"/>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法制审核是对重大行政执法决定的合法性、适当性进行审核，包括下列内容：</w:t>
      </w:r>
    </w:p>
    <w:p>
      <w:pPr>
        <w:ind w:firstLine="622" w:firstLineChars="200"/>
        <w:rPr>
          <w:rFonts w:ascii="仿宋_GB2312" w:eastAsia="仿宋_GB2312"/>
          <w:sz w:val="32"/>
          <w:szCs w:val="32"/>
        </w:rPr>
      </w:pPr>
      <w:r>
        <w:rPr>
          <w:rFonts w:hint="eastAsia" w:ascii="仿宋_GB2312" w:eastAsia="仿宋_GB2312"/>
          <w:sz w:val="32"/>
          <w:szCs w:val="32"/>
        </w:rPr>
        <w:t>（一）主体是否合法；</w:t>
      </w:r>
    </w:p>
    <w:p>
      <w:pPr>
        <w:ind w:firstLine="622" w:firstLineChars="200"/>
        <w:rPr>
          <w:rFonts w:ascii="仿宋_GB2312" w:eastAsia="仿宋_GB2312"/>
          <w:sz w:val="32"/>
          <w:szCs w:val="32"/>
        </w:rPr>
      </w:pPr>
      <w:r>
        <w:rPr>
          <w:rFonts w:hint="eastAsia" w:ascii="仿宋_GB2312" w:eastAsia="仿宋_GB2312"/>
          <w:sz w:val="32"/>
          <w:szCs w:val="32"/>
        </w:rPr>
        <w:t>（二）违法行为是否超过追责时效；</w:t>
      </w:r>
    </w:p>
    <w:p>
      <w:pPr>
        <w:ind w:firstLine="622" w:firstLineChars="200"/>
        <w:rPr>
          <w:rFonts w:ascii="仿宋_GB2312" w:eastAsia="仿宋_GB2312"/>
          <w:sz w:val="32"/>
          <w:szCs w:val="32"/>
        </w:rPr>
      </w:pPr>
      <w:r>
        <w:rPr>
          <w:rFonts w:hint="eastAsia" w:ascii="仿宋_GB2312" w:eastAsia="仿宋_GB2312"/>
          <w:sz w:val="32"/>
          <w:szCs w:val="32"/>
        </w:rPr>
        <w:t>（三）本机关对该案是否具有管辖权；</w:t>
      </w:r>
    </w:p>
    <w:p>
      <w:pPr>
        <w:ind w:firstLine="622" w:firstLineChars="200"/>
        <w:rPr>
          <w:rFonts w:ascii="仿宋_GB2312" w:eastAsia="仿宋_GB2312"/>
          <w:sz w:val="32"/>
          <w:szCs w:val="32"/>
        </w:rPr>
      </w:pPr>
      <w:r>
        <w:rPr>
          <w:rFonts w:hint="eastAsia" w:ascii="仿宋_GB2312" w:eastAsia="仿宋_GB2312"/>
          <w:sz w:val="32"/>
          <w:szCs w:val="32"/>
        </w:rPr>
        <w:t>（四）事实是否清楚，证据是否确凿、充分，材料是否齐全；</w:t>
      </w:r>
    </w:p>
    <w:p>
      <w:pPr>
        <w:ind w:firstLine="622" w:firstLineChars="200"/>
        <w:rPr>
          <w:rFonts w:ascii="仿宋_GB2312" w:eastAsia="仿宋_GB2312"/>
          <w:sz w:val="32"/>
          <w:szCs w:val="32"/>
        </w:rPr>
      </w:pPr>
      <w:r>
        <w:rPr>
          <w:rFonts w:hint="eastAsia" w:ascii="仿宋_GB2312" w:eastAsia="仿宋_GB2312"/>
          <w:sz w:val="32"/>
          <w:szCs w:val="32"/>
        </w:rPr>
        <w:t>（五）程序是否合法；</w:t>
      </w:r>
    </w:p>
    <w:p>
      <w:pPr>
        <w:ind w:firstLine="622" w:firstLineChars="200"/>
        <w:rPr>
          <w:rFonts w:ascii="仿宋_GB2312" w:eastAsia="仿宋_GB2312"/>
          <w:sz w:val="32"/>
          <w:szCs w:val="32"/>
        </w:rPr>
      </w:pPr>
      <w:r>
        <w:rPr>
          <w:rFonts w:hint="eastAsia" w:ascii="仿宋_GB2312" w:eastAsia="仿宋_GB2312"/>
          <w:sz w:val="32"/>
          <w:szCs w:val="32"/>
        </w:rPr>
        <w:t>（六）定性是否准确，适用法律、法规、规章是否正确；</w:t>
      </w:r>
    </w:p>
    <w:p>
      <w:pPr>
        <w:ind w:firstLine="622" w:firstLineChars="200"/>
        <w:rPr>
          <w:rFonts w:ascii="仿宋_GB2312" w:eastAsia="仿宋_GB2312"/>
          <w:sz w:val="32"/>
          <w:szCs w:val="32"/>
        </w:rPr>
      </w:pPr>
      <w:r>
        <w:rPr>
          <w:rFonts w:hint="eastAsia" w:ascii="仿宋_GB2312" w:eastAsia="仿宋_GB2312"/>
          <w:sz w:val="32"/>
          <w:szCs w:val="32"/>
        </w:rPr>
        <w:t>（七）决定是否适当；</w:t>
      </w:r>
    </w:p>
    <w:p>
      <w:pPr>
        <w:ind w:firstLine="622" w:firstLineChars="200"/>
        <w:rPr>
          <w:rFonts w:ascii="仿宋_GB2312" w:eastAsia="仿宋_GB2312"/>
          <w:sz w:val="32"/>
          <w:szCs w:val="32"/>
        </w:rPr>
      </w:pPr>
      <w:r>
        <w:rPr>
          <w:rFonts w:hint="eastAsia" w:ascii="仿宋_GB2312" w:eastAsia="仿宋_GB2312"/>
          <w:sz w:val="32"/>
          <w:szCs w:val="32"/>
        </w:rPr>
        <w:t>（八）其他依法应当审核的事项。</w:t>
      </w:r>
    </w:p>
    <w:p>
      <w:pPr>
        <w:ind w:firstLine="622"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行政执法机关拟作出的重大行政执法决定，未经法制机构审核，或者审核未通过的，不得进入下一程序。</w:t>
      </w:r>
    </w:p>
    <w:p>
      <w:pPr>
        <w:ind w:firstLine="622"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法制机构对重大行政执法决定进行审核后，根据不同情况，提出相应的意见或建议。</w:t>
      </w:r>
    </w:p>
    <w:p>
      <w:pPr>
        <w:ind w:firstLine="622" w:firstLineChars="200"/>
        <w:rPr>
          <w:rFonts w:ascii="仿宋_GB2312" w:eastAsia="仿宋_GB2312"/>
          <w:sz w:val="32"/>
          <w:szCs w:val="32"/>
        </w:rPr>
      </w:pPr>
      <w:r>
        <w:rPr>
          <w:rFonts w:hint="eastAsia" w:ascii="仿宋_GB2312" w:eastAsia="仿宋_GB2312"/>
          <w:sz w:val="32"/>
          <w:szCs w:val="32"/>
        </w:rPr>
        <w:t>（一）对事实清楚、证据确凿充分、定性准确、决定适当、程序合法的，提出同意的意见；</w:t>
      </w:r>
    </w:p>
    <w:p>
      <w:pPr>
        <w:ind w:firstLine="622" w:firstLineChars="200"/>
        <w:rPr>
          <w:rFonts w:ascii="仿宋_GB2312" w:eastAsia="仿宋_GB2312"/>
          <w:sz w:val="32"/>
          <w:szCs w:val="32"/>
        </w:rPr>
      </w:pPr>
      <w:r>
        <w:rPr>
          <w:rFonts w:hint="eastAsia" w:ascii="仿宋_GB2312" w:eastAsia="仿宋_GB2312"/>
          <w:sz w:val="32"/>
          <w:szCs w:val="32"/>
        </w:rPr>
        <w:t>（二）对事实不清、证据不足的，建议补充调查，并将案卷材料退回案件承办机构；</w:t>
      </w:r>
    </w:p>
    <w:p>
      <w:pPr>
        <w:ind w:firstLine="622" w:firstLineChars="200"/>
        <w:rPr>
          <w:rFonts w:ascii="仿宋_GB2312" w:eastAsia="仿宋_GB2312"/>
          <w:sz w:val="32"/>
          <w:szCs w:val="32"/>
        </w:rPr>
      </w:pPr>
      <w:r>
        <w:rPr>
          <w:rFonts w:hint="eastAsia" w:ascii="仿宋_GB2312" w:eastAsia="仿宋_GB2312"/>
          <w:sz w:val="32"/>
          <w:szCs w:val="32"/>
        </w:rPr>
        <w:t>（三）对定性不准、适用法律不当的，提出修正意见；</w:t>
      </w:r>
    </w:p>
    <w:p>
      <w:pPr>
        <w:ind w:firstLine="622" w:firstLineChars="200"/>
        <w:rPr>
          <w:rFonts w:ascii="仿宋_GB2312" w:eastAsia="仿宋_GB2312"/>
          <w:sz w:val="32"/>
          <w:szCs w:val="32"/>
        </w:rPr>
      </w:pPr>
      <w:r>
        <w:rPr>
          <w:rFonts w:hint="eastAsia" w:ascii="仿宋_GB2312" w:eastAsia="仿宋_GB2312"/>
          <w:sz w:val="32"/>
          <w:szCs w:val="32"/>
        </w:rPr>
        <w:t>（四）对程序违法的，提出纠正意见；</w:t>
      </w:r>
    </w:p>
    <w:p>
      <w:pPr>
        <w:ind w:firstLine="622" w:firstLineChars="200"/>
        <w:rPr>
          <w:rFonts w:ascii="仿宋_GB2312" w:eastAsia="仿宋_GB2312"/>
          <w:sz w:val="32"/>
          <w:szCs w:val="32"/>
        </w:rPr>
      </w:pPr>
      <w:r>
        <w:rPr>
          <w:rFonts w:hint="eastAsia" w:ascii="仿宋_GB2312" w:eastAsia="仿宋_GB2312"/>
          <w:sz w:val="32"/>
          <w:szCs w:val="32"/>
        </w:rPr>
        <w:t>（五）对涉及适用裁量标准的决定，严格依照裁量标准，提出处理意见；</w:t>
      </w:r>
    </w:p>
    <w:p>
      <w:pPr>
        <w:ind w:firstLine="622" w:firstLineChars="200"/>
        <w:rPr>
          <w:rFonts w:ascii="仿宋_GB2312" w:eastAsia="仿宋_GB2312"/>
          <w:sz w:val="32"/>
          <w:szCs w:val="32"/>
        </w:rPr>
      </w:pPr>
      <w:r>
        <w:rPr>
          <w:rFonts w:hint="eastAsia" w:ascii="仿宋_GB2312" w:eastAsia="仿宋_GB2312"/>
          <w:sz w:val="32"/>
          <w:szCs w:val="32"/>
        </w:rPr>
        <w:t>（六）对重大、复杂案件，建议本机关负责人集体研究决定；</w:t>
      </w:r>
    </w:p>
    <w:p>
      <w:pPr>
        <w:ind w:firstLine="622" w:firstLineChars="200"/>
        <w:rPr>
          <w:rFonts w:ascii="仿宋_GB2312" w:eastAsia="仿宋_GB2312"/>
          <w:sz w:val="32"/>
          <w:szCs w:val="32"/>
        </w:rPr>
      </w:pPr>
      <w:r>
        <w:rPr>
          <w:rFonts w:hint="eastAsia" w:ascii="仿宋_GB2312" w:eastAsia="仿宋_GB2312"/>
          <w:sz w:val="32"/>
          <w:szCs w:val="32"/>
        </w:rPr>
        <w:t>（七）对违法行为涉嫌犯罪的，提出移送司法机关的建议；</w:t>
      </w:r>
    </w:p>
    <w:p>
      <w:pPr>
        <w:ind w:firstLine="622" w:firstLineChars="200"/>
        <w:rPr>
          <w:rFonts w:ascii="仿宋_GB2312" w:eastAsia="仿宋_GB2312"/>
          <w:sz w:val="32"/>
          <w:szCs w:val="32"/>
        </w:rPr>
      </w:pPr>
      <w:r>
        <w:rPr>
          <w:rFonts w:hint="eastAsia" w:ascii="仿宋_GB2312" w:eastAsia="仿宋_GB2312"/>
          <w:sz w:val="32"/>
          <w:szCs w:val="32"/>
        </w:rPr>
        <w:t>（八）其他依法处理的意见。</w:t>
      </w:r>
    </w:p>
    <w:p>
      <w:pPr>
        <w:ind w:firstLine="622" w:firstLineChars="200"/>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行政执法决定公开制度，是指行政执法机关采取一定方式，依法将本单位的行政执法决定内容向行政管理相对人和社会公众公开，接受社会监督的制度。</w:t>
      </w:r>
    </w:p>
    <w:p>
      <w:pPr>
        <w:ind w:firstLine="622" w:firstLineChars="200"/>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行政执法决定公开的原则：应当遵循合法、及时、准确、全面、便民的原则。</w:t>
      </w:r>
    </w:p>
    <w:p>
      <w:pPr>
        <w:ind w:firstLine="622" w:firstLineChars="200"/>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行政执法决定公开的范围：除涉及国家秘密、商业秘密和个人隐私的信息不予公开外，其他信息都应当予以公开。</w:t>
      </w:r>
    </w:p>
    <w:p>
      <w:pPr>
        <w:ind w:firstLine="622" w:firstLineChars="200"/>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行政执法决定公开可以采用的形式。</w:t>
      </w:r>
    </w:p>
    <w:p>
      <w:pPr>
        <w:ind w:firstLine="622" w:firstLineChars="200"/>
        <w:rPr>
          <w:rFonts w:ascii="仿宋_GB2312" w:eastAsia="仿宋_GB2312"/>
          <w:sz w:val="32"/>
          <w:szCs w:val="32"/>
        </w:rPr>
      </w:pPr>
      <w:r>
        <w:rPr>
          <w:rFonts w:hint="eastAsia" w:ascii="仿宋_GB2312" w:eastAsia="仿宋_GB2312"/>
          <w:sz w:val="32"/>
          <w:szCs w:val="32"/>
        </w:rPr>
        <w:t>（一）发布公告；</w:t>
      </w:r>
    </w:p>
    <w:p>
      <w:pPr>
        <w:ind w:firstLine="622" w:firstLineChars="200"/>
        <w:rPr>
          <w:rFonts w:ascii="仿宋_GB2312" w:eastAsia="仿宋_GB2312"/>
          <w:sz w:val="32"/>
          <w:szCs w:val="32"/>
        </w:rPr>
      </w:pPr>
      <w:r>
        <w:rPr>
          <w:rFonts w:hint="eastAsia" w:ascii="仿宋_GB2312" w:eastAsia="仿宋_GB2312"/>
          <w:sz w:val="32"/>
          <w:szCs w:val="32"/>
        </w:rPr>
        <w:t>（二）通过本部门网站公布；</w:t>
      </w:r>
    </w:p>
    <w:p>
      <w:pPr>
        <w:ind w:firstLine="622" w:firstLineChars="200"/>
        <w:rPr>
          <w:rFonts w:ascii="仿宋_GB2312" w:eastAsia="仿宋_GB2312"/>
          <w:sz w:val="32"/>
          <w:szCs w:val="32"/>
        </w:rPr>
      </w:pPr>
      <w:r>
        <w:rPr>
          <w:rFonts w:hint="eastAsia" w:ascii="仿宋_GB2312" w:eastAsia="仿宋_GB2312"/>
          <w:sz w:val="32"/>
          <w:szCs w:val="32"/>
        </w:rPr>
        <w:t>（三）在办公场所设置公示栏或电子显示屏公布；</w:t>
      </w:r>
    </w:p>
    <w:p>
      <w:pPr>
        <w:ind w:firstLine="622" w:firstLineChars="200"/>
        <w:rPr>
          <w:rFonts w:ascii="仿宋_GB2312" w:eastAsia="仿宋_GB2312"/>
          <w:sz w:val="32"/>
          <w:szCs w:val="32"/>
        </w:rPr>
      </w:pPr>
      <w:r>
        <w:rPr>
          <w:rFonts w:hint="eastAsia" w:ascii="仿宋_GB2312" w:eastAsia="仿宋_GB2312"/>
          <w:sz w:val="32"/>
          <w:szCs w:val="32"/>
        </w:rPr>
        <w:t>（四）其他方式。</w:t>
      </w:r>
    </w:p>
    <w:p>
      <w:pPr>
        <w:ind w:firstLine="622" w:firstLineChars="200"/>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行政执法机关作出行政执法决定的，应当自行政执法决定送达之日起十五日内，对该行政执法决定进行公示。</w:t>
      </w:r>
    </w:p>
    <w:p>
      <w:pPr>
        <w:ind w:firstLine="622" w:firstLineChars="200"/>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法律、法规、规章及省以上行政主管部门关于行政执法公开制度另有规定的，依照其规定执行。</w:t>
      </w:r>
    </w:p>
    <w:p>
      <w:pPr>
        <w:ind w:firstLine="622" w:firstLineChars="200"/>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rPr>
        <w:t>行政执法机关及其工作人员违反本制度规定，不认真执行重大行政执法决定法制审核和行政执法决定公开制度的，依照相关规定进行处理。</w:t>
      </w:r>
    </w:p>
    <w:p>
      <w:pPr>
        <w:ind w:firstLine="622" w:firstLineChars="200"/>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rPr>
        <w:t>行政执法机关重大行政执法决定报本级人民政府法制机构备案。</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7638"/>
        </w:tabs>
        <w:rPr>
          <w:rFonts w:ascii="仿宋_GB2312" w:eastAsia="仿宋_GB2312"/>
          <w:sz w:val="32"/>
          <w:szCs w:val="32"/>
        </w:rPr>
      </w:pPr>
      <w:r>
        <w:rPr>
          <w:rFonts w:ascii="仿宋_GB2312" w:eastAsia="仿宋_GB2312"/>
          <w:sz w:val="32"/>
          <w:szCs w:val="32"/>
        </w:rPr>
        <w:t xml:space="preserve">                                  </w:t>
      </w:r>
    </w:p>
    <w:sectPr>
      <w:footerReference r:id="rId3" w:type="default"/>
      <w:footerReference r:id="rId4" w:type="even"/>
      <w:pgSz w:w="11906" w:h="16838"/>
      <w:pgMar w:top="2098" w:right="1474" w:bottom="1985" w:left="1588" w:header="1985" w:footer="1559"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2A"/>
    <w:rsid w:val="00002B32"/>
    <w:rsid w:val="00022162"/>
    <w:rsid w:val="00025AE6"/>
    <w:rsid w:val="00053D40"/>
    <w:rsid w:val="00053F5E"/>
    <w:rsid w:val="00054316"/>
    <w:rsid w:val="00056426"/>
    <w:rsid w:val="00057EBB"/>
    <w:rsid w:val="000935A8"/>
    <w:rsid w:val="00096EF0"/>
    <w:rsid w:val="000D6339"/>
    <w:rsid w:val="000F63F3"/>
    <w:rsid w:val="001006F7"/>
    <w:rsid w:val="00103B55"/>
    <w:rsid w:val="0016501A"/>
    <w:rsid w:val="001663E0"/>
    <w:rsid w:val="00191BE6"/>
    <w:rsid w:val="00191DFD"/>
    <w:rsid w:val="001A5869"/>
    <w:rsid w:val="001C35D0"/>
    <w:rsid w:val="001C6EC1"/>
    <w:rsid w:val="001E7C02"/>
    <w:rsid w:val="001F741D"/>
    <w:rsid w:val="002166E1"/>
    <w:rsid w:val="00245F71"/>
    <w:rsid w:val="00251402"/>
    <w:rsid w:val="0025580F"/>
    <w:rsid w:val="00261CB6"/>
    <w:rsid w:val="002625EB"/>
    <w:rsid w:val="0026320C"/>
    <w:rsid w:val="002838E5"/>
    <w:rsid w:val="00287AD1"/>
    <w:rsid w:val="0029582D"/>
    <w:rsid w:val="002C69B8"/>
    <w:rsid w:val="002D2730"/>
    <w:rsid w:val="002D6085"/>
    <w:rsid w:val="002F2A77"/>
    <w:rsid w:val="00300253"/>
    <w:rsid w:val="00301561"/>
    <w:rsid w:val="0031306A"/>
    <w:rsid w:val="00317A27"/>
    <w:rsid w:val="00347A07"/>
    <w:rsid w:val="00351782"/>
    <w:rsid w:val="00361210"/>
    <w:rsid w:val="003964A4"/>
    <w:rsid w:val="003A2A2B"/>
    <w:rsid w:val="003A6EDA"/>
    <w:rsid w:val="003A7844"/>
    <w:rsid w:val="003B5733"/>
    <w:rsid w:val="003C00D9"/>
    <w:rsid w:val="003C1547"/>
    <w:rsid w:val="003E3028"/>
    <w:rsid w:val="003E431B"/>
    <w:rsid w:val="003F5D65"/>
    <w:rsid w:val="003F792C"/>
    <w:rsid w:val="0041475E"/>
    <w:rsid w:val="00415731"/>
    <w:rsid w:val="00421FEC"/>
    <w:rsid w:val="00434F3D"/>
    <w:rsid w:val="004423A7"/>
    <w:rsid w:val="00442981"/>
    <w:rsid w:val="0046025D"/>
    <w:rsid w:val="00471F6F"/>
    <w:rsid w:val="0047386C"/>
    <w:rsid w:val="00486239"/>
    <w:rsid w:val="00486BA4"/>
    <w:rsid w:val="0049249D"/>
    <w:rsid w:val="004D7620"/>
    <w:rsid w:val="004F1E34"/>
    <w:rsid w:val="00500C51"/>
    <w:rsid w:val="005040FD"/>
    <w:rsid w:val="005121E9"/>
    <w:rsid w:val="00525DD2"/>
    <w:rsid w:val="005263C2"/>
    <w:rsid w:val="00544D9C"/>
    <w:rsid w:val="00554C0D"/>
    <w:rsid w:val="0057024F"/>
    <w:rsid w:val="00570CB3"/>
    <w:rsid w:val="00590756"/>
    <w:rsid w:val="005A7A52"/>
    <w:rsid w:val="005B3005"/>
    <w:rsid w:val="005B61F9"/>
    <w:rsid w:val="005D48DD"/>
    <w:rsid w:val="005E3F2F"/>
    <w:rsid w:val="005E4944"/>
    <w:rsid w:val="005E63DE"/>
    <w:rsid w:val="005E6C73"/>
    <w:rsid w:val="005F03E8"/>
    <w:rsid w:val="005F3601"/>
    <w:rsid w:val="006033E2"/>
    <w:rsid w:val="00607939"/>
    <w:rsid w:val="00610111"/>
    <w:rsid w:val="006143A6"/>
    <w:rsid w:val="006316DA"/>
    <w:rsid w:val="006352CC"/>
    <w:rsid w:val="00674E1E"/>
    <w:rsid w:val="006779F2"/>
    <w:rsid w:val="00680356"/>
    <w:rsid w:val="006821F5"/>
    <w:rsid w:val="00692A54"/>
    <w:rsid w:val="00694141"/>
    <w:rsid w:val="00706338"/>
    <w:rsid w:val="00710501"/>
    <w:rsid w:val="00711535"/>
    <w:rsid w:val="00711973"/>
    <w:rsid w:val="00713D64"/>
    <w:rsid w:val="00742782"/>
    <w:rsid w:val="00770CFE"/>
    <w:rsid w:val="00774F86"/>
    <w:rsid w:val="007753F3"/>
    <w:rsid w:val="00790061"/>
    <w:rsid w:val="00794A34"/>
    <w:rsid w:val="007A638E"/>
    <w:rsid w:val="007B02D2"/>
    <w:rsid w:val="007B4044"/>
    <w:rsid w:val="007C4C63"/>
    <w:rsid w:val="007D0831"/>
    <w:rsid w:val="007F1320"/>
    <w:rsid w:val="007F40C3"/>
    <w:rsid w:val="007F7BF5"/>
    <w:rsid w:val="00842BD7"/>
    <w:rsid w:val="00864EC1"/>
    <w:rsid w:val="0087069D"/>
    <w:rsid w:val="00897B00"/>
    <w:rsid w:val="008A62E3"/>
    <w:rsid w:val="008B4C5F"/>
    <w:rsid w:val="008C4E63"/>
    <w:rsid w:val="008D7371"/>
    <w:rsid w:val="008F178D"/>
    <w:rsid w:val="00904E3E"/>
    <w:rsid w:val="00907442"/>
    <w:rsid w:val="009146E2"/>
    <w:rsid w:val="00917105"/>
    <w:rsid w:val="009221E6"/>
    <w:rsid w:val="009247B8"/>
    <w:rsid w:val="009273EA"/>
    <w:rsid w:val="009427FE"/>
    <w:rsid w:val="00947451"/>
    <w:rsid w:val="00960619"/>
    <w:rsid w:val="00961F2C"/>
    <w:rsid w:val="00987A3C"/>
    <w:rsid w:val="009962FB"/>
    <w:rsid w:val="009C2097"/>
    <w:rsid w:val="009C2AC9"/>
    <w:rsid w:val="009C36C9"/>
    <w:rsid w:val="009D6C87"/>
    <w:rsid w:val="009F1482"/>
    <w:rsid w:val="009F2955"/>
    <w:rsid w:val="00A1377B"/>
    <w:rsid w:val="00A16F31"/>
    <w:rsid w:val="00A20DA3"/>
    <w:rsid w:val="00A25910"/>
    <w:rsid w:val="00A342A6"/>
    <w:rsid w:val="00A500F2"/>
    <w:rsid w:val="00A511E7"/>
    <w:rsid w:val="00A85B92"/>
    <w:rsid w:val="00A86E20"/>
    <w:rsid w:val="00AA2DB2"/>
    <w:rsid w:val="00AB1275"/>
    <w:rsid w:val="00AB29FB"/>
    <w:rsid w:val="00AB6214"/>
    <w:rsid w:val="00AC6E6A"/>
    <w:rsid w:val="00AD6919"/>
    <w:rsid w:val="00AE7507"/>
    <w:rsid w:val="00AF43CE"/>
    <w:rsid w:val="00B27641"/>
    <w:rsid w:val="00B32913"/>
    <w:rsid w:val="00B45D76"/>
    <w:rsid w:val="00B469D4"/>
    <w:rsid w:val="00B4799A"/>
    <w:rsid w:val="00B532C1"/>
    <w:rsid w:val="00B66EC1"/>
    <w:rsid w:val="00B7017B"/>
    <w:rsid w:val="00B71E2A"/>
    <w:rsid w:val="00B76F5A"/>
    <w:rsid w:val="00BA0FE6"/>
    <w:rsid w:val="00BC514D"/>
    <w:rsid w:val="00BD3D20"/>
    <w:rsid w:val="00BE3226"/>
    <w:rsid w:val="00BE64AC"/>
    <w:rsid w:val="00C20CB2"/>
    <w:rsid w:val="00C23241"/>
    <w:rsid w:val="00C241D2"/>
    <w:rsid w:val="00C27062"/>
    <w:rsid w:val="00C31A62"/>
    <w:rsid w:val="00C406D5"/>
    <w:rsid w:val="00C46952"/>
    <w:rsid w:val="00C60073"/>
    <w:rsid w:val="00C619E6"/>
    <w:rsid w:val="00C742EE"/>
    <w:rsid w:val="00C7571A"/>
    <w:rsid w:val="00C82F58"/>
    <w:rsid w:val="00C84A00"/>
    <w:rsid w:val="00C8512A"/>
    <w:rsid w:val="00C852CD"/>
    <w:rsid w:val="00C9476F"/>
    <w:rsid w:val="00CA399C"/>
    <w:rsid w:val="00CA3E40"/>
    <w:rsid w:val="00CB74D4"/>
    <w:rsid w:val="00CC17BF"/>
    <w:rsid w:val="00CC3AF0"/>
    <w:rsid w:val="00CF6A23"/>
    <w:rsid w:val="00D13C90"/>
    <w:rsid w:val="00D51735"/>
    <w:rsid w:val="00D83EE3"/>
    <w:rsid w:val="00D8579D"/>
    <w:rsid w:val="00DB03C9"/>
    <w:rsid w:val="00DC6A87"/>
    <w:rsid w:val="00DE4505"/>
    <w:rsid w:val="00DE5A71"/>
    <w:rsid w:val="00E1183B"/>
    <w:rsid w:val="00E1692C"/>
    <w:rsid w:val="00E17373"/>
    <w:rsid w:val="00E20B06"/>
    <w:rsid w:val="00E228B6"/>
    <w:rsid w:val="00E27FC4"/>
    <w:rsid w:val="00E54F39"/>
    <w:rsid w:val="00E76FB8"/>
    <w:rsid w:val="00E77063"/>
    <w:rsid w:val="00E77588"/>
    <w:rsid w:val="00E82600"/>
    <w:rsid w:val="00E83D46"/>
    <w:rsid w:val="00E91997"/>
    <w:rsid w:val="00E9386D"/>
    <w:rsid w:val="00EB6DA6"/>
    <w:rsid w:val="00EB7057"/>
    <w:rsid w:val="00EB7EF4"/>
    <w:rsid w:val="00EC50A9"/>
    <w:rsid w:val="00EC50B6"/>
    <w:rsid w:val="00ED4859"/>
    <w:rsid w:val="00F33B46"/>
    <w:rsid w:val="00F354AA"/>
    <w:rsid w:val="00F45481"/>
    <w:rsid w:val="00F608CA"/>
    <w:rsid w:val="00F60B0B"/>
    <w:rsid w:val="00F63189"/>
    <w:rsid w:val="00F75478"/>
    <w:rsid w:val="00F75B03"/>
    <w:rsid w:val="00F76504"/>
    <w:rsid w:val="00F7677B"/>
    <w:rsid w:val="00F80FF3"/>
    <w:rsid w:val="00F978F5"/>
    <w:rsid w:val="00FB539F"/>
    <w:rsid w:val="00FC4ACC"/>
    <w:rsid w:val="00FC7D37"/>
    <w:rsid w:val="33E63C1A"/>
    <w:rsid w:val="690F4EE1"/>
    <w:rsid w:val="DF7D43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character" w:customStyle="1" w:styleId="10">
    <w:name w:val="Date Char"/>
    <w:basedOn w:val="6"/>
    <w:link w:val="2"/>
    <w:semiHidden/>
    <w:qFormat/>
    <w:locked/>
    <w:uiPriority w:val="9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www.lenovo.com.cn</Company>
  <Pages>5</Pages>
  <Words>267</Words>
  <Characters>1527</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2021-08-31T10:50:00Z</dcterms:created>
  <dc:creator>雨林木风</dc:creator>
  <cp:lastModifiedBy> 阿翔 </cp:lastModifiedBy>
  <cp:lastPrinted>2021-08-31T10:49:00Z</cp:lastPrinted>
  <dcterms:modified xsi:type="dcterms:W3CDTF">2021-11-13T07:58:22Z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