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鲁山县</w:t>
      </w:r>
      <w:r>
        <w:rPr>
          <w:rFonts w:hint="eastAsia" w:ascii="方正小标宋简体" w:eastAsia="方正小标宋简体"/>
          <w:sz w:val="44"/>
          <w:szCs w:val="44"/>
        </w:rPr>
        <w:t>林业局随机抽查事项清单</w:t>
      </w:r>
    </w:p>
    <w:p>
      <w:pPr>
        <w:spacing w:line="700" w:lineRule="exact"/>
        <w:jc w:val="center"/>
        <w:rPr>
          <w:rFonts w:hint="eastAsia" w:ascii="方正小标宋简体" w:eastAsia="方正小标宋简体"/>
          <w:sz w:val="44"/>
          <w:szCs w:val="44"/>
        </w:rPr>
      </w:pPr>
    </w:p>
    <w:tbl>
      <w:tblPr>
        <w:tblStyle w:val="4"/>
        <w:tblW w:w="12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787"/>
        <w:gridCol w:w="2423"/>
        <w:gridCol w:w="774"/>
        <w:gridCol w:w="1251"/>
        <w:gridCol w:w="687"/>
        <w:gridCol w:w="737"/>
        <w:gridCol w:w="968"/>
        <w:gridCol w:w="3085"/>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1787"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抽查事项名称</w:t>
            </w:r>
          </w:p>
        </w:tc>
        <w:tc>
          <w:tcPr>
            <w:tcW w:w="2423"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抽查依据</w:t>
            </w:r>
          </w:p>
        </w:tc>
        <w:tc>
          <w:tcPr>
            <w:tcW w:w="77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抽查主体</w:t>
            </w:r>
          </w:p>
        </w:tc>
        <w:tc>
          <w:tcPr>
            <w:tcW w:w="1251"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抽查对象</w:t>
            </w:r>
          </w:p>
        </w:tc>
        <w:tc>
          <w:tcPr>
            <w:tcW w:w="687"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抽查比例</w:t>
            </w:r>
          </w:p>
        </w:tc>
        <w:tc>
          <w:tcPr>
            <w:tcW w:w="737"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抽查频次</w:t>
            </w:r>
          </w:p>
        </w:tc>
        <w:tc>
          <w:tcPr>
            <w:tcW w:w="968"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抽查方式</w:t>
            </w:r>
          </w:p>
        </w:tc>
        <w:tc>
          <w:tcPr>
            <w:tcW w:w="3085"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抽查内容</w:t>
            </w:r>
          </w:p>
        </w:tc>
        <w:tc>
          <w:tcPr>
            <w:tcW w:w="691"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1</w:t>
            </w:r>
          </w:p>
        </w:tc>
        <w:tc>
          <w:tcPr>
            <w:tcW w:w="1787"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b w:val="0"/>
                <w:bCs/>
                <w:i w:val="0"/>
                <w:caps w:val="0"/>
                <w:color w:val="333333"/>
                <w:spacing w:val="0"/>
                <w:kern w:val="0"/>
                <w:sz w:val="24"/>
                <w:szCs w:val="24"/>
                <w:u w:val="none"/>
                <w:lang w:val="en-US" w:eastAsia="zh-CN" w:bidi="ar"/>
              </w:rPr>
              <w:t>对林木采伐许可情况的监督检查</w:t>
            </w:r>
          </w:p>
        </w:tc>
        <w:tc>
          <w:tcPr>
            <w:tcW w:w="2423"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《中华人民共和国森林法》第56条、第66条</w:t>
            </w:r>
          </w:p>
        </w:tc>
        <w:tc>
          <w:tcPr>
            <w:tcW w:w="774"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由林业局批准的集体和个人的林木采伐</w:t>
            </w:r>
          </w:p>
        </w:tc>
        <w:tc>
          <w:tcPr>
            <w:tcW w:w="687" w:type="dxa"/>
            <w:tcBorders>
              <w:top w:val="single" w:color="000000" w:sz="4" w:space="0"/>
              <w:left w:val="nil"/>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1次/年</w:t>
            </w:r>
          </w:p>
        </w:tc>
        <w:tc>
          <w:tcPr>
            <w:tcW w:w="96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查看采伐设计实地检查</w:t>
            </w:r>
          </w:p>
        </w:tc>
        <w:tc>
          <w:tcPr>
            <w:tcW w:w="3085"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是否按林木采伐作业设计实施采伐</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sz w:val="22"/>
                <w:szCs w:val="22"/>
                <w:lang w:val="en-US" w:eastAsia="zh-CN"/>
              </w:rPr>
            </w:pPr>
            <w:r>
              <w:rPr>
                <w:rFonts w:hint="eastAsia" w:ascii="仿宋_GB2312"/>
                <w:sz w:val="22"/>
                <w:szCs w:val="22"/>
                <w:lang w:val="en-US" w:eastAsia="zh-CN"/>
              </w:rPr>
              <w:t>2</w:t>
            </w:r>
          </w:p>
        </w:tc>
        <w:tc>
          <w:tcPr>
            <w:tcW w:w="17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b w:val="0"/>
                <w:bCs/>
                <w:i w:val="0"/>
                <w:caps w:val="0"/>
                <w:color w:val="333333"/>
                <w:spacing w:val="0"/>
                <w:sz w:val="24"/>
                <w:szCs w:val="24"/>
                <w:u w:val="none"/>
              </w:rPr>
            </w:pPr>
            <w:r>
              <w:rPr>
                <w:rFonts w:hint="eastAsia" w:ascii="仿宋" w:hAnsi="仿宋" w:eastAsia="仿宋" w:cs="仿宋"/>
                <w:b w:val="0"/>
                <w:bCs/>
                <w:i w:val="0"/>
                <w:caps w:val="0"/>
                <w:color w:val="333333"/>
                <w:spacing w:val="0"/>
                <w:kern w:val="0"/>
                <w:sz w:val="24"/>
                <w:szCs w:val="24"/>
                <w:u w:val="none"/>
                <w:lang w:val="en-US" w:eastAsia="zh-CN" w:bidi="ar"/>
              </w:rPr>
              <w:t>对使用林地许可的监督检查</w:t>
            </w:r>
          </w:p>
          <w:p>
            <w:pPr>
              <w:rPr>
                <w:rFonts w:hint="eastAsia" w:ascii="仿宋_GB2312"/>
                <w:sz w:val="22"/>
                <w:szCs w:val="22"/>
              </w:rPr>
            </w:pP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_GB2312"/>
                <w:sz w:val="22"/>
                <w:szCs w:val="22"/>
              </w:rPr>
            </w:pPr>
            <w:r>
              <w:rPr>
                <w:rFonts w:hint="eastAsia" w:ascii="仿宋" w:hAnsi="仿宋" w:eastAsia="仿宋" w:cs="仿宋"/>
                <w:i w:val="0"/>
                <w:caps w:val="0"/>
                <w:color w:val="333333"/>
                <w:spacing w:val="0"/>
                <w:kern w:val="0"/>
                <w:sz w:val="24"/>
                <w:szCs w:val="24"/>
                <w:u w:val="none"/>
                <w:lang w:val="en-US" w:eastAsia="zh-CN" w:bidi="ar"/>
              </w:rPr>
              <w:t>中华人民共和国森林法》第66条；《中华人民共和国森林法实施条例》第16条、第17条；《建设项目使用林地审核审批管理办法》（国家林业局第35号令）第22条第2款；《国家林业局关于加强临时占用林地监督管理的通知》（林资发〔2015〕121号）。</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lang w:val="en-US" w:eastAsia="zh-CN"/>
              </w:rPr>
              <w:t>鲁山县林业 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 w:hAnsi="仿宋" w:eastAsia="仿宋" w:cs="仿宋"/>
                <w:i w:val="0"/>
                <w:caps w:val="0"/>
                <w:color w:val="333333"/>
                <w:spacing w:val="0"/>
                <w:kern w:val="0"/>
                <w:sz w:val="24"/>
                <w:szCs w:val="24"/>
                <w:u w:val="none"/>
                <w:lang w:val="en-US" w:eastAsia="zh-CN" w:bidi="ar"/>
              </w:rPr>
              <w:t>由林业局批准的建设项目使用或临时使用林地许可的单位或个人</w:t>
            </w:r>
          </w:p>
        </w:tc>
        <w:tc>
          <w:tcPr>
            <w:tcW w:w="687"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lang w:val="en-US" w:eastAsia="zh-CN"/>
              </w:rPr>
              <w:t>20%</w:t>
            </w:r>
          </w:p>
        </w:tc>
        <w:tc>
          <w:tcPr>
            <w:tcW w:w="737"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rPr>
              <w:t>1-2次/年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_GB2312"/>
                <w:sz w:val="24"/>
                <w:szCs w:val="24"/>
              </w:rPr>
            </w:pPr>
            <w:r>
              <w:rPr>
                <w:rFonts w:hint="eastAsia" w:ascii="仿宋" w:hAnsi="仿宋" w:eastAsia="仿宋" w:cs="仿宋"/>
                <w:i w:val="0"/>
                <w:caps w:val="0"/>
                <w:color w:val="333333"/>
                <w:spacing w:val="0"/>
                <w:kern w:val="0"/>
                <w:sz w:val="24"/>
                <w:szCs w:val="24"/>
                <w:u w:val="none"/>
                <w:lang w:val="en-US" w:eastAsia="zh-CN" w:bidi="ar"/>
              </w:rPr>
              <w:t>查看</w:t>
            </w:r>
            <w:r>
              <w:rPr>
                <w:rFonts w:hint="eastAsia" w:ascii="仿宋" w:hAnsi="仿宋" w:eastAsia="仿宋" w:cs="仿宋"/>
                <w:i w:val="0"/>
                <w:caps w:val="0"/>
                <w:color w:val="333333"/>
                <w:spacing w:val="0"/>
                <w:kern w:val="0"/>
                <w:sz w:val="24"/>
                <w:szCs w:val="24"/>
                <w:u w:val="none"/>
                <w:lang w:val="en-US" w:eastAsia="zh-CN" w:bidi="ar"/>
              </w:rPr>
              <w:t>设计</w:t>
            </w:r>
            <w:r>
              <w:rPr>
                <w:rFonts w:hint="eastAsia" w:ascii="仿宋" w:hAnsi="仿宋" w:eastAsia="仿宋" w:cs="仿宋"/>
                <w:i w:val="0"/>
                <w:caps w:val="0"/>
                <w:color w:val="333333"/>
                <w:spacing w:val="0"/>
                <w:kern w:val="0"/>
                <w:sz w:val="24"/>
                <w:szCs w:val="24"/>
                <w:u w:val="none"/>
                <w:lang w:val="en-US" w:eastAsia="zh-CN" w:bidi="ar"/>
              </w:rPr>
              <w:t>方案、实地检查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 w:hAnsi="仿宋" w:eastAsia="仿宋" w:cs="仿宋"/>
                <w:i w:val="0"/>
                <w:caps w:val="0"/>
                <w:color w:val="333333"/>
                <w:spacing w:val="0"/>
                <w:kern w:val="0"/>
                <w:sz w:val="24"/>
                <w:szCs w:val="24"/>
                <w:u w:val="none"/>
                <w:lang w:val="en-US" w:eastAsia="zh-CN" w:bidi="ar"/>
              </w:rPr>
              <w:t>是否按审批的范围使用，是否按照时限进行恢复、法律法规规定的其它检查事项</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3</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 w:hAnsi="仿宋" w:eastAsia="仿宋" w:cs="仿宋"/>
                <w:b w:val="0"/>
                <w:bCs/>
                <w:i w:val="0"/>
                <w:caps w:val="0"/>
                <w:color w:val="333333"/>
                <w:spacing w:val="0"/>
                <w:kern w:val="0"/>
                <w:sz w:val="24"/>
                <w:szCs w:val="24"/>
                <w:u w:val="none"/>
                <w:lang w:val="en-US" w:eastAsia="zh-CN" w:bidi="ar"/>
              </w:rPr>
              <w:t>对森林经营单位在所经营的林地范围内修筑直接为林业生产服务的工程设施需要占用林地的监督检查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《中华人民共和国森林法》第66条；《中华人民共和国森林法实施条例》第18条</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森林经营单位</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lang w:val="en-US" w:eastAsia="zh-CN"/>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查看设计方案、实地检查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是否按照批准范围施工</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4</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对木材收购、加工、运输的监督检查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中华人民共和国森林法》第65条、第66条；《中华人民共和国森林法实施条例》第34条；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从事木材收购、加工、运输的单位或个人</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查看台账、证书，实地检查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是否收购、加工、运输无合法来源的木材</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5</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对国家、省重点保护野生动物驯养、繁殖许可情况的监督检查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default" w:ascii="仿宋" w:hAnsi="仿宋" w:eastAsia="仿宋" w:cs="仿宋"/>
                <w:i w:val="0"/>
                <w:caps w:val="0"/>
                <w:color w:val="333333"/>
                <w:spacing w:val="0"/>
                <w:kern w:val="0"/>
                <w:sz w:val="24"/>
                <w:szCs w:val="24"/>
                <w:u w:val="none"/>
                <w:lang w:val="en-US" w:eastAsia="zh-CN" w:bidi="ar"/>
              </w:rPr>
            </w:pPr>
            <w:bookmarkStart w:id="0" w:name="OLE_LINK1"/>
            <w:r>
              <w:rPr>
                <w:rFonts w:hint="eastAsia" w:ascii="仿宋" w:hAnsi="仿宋" w:eastAsia="仿宋" w:cs="仿宋"/>
                <w:i w:val="0"/>
                <w:caps w:val="0"/>
                <w:color w:val="333333"/>
                <w:spacing w:val="0"/>
                <w:kern w:val="0"/>
                <w:sz w:val="24"/>
                <w:szCs w:val="24"/>
                <w:u w:val="none"/>
                <w:lang w:val="en-US" w:eastAsia="zh-CN" w:bidi="ar"/>
              </w:rPr>
              <w:t>《中华人民共和国野生动物保护法》第17条；</w:t>
            </w:r>
            <w:bookmarkEnd w:id="0"/>
            <w:r>
              <w:rPr>
                <w:rFonts w:hint="eastAsia" w:ascii="仿宋" w:hAnsi="仿宋" w:eastAsia="仿宋" w:cs="仿宋"/>
                <w:i w:val="0"/>
                <w:caps w:val="0"/>
                <w:color w:val="333333"/>
                <w:spacing w:val="0"/>
                <w:kern w:val="0"/>
                <w:sz w:val="24"/>
                <w:szCs w:val="24"/>
                <w:u w:val="none"/>
                <w:lang w:val="en-US" w:eastAsia="zh-CN" w:bidi="ar"/>
              </w:rPr>
              <w:t>《中华人民共和国陆生野生动物保护实施条例》第22条《河南省实施﹤中华人民共和国野生动物保护法&gt;办法》第4条第2款。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林业局审核批准的国家、省重点保护野生动物驯养、繁殖者</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查看证书、实地检查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是否按照许可审核批准范围进行驯养、繁殖活动</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6</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对出售、收购、利用省重点保护野生动物及其产品许可的监督检查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《河南省实施﹤中华人民共和国野生动物保护法&gt;办法》第4条第2款</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取得出售、收购、利用省重点保护野生动物及其产品许可的单位或个人</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查看证书、实地检查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核查是否规定品种</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7</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对林木种苗生产及质量管理的监督检查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《中华人民共和国种子法》第20条第2款、43条第2款；《河南省实施&lt;中华人民共和国种子法&gt;办法》第22条；《主要造林树种苗木质量分(GB6000---1999)》；《林木种子质量分级(GB7908---1999)》；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相关施工合同。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林木种苗生产经营者、绿化工程施工单位</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检查相关资料、实地检查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是否有“生产经营许可证”,林木种苗质量是否合格,是否有“检疫证、合格证、标签”、造林作业设计中是否对使用林木良种提出要求</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8</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森林植物检疫</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《植物检疫条例》第3条第1款；《植物检疫条例实施细则（林业部份）》第2条第1款。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生产、经营应施检疫的森林植物及其产品的单位</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查验检疫证书及现场检查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生产、经营应施检疫的森林植物及其产品的单位和个人，在生产期间或者调运之前是否按检疫法规要求办理检疫手续</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9</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林业有害生物防治</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《中华人民共和国森林法》第35条、第41条第2款</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可能造成林业有害生物爆发成灾、疫情扩散的森林经营单位</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查验书面材料及现场检查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林业有害生物处治工作的组织领导、责任制度、资金投入、工作措施、发生情况、处治效果等</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10</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val="0"/>
                <w:i w:val="0"/>
                <w:caps w:val="0"/>
                <w:color w:val="333333"/>
                <w:spacing w:val="0"/>
                <w:kern w:val="0"/>
                <w:sz w:val="24"/>
                <w:szCs w:val="24"/>
                <w:u w:val="none"/>
                <w:lang w:val="en-US" w:eastAsia="zh-CN" w:bidi="ar"/>
              </w:rPr>
              <w:t>对森林防火区内有关单位防火责任制和森林火灾隐患的监督检查</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《森林防火条例》第5条第3款、第24条</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森林防火区内有关单位</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书面检查、实地检查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对森林防火区内有关单位的森林防火组织建设、森林防火责任制落实、森林防火设施建设、</w:t>
            </w:r>
            <w:r>
              <w:rPr>
                <w:rFonts w:hint="eastAsia" w:ascii="仿宋" w:hAnsi="仿宋" w:eastAsia="仿宋" w:cs="仿宋"/>
                <w:b w:val="0"/>
                <w:bCs w:val="0"/>
                <w:i w:val="0"/>
                <w:caps w:val="0"/>
                <w:color w:val="333333"/>
                <w:spacing w:val="0"/>
                <w:kern w:val="0"/>
                <w:sz w:val="24"/>
                <w:szCs w:val="24"/>
                <w:u w:val="none"/>
                <w:lang w:val="en-US" w:eastAsia="zh-CN" w:bidi="ar"/>
              </w:rPr>
              <w:t>森林火灾隐患</w:t>
            </w:r>
            <w:r>
              <w:rPr>
                <w:rFonts w:hint="eastAsia" w:ascii="仿宋" w:hAnsi="仿宋" w:eastAsia="仿宋" w:cs="仿宋"/>
                <w:i w:val="0"/>
                <w:caps w:val="0"/>
                <w:color w:val="333333"/>
                <w:spacing w:val="0"/>
                <w:kern w:val="0"/>
                <w:sz w:val="24"/>
                <w:szCs w:val="24"/>
                <w:u w:val="none"/>
                <w:lang w:val="en-US" w:eastAsia="zh-CN" w:bidi="ar"/>
              </w:rPr>
              <w:t>等情况进行检查</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11</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val="0"/>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其它事项</w:t>
            </w:r>
          </w:p>
        </w:tc>
        <w:tc>
          <w:tcPr>
            <w:tcW w:w="24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法律法规规定的其它抽查监管事项</w:t>
            </w:r>
          </w:p>
        </w:tc>
        <w:tc>
          <w:tcPr>
            <w:tcW w:w="774"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51"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林业部门审核审批从事该活动的单位或个人</w:t>
            </w:r>
          </w:p>
        </w:tc>
        <w:tc>
          <w:tcPr>
            <w:tcW w:w="68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37"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968"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书面检查、实地检查</w:t>
            </w:r>
          </w:p>
        </w:tc>
        <w:tc>
          <w:tcPr>
            <w:tcW w:w="3085"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是否按审核、审批权限从事相关</w:t>
            </w:r>
            <w:bookmarkStart w:id="1" w:name="_GoBack"/>
            <w:bookmarkEnd w:id="1"/>
            <w:r>
              <w:rPr>
                <w:rFonts w:hint="eastAsia" w:ascii="仿宋" w:hAnsi="仿宋" w:eastAsia="仿宋" w:cs="仿宋"/>
                <w:i w:val="0"/>
                <w:caps w:val="0"/>
                <w:color w:val="333333"/>
                <w:spacing w:val="0"/>
                <w:kern w:val="0"/>
                <w:sz w:val="24"/>
                <w:szCs w:val="24"/>
                <w:u w:val="none"/>
                <w:lang w:val="en-US" w:eastAsia="zh-CN" w:bidi="ar"/>
              </w:rPr>
              <w:t>活动</w:t>
            </w:r>
          </w:p>
        </w:tc>
        <w:tc>
          <w:tcPr>
            <w:tcW w:w="691"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bl>
    <w:p>
      <w:pPr>
        <w:spacing w:line="560" w:lineRule="exact"/>
        <w:ind w:firstLine="5120" w:firstLineChars="1600"/>
        <w:rPr>
          <w:rFonts w:hint="eastAsia" w:ascii="仿宋_GB2312" w:hAnsi="仿宋_GB2312" w:cs="仿宋_GB2312"/>
        </w:rPr>
      </w:pPr>
    </w:p>
    <w:p/>
    <w:p/>
    <w:p/>
    <w:p/>
    <w:p/>
    <w:p/>
    <w:p/>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2268" w:bottom="1531" w:left="1395"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6"/>
        <w:rFonts w:hint="eastAsia"/>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029EF"/>
    <w:rsid w:val="0CCC1A46"/>
    <w:rsid w:val="37C70375"/>
    <w:rsid w:val="3A1029EF"/>
    <w:rsid w:val="4E0901BA"/>
    <w:rsid w:val="62F6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2021-08-11T08:51:00Z</dcterms:created>
  <dc:creator>win10</dc:creator>
  <cp:lastModifiedBy>Administrator</cp:lastModifiedBy>
  <cp:lastPrinted>2021-08-31T07:00:00Z</cp:lastPrinted>
  <dcterms:modified xsi:type="dcterms:W3CDTF">2021-11-13T09:54:49Z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B0DD1F16A7064BCEAB1D419A5AE5D010</vt:lpwstr>
  </property>
</Properties>
</file>