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鲁山县</w:t>
      </w:r>
      <w:r>
        <w:rPr>
          <w:rFonts w:hint="eastAsia" w:ascii="方正小标宋_GBK" w:eastAsia="方正小标宋_GBK"/>
          <w:sz w:val="44"/>
          <w:szCs w:val="44"/>
        </w:rPr>
        <w:t>自然资源</w:t>
      </w:r>
      <w:bookmarkStart w:id="0" w:name="_GoBack"/>
      <w:bookmarkEnd w:id="0"/>
      <w:r>
        <w:rPr>
          <w:rFonts w:hint="eastAsia" w:ascii="方正小标宋_GBK" w:eastAsia="方正小标宋_GBK"/>
          <w:sz w:val="44"/>
          <w:szCs w:val="44"/>
        </w:rPr>
        <w:t>局</w:t>
      </w:r>
    </w:p>
    <w:p>
      <w:pPr>
        <w:spacing w:line="740" w:lineRule="exact"/>
        <w:jc w:val="center"/>
        <w:rPr>
          <w:rFonts w:hint="eastAsia" w:ascii="方正小标宋_GBK" w:eastAsia="方正小标宋_GBK"/>
          <w:sz w:val="44"/>
          <w:szCs w:val="44"/>
        </w:rPr>
      </w:pPr>
      <w:r>
        <w:rPr>
          <w:rFonts w:hint="eastAsia" w:ascii="方正小标宋_GBK" w:eastAsia="方正小标宋_GBK"/>
          <w:sz w:val="44"/>
          <w:szCs w:val="44"/>
        </w:rPr>
        <w:t>行政执法记录信息调阅监督制度</w:t>
      </w:r>
    </w:p>
    <w:p>
      <w:pPr>
        <w:spacing w:line="400" w:lineRule="exact"/>
        <w:jc w:val="center"/>
        <w:rPr>
          <w:rFonts w:hint="eastAsia" w:ascii="楷体_GB2312" w:eastAsia="楷体_GB2312"/>
          <w:sz w:val="32"/>
          <w:szCs w:val="32"/>
        </w:rPr>
      </w:pPr>
    </w:p>
    <w:p>
      <w:pPr>
        <w:spacing w:line="58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黑体" w:hAnsi="仿宋" w:eastAsia="黑体" w:cs="仿宋"/>
          <w:sz w:val="32"/>
          <w:szCs w:val="32"/>
        </w:rPr>
        <w:t>第一条</w:t>
      </w:r>
      <w:r>
        <w:rPr>
          <w:rFonts w:hint="eastAsia" w:ascii="仿宋_GB2312" w:hAnsi="仿宋" w:eastAsia="仿宋_GB2312" w:cs="仿宋"/>
          <w:sz w:val="32"/>
          <w:szCs w:val="32"/>
        </w:rPr>
        <w:t xml:space="preserve">  为规范行政执法记录信息的调阅，根据《河南省行政执法全过程记录办法》和档案管理的有关规定，结合工作实际，制定本规定。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本规定所指的行政执法种类主要包括行政处罚、行政强制、行政检查、行政征收征用、行政许可等行政执法行为。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行政执法记录信息调阅主要指本局工作人员、外单位或行政管理相对人查阅行政执法案卷或者音视频资料的行为。</w:t>
      </w:r>
    </w:p>
    <w:p>
      <w:pPr>
        <w:numPr>
          <w:ilvl w:val="0"/>
          <w:numId w:val="1"/>
        </w:num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案件主办人</w:t>
      </w:r>
      <w:r>
        <w:rPr>
          <w:rFonts w:hint="eastAsia" w:ascii="仿宋_GB2312" w:hAnsi="仿宋" w:eastAsia="仿宋_GB2312" w:cs="仿宋"/>
          <w:sz w:val="32"/>
          <w:szCs w:val="32"/>
        </w:rPr>
        <w:t>负责行政执法记录信息管理工作，做好文字记录的立卷、归档和音像记录的下载、储存等工作，同时，要建立健全查阅登记薄，严格行政执法记录信息调阅。</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未经批准，不得擅自对外提供或者通过互联网等传播渠道发布现场执法音视频资料。</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本局案件承办人因工作需要查阅案卷或者音视频资料的，可直接查阅，案卷和音视频资料不得带离档案室。需复制资料的，应经局机关法制机构主要负责人批准。</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本局非案件承办人的其他人员无特殊理由不得查阅案卷或者音像资料，确实因工作需要的，应经局主要负责人批准。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公安、检察院、法院、国家安全、纪检监察、司法行政机关、审计机关等有关单位因工作需要申请查阅案卷或音视频资料的，凭单位介绍信及申请人有效证件申请，经核实后可进行查阅、复印、拷贝，相关情况要在查阅登记簿上进行登记。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申请人或其代理律师申请查阅本单位（人）的文字记录或音视频资料的，凭单位介绍信及申请人有效身份证件申请，经核实以及局主要负责人批准后，可进行查阅行政执法的结论性文件及音视频资料，相关情况要在查阅登记簿上进行登记。</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代理律师应提供委托书、授权书、律师执业证。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外地执法部门来函索要案件档案法律文书或其他证明材料，根据外调要求，经局主要负责人批准后，由案件主办人按规定复印寄送，或通知该单位派人阅卷。</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对查阅的案卷档案不得擅自拆解、涂改、勾画、增加或抽取案卷材料；禁止损毁、剪接、删改原始现场执法音视频资料。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行政执法记录信息管理人员必须严格遵守保密制度，保守国家机密和行政执法案件当事人的商业秘密、个人隐私。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查阅案卷或音视频资料，查询人无需交纳查询费。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记录信息管理人员、行政执法人员违反上述规定的</w:t>
      </w:r>
      <w:r>
        <w:rPr>
          <w:rFonts w:ascii="仿宋_GB2312" w:hAnsi="仿宋" w:eastAsia="仿宋_GB2312" w:cs="仿宋"/>
          <w:sz w:val="32"/>
          <w:szCs w:val="32"/>
        </w:rPr>
        <w:t>，予以</w:t>
      </w:r>
      <w:r>
        <w:rPr>
          <w:rFonts w:hint="eastAsia" w:ascii="仿宋_GB2312" w:hAnsi="仿宋" w:eastAsia="仿宋_GB2312" w:cs="仿宋"/>
          <w:sz w:val="32"/>
          <w:szCs w:val="32"/>
        </w:rPr>
        <w:t>通报批评</w:t>
      </w:r>
      <w:r>
        <w:rPr>
          <w:rFonts w:ascii="仿宋_GB2312" w:hAnsi="仿宋" w:eastAsia="仿宋_GB2312" w:cs="仿宋"/>
          <w:sz w:val="32"/>
          <w:szCs w:val="32"/>
        </w:rPr>
        <w:t>；情节严重</w:t>
      </w:r>
      <w:r>
        <w:rPr>
          <w:rFonts w:hint="eastAsia" w:ascii="仿宋_GB2312" w:hAnsi="仿宋" w:eastAsia="仿宋_GB2312" w:cs="仿宋"/>
          <w:sz w:val="32"/>
          <w:szCs w:val="32"/>
        </w:rPr>
        <w:t>且造成危害后果</w:t>
      </w:r>
      <w:r>
        <w:rPr>
          <w:rFonts w:ascii="仿宋_GB2312" w:hAnsi="仿宋" w:eastAsia="仿宋_GB2312" w:cs="仿宋"/>
          <w:sz w:val="32"/>
          <w:szCs w:val="32"/>
        </w:rPr>
        <w:t>的，</w:t>
      </w:r>
      <w:r>
        <w:rPr>
          <w:rFonts w:hint="eastAsia" w:ascii="仿宋_GB2312" w:hAnsi="仿宋" w:eastAsia="仿宋_GB2312" w:cs="仿宋"/>
          <w:sz w:val="32"/>
          <w:szCs w:val="32"/>
        </w:rPr>
        <w:t>依法依纪</w:t>
      </w:r>
      <w:r>
        <w:rPr>
          <w:rFonts w:ascii="仿宋_GB2312" w:hAnsi="仿宋" w:eastAsia="仿宋_GB2312" w:cs="仿宋"/>
          <w:sz w:val="32"/>
          <w:szCs w:val="32"/>
        </w:rPr>
        <w:t>追究有关人员的责任</w:t>
      </w:r>
      <w:r>
        <w:rPr>
          <w:rFonts w:hint="eastAsia" w:ascii="仿宋_GB2312" w:hAnsi="仿宋" w:eastAsia="仿宋_GB2312" w:cs="仿宋"/>
          <w:sz w:val="32"/>
          <w:szCs w:val="32"/>
        </w:rPr>
        <w:t>。</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法律、法规、规章和上级规范性文件对行政执法记录信息调阅另有规定的，从其规定。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33F57"/>
    <w:multiLevelType w:val="singleLevel"/>
    <w:tmpl w:val="E4D33F57"/>
    <w:lvl w:ilvl="0" w:tentative="0">
      <w:start w:val="3"/>
      <w:numFmt w:val="chineseCounting"/>
      <w:suff w:val="space"/>
      <w:lvlText w:val="第%1条"/>
      <w:lvlJc w:val="left"/>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57"/>
    <w:rsid w:val="00190B78"/>
    <w:rsid w:val="00B13B3E"/>
    <w:rsid w:val="00E57F57"/>
    <w:rsid w:val="0CDA4373"/>
    <w:rsid w:val="3FFFF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157</Words>
  <Characters>898</Characters>
  <Lines>7</Lines>
  <Paragraphs>2</Paragraphs>
  <TotalTime>10</TotalTime>
  <ScaleCrop>false</ScaleCrop>
  <LinksUpToDate>false</LinksUpToDate>
  <CharactersWithSpaces>1053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2019-11-14T14:36:00Z</dcterms:created>
  <dc:creator>微软用户</dc:creator>
  <cp:lastModifiedBy>Administrator</cp:lastModifiedBy>
  <dcterms:modified xsi:type="dcterms:W3CDTF">2021-11-15T02:37:49Z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7A417B09D1C44136A7B6568A1B728D5D</vt:lpwstr>
  </property>
</Properties>
</file>