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建筑类建设工程规划许可服务指南</w:t>
      </w:r>
    </w:p>
    <w:p>
      <w:pPr>
        <w:widowControl w:val="0"/>
        <w:wordWrap/>
        <w:adjustRightInd/>
        <w:snapToGrid/>
        <w:ind w:firstLine="420" w:firstLineChars="200"/>
        <w:jc w:val="left"/>
        <w:textAlignment w:val="auto"/>
        <w:outlineLvl w:val="9"/>
        <w:rPr>
          <w:rFonts w:hint="eastAsia" w:ascii="宋体" w:hAnsi="宋体" w:eastAsia="宋体" w:cs="宋体"/>
          <w:sz w:val="21"/>
          <w:szCs w:val="21"/>
          <w:lang w:val="en-US" w:eastAsia="zh-CN"/>
        </w:rPr>
      </w:pP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适用范围</w:t>
      </w:r>
    </w:p>
    <w:p>
      <w:pPr>
        <w:widowControl w:val="0"/>
        <w:numPr>
          <w:ilvl w:val="0"/>
          <w:numId w:val="0"/>
        </w:numPr>
        <w:wordWrap/>
        <w:adjustRightInd/>
        <w:snapToGrid/>
        <w:ind w:lef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法人</w:t>
      </w:r>
    </w:p>
    <w:p>
      <w:pPr>
        <w:widowControl w:val="0"/>
        <w:numPr>
          <w:ilvl w:val="0"/>
          <w:numId w:val="1"/>
        </w:numPr>
        <w:wordWrap/>
        <w:adjustRightInd/>
        <w:snapToGrid/>
        <w:ind w:left="0" w:lef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事项类型</w:t>
      </w:r>
    </w:p>
    <w:p>
      <w:pPr>
        <w:widowControl w:val="0"/>
        <w:numPr>
          <w:ilvl w:val="0"/>
          <w:numId w:val="0"/>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行政许可</w:t>
      </w:r>
    </w:p>
    <w:p>
      <w:pPr>
        <w:widowControl w:val="0"/>
        <w:numPr>
          <w:ilvl w:val="0"/>
          <w:numId w:val="1"/>
        </w:numPr>
        <w:wordWrap/>
        <w:adjustRightInd/>
        <w:snapToGrid/>
        <w:ind w:left="0" w:lef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设立依据</w:t>
      </w:r>
    </w:p>
    <w:p>
      <w:pPr>
        <w:widowControl w:val="0"/>
        <w:numPr>
          <w:ilvl w:val="0"/>
          <w:numId w:val="0"/>
        </w:numPr>
        <w:wordWrap/>
        <w:adjustRightInd/>
        <w:snapToGrid/>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1.《中华人民共和国城乡规划法》（2007年10月28日公布 中华人民共和国主席令第74号）第四十条：在城市、镇规划区内进行建筑物、构筑物、道路、管线和其他工程建设的，建设单位或者个人应当向城市、县人民政府城乡规划主管部门或者省、自治区、直辖市人民政府确定的镇人民政府申请办理建设工程规划许可证。第四十四条：在城市、镇规划区内进行临时建设的，应当经城市、县人民政府城乡规划主管部门批准。临时建设影响近期建设规划或者控制性详细规划的实施以及交通、市容、安全等的，不得批准。</w:t>
      </w:r>
    </w:p>
    <w:p>
      <w:pPr>
        <w:widowControl w:val="0"/>
        <w:numPr>
          <w:ilvl w:val="0"/>
          <w:numId w:val="0"/>
        </w:numPr>
        <w:wordWrap/>
        <w:adjustRightInd/>
        <w:snapToGrid/>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2.《河南省实施&lt;中华人民共和国城乡规划法&gt;办法》（2010年7月30日河南省第十一届人民代表大会常务委员会第十六次会议通过  2010年7月30日河南省第十一届人民代表大会常务委员会公告第34号公布  自2010年12月1日起施行）第四十三条 在城市、镇规划区内新建、改建、扩建建筑物、构筑物以及进行道路、管线和其他工程建设的，建设单位或者个人应当持下列材料向城市、县人民政府城乡规划主管部门或者省人民政府确定的镇人民政府申请核发建设工程规划许可证：</w:t>
      </w:r>
    </w:p>
    <w:p>
      <w:pPr>
        <w:widowControl w:val="0"/>
        <w:numPr>
          <w:ilvl w:val="0"/>
          <w:numId w:val="0"/>
        </w:numPr>
        <w:wordWrap/>
        <w:adjustRightInd/>
        <w:snapToGrid/>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（一）建设工程规划许可申请书；</w:t>
      </w:r>
    </w:p>
    <w:p>
      <w:pPr>
        <w:widowControl w:val="0"/>
        <w:numPr>
          <w:ilvl w:val="0"/>
          <w:numId w:val="0"/>
        </w:numPr>
        <w:wordWrap/>
        <w:adjustRightInd/>
        <w:snapToGrid/>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（二）使用土地的有关证明文件；</w:t>
      </w:r>
    </w:p>
    <w:p>
      <w:pPr>
        <w:widowControl w:val="0"/>
        <w:numPr>
          <w:ilvl w:val="0"/>
          <w:numId w:val="0"/>
        </w:numPr>
        <w:wordWrap/>
        <w:adjustRightInd/>
        <w:snapToGrid/>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（三）建设项目批准、核准、备案文件或者相关文件；</w:t>
      </w:r>
    </w:p>
    <w:p>
      <w:pPr>
        <w:widowControl w:val="0"/>
        <w:numPr>
          <w:ilvl w:val="0"/>
          <w:numId w:val="0"/>
        </w:numPr>
        <w:wordWrap/>
        <w:adjustRightInd/>
        <w:snapToGrid/>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（四）建设工程设计方案；</w:t>
      </w:r>
    </w:p>
    <w:p>
      <w:pPr>
        <w:widowControl w:val="0"/>
        <w:numPr>
          <w:ilvl w:val="0"/>
          <w:numId w:val="0"/>
        </w:numPr>
        <w:wordWrap/>
        <w:adjustRightInd/>
        <w:snapToGrid/>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（五）依照规定需要建设单位编制修建性详细规划的建设项目，应当提交修建性详细规划；</w:t>
      </w:r>
    </w:p>
    <w:p>
      <w:pPr>
        <w:widowControl w:val="0"/>
        <w:numPr>
          <w:ilvl w:val="0"/>
          <w:numId w:val="0"/>
        </w:numPr>
        <w:wordWrap/>
        <w:adjustRightInd/>
        <w:snapToGrid/>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（六）法律、法规规定的其他材料。</w:t>
      </w:r>
    </w:p>
    <w:p>
      <w:pPr>
        <w:widowControl w:val="0"/>
        <w:numPr>
          <w:ilvl w:val="0"/>
          <w:numId w:val="0"/>
        </w:numPr>
        <w:wordWrap/>
        <w:adjustRightInd/>
        <w:snapToGrid/>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经审查符合规划要求的，城市、县人民政府城乡规划主管部门或者省人民政府确定的镇人民政府应当在法定期限内核发建设工程规划许可证。对不符合规划要求的，不予核发建设工程规划许可证并书面说明理由。</w:t>
      </w:r>
    </w:p>
    <w:p>
      <w:pPr>
        <w:widowControl w:val="0"/>
        <w:numPr>
          <w:ilvl w:val="0"/>
          <w:numId w:val="1"/>
        </w:numPr>
        <w:wordWrap/>
        <w:adjustRightInd/>
        <w:snapToGrid/>
        <w:ind w:left="0" w:lef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受理机构</w:t>
      </w:r>
    </w:p>
    <w:p>
      <w:pPr>
        <w:widowControl w:val="0"/>
        <w:numPr>
          <w:ilvl w:val="0"/>
          <w:numId w:val="0"/>
        </w:numPr>
        <w:wordWrap/>
        <w:adjustRightInd/>
        <w:snapToGrid/>
        <w:ind w:leftChars="0" w:firstLine="420" w:firstLineChars="200"/>
        <w:jc w:val="left"/>
        <w:textAlignment w:val="auto"/>
        <w:outlineLvl w:val="9"/>
        <w:rPr>
          <w:rFonts w:hint="eastAsia" w:ascii="宋体" w:hAnsi="宋体" w:cs="宋体"/>
          <w:b w:val="0"/>
          <w:bCs w:val="0"/>
          <w:color w:val="auto"/>
          <w:sz w:val="21"/>
          <w:szCs w:val="21"/>
          <w:lang w:val="en-US" w:eastAsia="zh-CN"/>
        </w:rPr>
      </w:pPr>
      <w:r>
        <w:rPr>
          <w:rFonts w:hint="eastAsia" w:ascii="宋体" w:hAnsi="宋体" w:eastAsia="宋体" w:cs="宋体"/>
          <w:color w:val="auto"/>
          <w:sz w:val="21"/>
          <w:szCs w:val="21"/>
          <w:lang w:val="en-US" w:eastAsia="zh-CN"/>
        </w:rPr>
        <w:t>平顶山市行政审批服务中心五楼</w:t>
      </w:r>
      <w:r>
        <w:rPr>
          <w:rFonts w:hint="eastAsia" w:ascii="宋体" w:hAnsi="宋体" w:cs="宋体"/>
          <w:color w:val="auto"/>
          <w:sz w:val="21"/>
          <w:szCs w:val="21"/>
          <w:lang w:val="en-US" w:eastAsia="zh-CN"/>
        </w:rPr>
        <w:t>自然资源和</w:t>
      </w:r>
      <w:r>
        <w:rPr>
          <w:rFonts w:hint="eastAsia" w:ascii="宋体" w:hAnsi="宋体" w:eastAsia="宋体" w:cs="宋体"/>
          <w:color w:val="auto"/>
          <w:sz w:val="21"/>
          <w:szCs w:val="21"/>
          <w:lang w:val="en-US" w:eastAsia="zh-CN"/>
        </w:rPr>
        <w:t>规划</w:t>
      </w:r>
      <w:r>
        <w:rPr>
          <w:rFonts w:hint="eastAsia" w:ascii="宋体" w:hAnsi="宋体" w:cs="宋体"/>
          <w:color w:val="auto"/>
          <w:sz w:val="21"/>
          <w:szCs w:val="21"/>
          <w:lang w:val="en-US" w:eastAsia="zh-CN"/>
        </w:rPr>
        <w:t>局</w:t>
      </w:r>
      <w:r>
        <w:rPr>
          <w:rFonts w:hint="eastAsia" w:ascii="宋体" w:hAnsi="宋体" w:eastAsia="宋体" w:cs="宋体"/>
          <w:color w:val="auto"/>
          <w:sz w:val="21"/>
          <w:szCs w:val="21"/>
          <w:lang w:val="en-US" w:eastAsia="zh-CN"/>
        </w:rPr>
        <w:t>业务窗口</w:t>
      </w:r>
    </w:p>
    <w:p>
      <w:pPr>
        <w:widowControl w:val="0"/>
        <w:numPr>
          <w:ilvl w:val="0"/>
          <w:numId w:val="1"/>
        </w:numPr>
        <w:wordWrap/>
        <w:adjustRightInd/>
        <w:snapToGrid/>
        <w:ind w:left="0" w:leftChars="0" w:firstLine="0" w:firstLineChars="0"/>
        <w:jc w:val="left"/>
        <w:textAlignment w:val="auto"/>
        <w:outlineLvl w:val="9"/>
        <w:rPr>
          <w:rFonts w:hint="eastAsia" w:ascii="黑体" w:hAnsi="黑体" w:eastAsia="黑体" w:cs="黑体"/>
          <w:b/>
          <w:bCs/>
          <w:color w:val="auto"/>
          <w:sz w:val="21"/>
          <w:szCs w:val="21"/>
          <w:lang w:val="en-US" w:eastAsia="zh-CN"/>
        </w:rPr>
      </w:pPr>
      <w:r>
        <w:rPr>
          <w:rFonts w:hint="eastAsia" w:ascii="黑体" w:hAnsi="黑体" w:eastAsia="黑体" w:cs="黑体"/>
          <w:b/>
          <w:bCs/>
          <w:color w:val="auto"/>
          <w:sz w:val="21"/>
          <w:szCs w:val="21"/>
          <w:lang w:val="en-US" w:eastAsia="zh-CN"/>
        </w:rPr>
        <w:t>决定机构</w:t>
      </w:r>
    </w:p>
    <w:p>
      <w:pPr>
        <w:widowControl w:val="0"/>
        <w:numPr>
          <w:ilvl w:val="0"/>
          <w:numId w:val="0"/>
        </w:numPr>
        <w:wordWrap/>
        <w:adjustRightInd/>
        <w:snapToGrid/>
        <w:ind w:leftChars="0"/>
        <w:jc w:val="left"/>
        <w:textAlignment w:val="auto"/>
        <w:outlineLvl w:val="9"/>
        <w:rPr>
          <w:rFonts w:hint="eastAsia" w:ascii="宋体" w:hAnsi="宋体" w:cs="宋体"/>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平顶山市</w:t>
      </w:r>
      <w:r>
        <w:rPr>
          <w:rFonts w:hint="eastAsia" w:ascii="宋体" w:hAnsi="宋体" w:cs="宋体"/>
          <w:color w:val="auto"/>
          <w:szCs w:val="21"/>
          <w:lang w:eastAsia="zh-CN"/>
        </w:rPr>
        <w:t>自然资源和</w:t>
      </w:r>
      <w:r>
        <w:rPr>
          <w:rFonts w:hint="eastAsia" w:ascii="宋体" w:hAnsi="宋体" w:cs="宋体"/>
          <w:color w:val="auto"/>
          <w:szCs w:val="21"/>
        </w:rPr>
        <w:t>规划局</w:t>
      </w:r>
    </w:p>
    <w:p>
      <w:pPr>
        <w:widowControl w:val="0"/>
        <w:numPr>
          <w:ilvl w:val="0"/>
          <w:numId w:val="1"/>
        </w:numPr>
        <w:wordWrap/>
        <w:adjustRightInd/>
        <w:snapToGrid/>
        <w:ind w:left="0" w:lef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办理条件</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（一）准予批准的条件：</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1.申请材料齐全、规范的</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（二）不准予批准的条件：</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1.申请材料不齐全的</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（三）其它需说明的情形：</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无</w:t>
      </w:r>
    </w:p>
    <w:p>
      <w:pPr>
        <w:widowControl w:val="0"/>
        <w:numPr>
          <w:ilvl w:val="0"/>
          <w:numId w:val="1"/>
        </w:numPr>
        <w:wordWrap/>
        <w:adjustRightInd/>
        <w:snapToGrid/>
        <w:ind w:left="0" w:lef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申办材料</w:t>
      </w:r>
    </w:p>
    <w:p>
      <w:pPr>
        <w:widowControl w:val="0"/>
        <w:numPr>
          <w:ilvl w:val="0"/>
          <w:numId w:val="0"/>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申办材料应符合以下要求：</w:t>
      </w:r>
    </w:p>
    <w:tbl>
      <w:tblPr>
        <w:tblStyle w:val="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430"/>
        <w:gridCol w:w="1458"/>
        <w:gridCol w:w="822"/>
        <w:gridCol w:w="1560"/>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2" w:type="dxa"/>
            <w:vAlign w:val="center"/>
          </w:tcPr>
          <w:p>
            <w:pPr>
              <w:widowControl w:val="0"/>
              <w:numPr>
                <w:ilvl w:val="0"/>
                <w:numId w:val="0"/>
              </w:numPr>
              <w:wordWrap/>
              <w:adjustRightInd/>
              <w:snapToGrid/>
              <w:jc w:val="center"/>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序号</w:t>
            </w:r>
          </w:p>
        </w:tc>
        <w:tc>
          <w:tcPr>
            <w:tcW w:w="2430" w:type="dxa"/>
            <w:vAlign w:val="center"/>
          </w:tcPr>
          <w:p>
            <w:pPr>
              <w:widowControl w:val="0"/>
              <w:numPr>
                <w:ilvl w:val="0"/>
                <w:numId w:val="0"/>
              </w:numPr>
              <w:wordWrap/>
              <w:adjustRightInd/>
              <w:snapToGrid/>
              <w:jc w:val="center"/>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提交材料名称</w:t>
            </w:r>
          </w:p>
        </w:tc>
        <w:tc>
          <w:tcPr>
            <w:tcW w:w="1458" w:type="dxa"/>
            <w:vAlign w:val="center"/>
          </w:tcPr>
          <w:p>
            <w:pPr>
              <w:widowControl w:val="0"/>
              <w:numPr>
                <w:ilvl w:val="0"/>
                <w:numId w:val="0"/>
              </w:numPr>
              <w:wordWrap/>
              <w:adjustRightInd/>
              <w:snapToGrid/>
              <w:jc w:val="center"/>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原件/复印件</w:t>
            </w:r>
          </w:p>
        </w:tc>
        <w:tc>
          <w:tcPr>
            <w:tcW w:w="822" w:type="dxa"/>
            <w:vAlign w:val="center"/>
          </w:tcPr>
          <w:p>
            <w:pPr>
              <w:widowControl w:val="0"/>
              <w:numPr>
                <w:ilvl w:val="0"/>
                <w:numId w:val="0"/>
              </w:numPr>
              <w:wordWrap/>
              <w:adjustRightInd/>
              <w:snapToGrid/>
              <w:jc w:val="center"/>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份数</w:t>
            </w:r>
          </w:p>
        </w:tc>
        <w:tc>
          <w:tcPr>
            <w:tcW w:w="1560" w:type="dxa"/>
            <w:vAlign w:val="center"/>
          </w:tcPr>
          <w:p>
            <w:pPr>
              <w:widowControl w:val="0"/>
              <w:numPr>
                <w:ilvl w:val="0"/>
                <w:numId w:val="0"/>
              </w:numPr>
              <w:wordWrap/>
              <w:adjustRightInd/>
              <w:snapToGrid/>
              <w:jc w:val="center"/>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纸质/电子版</w:t>
            </w:r>
          </w:p>
        </w:tc>
        <w:tc>
          <w:tcPr>
            <w:tcW w:w="2149" w:type="dxa"/>
            <w:vAlign w:val="center"/>
          </w:tcPr>
          <w:p>
            <w:pPr>
              <w:widowControl w:val="0"/>
              <w:numPr>
                <w:ilvl w:val="0"/>
                <w:numId w:val="0"/>
              </w:numPr>
              <w:wordWrap/>
              <w:adjustRightInd/>
              <w:snapToGrid/>
              <w:jc w:val="center"/>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642" w:type="dxa"/>
            <w:vAlign w:val="center"/>
          </w:tcPr>
          <w:p>
            <w:pPr>
              <w:widowControl w:val="0"/>
              <w:numPr>
                <w:ilvl w:val="0"/>
                <w:numId w:val="0"/>
              </w:numPr>
              <w:wordWrap/>
              <w:adjustRightInd/>
              <w:snapToGrid/>
              <w:jc w:val="center"/>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w:t>
            </w:r>
          </w:p>
        </w:tc>
        <w:tc>
          <w:tcPr>
            <w:tcW w:w="2430" w:type="dxa"/>
            <w:vAlign w:val="center"/>
          </w:tcPr>
          <w:p>
            <w:pPr>
              <w:widowControl/>
              <w:jc w:val="center"/>
              <w:textAlignment w:val="center"/>
              <w:rPr>
                <w:rFonts w:hint="eastAsia" w:ascii="宋体" w:hAnsi="宋体" w:eastAsia="宋体" w:cs="宋体"/>
                <w:b w:val="0"/>
                <w:bCs w:val="0"/>
                <w:sz w:val="18"/>
                <w:szCs w:val="18"/>
                <w:lang w:val="en-US" w:eastAsia="zh-CN"/>
              </w:rPr>
            </w:pPr>
            <w:r>
              <w:rPr>
                <w:rFonts w:hint="eastAsia" w:ascii="宋体" w:hAnsi="宋体" w:eastAsia="宋体" w:cs="宋体"/>
                <w:i w:val="0"/>
                <w:color w:val="000000"/>
                <w:kern w:val="0"/>
                <w:sz w:val="18"/>
                <w:szCs w:val="18"/>
                <w:u w:val="none"/>
                <w:lang w:val="en-US" w:eastAsia="zh-CN"/>
              </w:rPr>
              <w:t>建设工程规划许可申请书（原件一份）</w:t>
            </w:r>
            <w:r>
              <w:rPr>
                <w:rFonts w:hint="eastAsia" w:ascii="宋体" w:hAnsi="宋体" w:cs="宋体"/>
                <w:i w:val="0"/>
                <w:color w:val="000000"/>
                <w:kern w:val="0"/>
                <w:sz w:val="18"/>
                <w:szCs w:val="18"/>
                <w:u w:val="none"/>
                <w:lang w:val="en-US" w:eastAsia="zh-CN"/>
              </w:rPr>
              <w:t>；</w:t>
            </w:r>
            <w:r>
              <w:rPr>
                <w:rFonts w:hint="eastAsia" w:ascii="宋体" w:hAnsi="宋体" w:eastAsia="宋体" w:cs="宋体"/>
                <w:i w:val="0"/>
                <w:color w:val="000000"/>
                <w:kern w:val="0"/>
                <w:sz w:val="18"/>
                <w:szCs w:val="18"/>
                <w:u w:val="none"/>
                <w:lang w:val="en-US" w:eastAsia="zh-CN"/>
              </w:rPr>
              <w:t>营业执照或事业单位法人证书或组织机构代码证（复印件一份，核原件）</w:t>
            </w:r>
            <w:r>
              <w:rPr>
                <w:rFonts w:hint="eastAsia" w:ascii="宋体" w:hAnsi="宋体" w:cs="宋体"/>
                <w:i w:val="0"/>
                <w:color w:val="000000"/>
                <w:kern w:val="0"/>
                <w:sz w:val="18"/>
                <w:szCs w:val="18"/>
                <w:u w:val="none"/>
                <w:lang w:val="en-US" w:eastAsia="zh-CN"/>
              </w:rPr>
              <w:t>；</w:t>
            </w:r>
            <w:r>
              <w:rPr>
                <w:rFonts w:hint="eastAsia" w:ascii="宋体" w:hAnsi="宋体" w:eastAsia="宋体" w:cs="宋体"/>
                <w:i w:val="0"/>
                <w:color w:val="000000"/>
                <w:kern w:val="0"/>
                <w:sz w:val="18"/>
                <w:szCs w:val="18"/>
                <w:u w:val="none"/>
                <w:lang w:val="en-US" w:eastAsia="zh-CN"/>
              </w:rPr>
              <w:t>授权委托书（原件一份）和受委托人身份证（复印件一份，核原件）</w:t>
            </w:r>
          </w:p>
        </w:tc>
        <w:tc>
          <w:tcPr>
            <w:tcW w:w="1458" w:type="dxa"/>
            <w:vAlign w:val="center"/>
          </w:tcPr>
          <w:p>
            <w:pPr>
              <w:widowControl/>
              <w:jc w:val="center"/>
              <w:textAlignment w:val="center"/>
              <w:rPr>
                <w:rFonts w:hint="eastAsia" w:ascii="宋体" w:hAnsi="宋体" w:eastAsia="宋体" w:cs="宋体"/>
                <w:b w:val="0"/>
                <w:bCs w:val="0"/>
                <w:sz w:val="18"/>
                <w:szCs w:val="18"/>
                <w:lang w:val="en-US" w:eastAsia="zh-CN"/>
              </w:rPr>
            </w:pPr>
            <w:r>
              <w:rPr>
                <w:rFonts w:hint="eastAsia" w:ascii="宋体" w:hAnsi="宋体" w:eastAsia="宋体" w:cs="宋体"/>
                <w:i w:val="0"/>
                <w:color w:val="000000"/>
                <w:kern w:val="0"/>
                <w:sz w:val="18"/>
                <w:szCs w:val="18"/>
                <w:u w:val="none"/>
                <w:lang w:val="en-US" w:eastAsia="zh-CN"/>
              </w:rPr>
              <w:t>原件</w:t>
            </w:r>
          </w:p>
        </w:tc>
        <w:tc>
          <w:tcPr>
            <w:tcW w:w="822" w:type="dxa"/>
            <w:vAlign w:val="center"/>
          </w:tcPr>
          <w:p>
            <w:pPr>
              <w:widowControl w:val="0"/>
              <w:numPr>
                <w:ilvl w:val="0"/>
                <w:numId w:val="0"/>
              </w:numPr>
              <w:wordWrap/>
              <w:adjustRightInd/>
              <w:snapToGrid/>
              <w:jc w:val="center"/>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1</w:t>
            </w:r>
          </w:p>
        </w:tc>
        <w:tc>
          <w:tcPr>
            <w:tcW w:w="1560" w:type="dxa"/>
            <w:vAlign w:val="center"/>
          </w:tcPr>
          <w:p>
            <w:pPr>
              <w:widowControl w:val="0"/>
              <w:numPr>
                <w:ilvl w:val="0"/>
                <w:numId w:val="0"/>
              </w:numPr>
              <w:wordWrap/>
              <w:adjustRightInd/>
              <w:snapToGrid/>
              <w:jc w:val="center"/>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纸质</w:t>
            </w:r>
          </w:p>
        </w:tc>
        <w:tc>
          <w:tcPr>
            <w:tcW w:w="2149" w:type="dxa"/>
            <w:vAlign w:val="center"/>
          </w:tcPr>
          <w:p>
            <w:pPr>
              <w:widowControl w:val="0"/>
              <w:numPr>
                <w:ilvl w:val="0"/>
                <w:numId w:val="0"/>
              </w:numPr>
              <w:wordWrap/>
              <w:adjustRightInd/>
              <w:snapToGrid/>
              <w:jc w:val="center"/>
              <w:textAlignment w:val="auto"/>
              <w:outlineLvl w:val="9"/>
              <w:rPr>
                <w:rFonts w:hint="eastAsia" w:ascii="宋体" w:hAnsi="宋体" w:eastAsia="宋体" w:cs="宋体"/>
                <w:b w:val="0"/>
                <w:bCs w:val="0"/>
                <w:sz w:val="18"/>
                <w:szCs w:val="18"/>
                <w:lang w:val="en-US" w:eastAsia="zh-CN"/>
              </w:rPr>
            </w:pPr>
            <w:r>
              <w:rPr>
                <w:rFonts w:hint="eastAsia" w:ascii="宋体" w:hAnsi="宋体" w:cs="宋体"/>
                <w:color w:val="auto"/>
                <w:sz w:val="18"/>
                <w:szCs w:val="18"/>
                <w:lang w:eastAsia="zh-CN"/>
              </w:rPr>
              <w:t>纸质版申请书</w:t>
            </w:r>
            <w:r>
              <w:rPr>
                <w:rFonts w:hint="eastAsia" w:ascii="宋体" w:hAnsi="宋体" w:cs="宋体"/>
                <w:color w:val="auto"/>
                <w:sz w:val="18"/>
                <w:szCs w:val="18"/>
              </w:rPr>
              <w:t>需加盖</w:t>
            </w:r>
            <w:r>
              <w:rPr>
                <w:rFonts w:hint="eastAsia" w:ascii="宋体" w:hAnsi="宋体" w:cs="宋体"/>
                <w:color w:val="auto"/>
                <w:sz w:val="18"/>
                <w:szCs w:val="18"/>
                <w:lang w:eastAsia="zh-CN"/>
              </w:rPr>
              <w:t>申请</w:t>
            </w:r>
            <w:r>
              <w:rPr>
                <w:rFonts w:hint="eastAsia" w:ascii="宋体" w:hAnsi="宋体" w:cs="宋体"/>
                <w:color w:val="auto"/>
                <w:sz w:val="18"/>
                <w:szCs w:val="18"/>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642" w:type="dxa"/>
            <w:vAlign w:val="center"/>
          </w:tcPr>
          <w:p>
            <w:pPr>
              <w:widowControl w:val="0"/>
              <w:numPr>
                <w:ilvl w:val="0"/>
                <w:numId w:val="0"/>
              </w:numPr>
              <w:wordWrap/>
              <w:adjustRightInd/>
              <w:snapToGrid/>
              <w:jc w:val="center"/>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w:t>
            </w:r>
          </w:p>
        </w:tc>
        <w:tc>
          <w:tcPr>
            <w:tcW w:w="2430" w:type="dxa"/>
            <w:vAlign w:val="center"/>
          </w:tcPr>
          <w:p>
            <w:pPr>
              <w:widowControl/>
              <w:jc w:val="center"/>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i w:val="0"/>
                <w:color w:val="000000"/>
                <w:kern w:val="0"/>
                <w:sz w:val="18"/>
                <w:szCs w:val="18"/>
                <w:u w:val="none"/>
                <w:lang w:val="en-US" w:eastAsia="zh-CN"/>
              </w:rPr>
              <w:t>使用土地的有关证明文件（复印件一份，核原件）</w:t>
            </w:r>
          </w:p>
        </w:tc>
        <w:tc>
          <w:tcPr>
            <w:tcW w:w="1458" w:type="dxa"/>
            <w:vAlign w:val="center"/>
          </w:tcPr>
          <w:p>
            <w:pPr>
              <w:widowControl/>
              <w:jc w:val="center"/>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i w:val="0"/>
                <w:color w:val="000000"/>
                <w:kern w:val="0"/>
                <w:sz w:val="18"/>
                <w:szCs w:val="18"/>
                <w:u w:val="none"/>
                <w:lang w:val="en-US" w:eastAsia="zh-CN"/>
              </w:rPr>
              <w:t>原件和复印件</w:t>
            </w:r>
          </w:p>
        </w:tc>
        <w:tc>
          <w:tcPr>
            <w:tcW w:w="822" w:type="dxa"/>
            <w:vAlign w:val="center"/>
          </w:tcPr>
          <w:p>
            <w:pPr>
              <w:widowControl w:val="0"/>
              <w:numPr>
                <w:ilvl w:val="0"/>
                <w:numId w:val="0"/>
              </w:numPr>
              <w:wordWrap/>
              <w:adjustRightInd/>
              <w:snapToGrid/>
              <w:ind w:left="0" w:leftChars="0" w:firstLine="0" w:firstLineChars="0"/>
              <w:jc w:val="center"/>
              <w:textAlignment w:val="auto"/>
              <w:outlineLvl w:val="9"/>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1</w:t>
            </w:r>
          </w:p>
        </w:tc>
        <w:tc>
          <w:tcPr>
            <w:tcW w:w="1560" w:type="dxa"/>
            <w:vAlign w:val="center"/>
          </w:tcPr>
          <w:p>
            <w:pPr>
              <w:widowControl w:val="0"/>
              <w:numPr>
                <w:ilvl w:val="0"/>
                <w:numId w:val="0"/>
              </w:numPr>
              <w:wordWrap/>
              <w:adjustRightInd/>
              <w:snapToGrid/>
              <w:ind w:left="0" w:leftChars="0" w:firstLine="0" w:firstLineChars="0"/>
              <w:jc w:val="center"/>
              <w:textAlignment w:val="auto"/>
              <w:outlineLvl w:val="9"/>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纸质</w:t>
            </w:r>
          </w:p>
        </w:tc>
        <w:tc>
          <w:tcPr>
            <w:tcW w:w="2149" w:type="dxa"/>
            <w:vAlign w:val="center"/>
          </w:tcPr>
          <w:p>
            <w:pPr>
              <w:widowControl w:val="0"/>
              <w:numPr>
                <w:ilvl w:val="0"/>
                <w:numId w:val="0"/>
              </w:numPr>
              <w:wordWrap/>
              <w:adjustRightInd/>
              <w:snapToGrid/>
              <w:ind w:left="0" w:leftChars="0" w:firstLine="0" w:firstLineChars="0"/>
              <w:jc w:val="center"/>
              <w:textAlignment w:val="auto"/>
              <w:outlineLvl w:val="9"/>
              <w:rPr>
                <w:rFonts w:hint="eastAsia" w:ascii="宋体" w:hAnsi="宋体" w:eastAsia="宋体" w:cs="宋体"/>
                <w:b w:val="0"/>
                <w:bCs w:val="0"/>
                <w:kern w:val="2"/>
                <w:sz w:val="18"/>
                <w:szCs w:val="18"/>
                <w:lang w:val="en-US" w:eastAsia="zh-CN" w:bidi="ar-SA"/>
              </w:rPr>
            </w:pPr>
            <w:r>
              <w:rPr>
                <w:rFonts w:hint="eastAsia" w:ascii="宋体" w:hAnsi="宋体" w:cs="宋体"/>
                <w:b w:val="0"/>
                <w:bCs w:val="0"/>
                <w:sz w:val="18"/>
                <w:szCs w:val="18"/>
                <w:lang w:val="en-US" w:eastAsia="zh-CN"/>
              </w:rPr>
              <w:t>审核原件，留存复印件，并加盖申请单位公章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42" w:type="dxa"/>
            <w:vAlign w:val="center"/>
          </w:tcPr>
          <w:p>
            <w:pPr>
              <w:widowControl w:val="0"/>
              <w:numPr>
                <w:ilvl w:val="0"/>
                <w:numId w:val="0"/>
              </w:numPr>
              <w:wordWrap/>
              <w:adjustRightInd/>
              <w:snapToGrid/>
              <w:jc w:val="center"/>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3</w:t>
            </w:r>
          </w:p>
        </w:tc>
        <w:tc>
          <w:tcPr>
            <w:tcW w:w="2430" w:type="dxa"/>
            <w:vAlign w:val="center"/>
          </w:tcPr>
          <w:p>
            <w:pPr>
              <w:widowControl/>
              <w:jc w:val="center"/>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i w:val="0"/>
                <w:color w:val="000000"/>
                <w:kern w:val="0"/>
                <w:sz w:val="18"/>
                <w:szCs w:val="18"/>
                <w:u w:val="none"/>
                <w:lang w:val="en-US" w:eastAsia="zh-CN"/>
              </w:rPr>
              <w:t>建设项目审批、核准或者备案文件（复印件一份，核原件）。</w:t>
            </w:r>
          </w:p>
        </w:tc>
        <w:tc>
          <w:tcPr>
            <w:tcW w:w="1458" w:type="dxa"/>
            <w:vAlign w:val="center"/>
          </w:tcPr>
          <w:p>
            <w:pPr>
              <w:widowControl/>
              <w:jc w:val="center"/>
              <w:textAlignment w:val="center"/>
              <w:rPr>
                <w:rFonts w:hint="eastAsia" w:ascii="宋体" w:hAnsi="宋体" w:eastAsia="宋体" w:cs="宋体"/>
                <w:b w:val="0"/>
                <w:bCs w:val="0"/>
                <w:kern w:val="2"/>
                <w:sz w:val="18"/>
                <w:szCs w:val="18"/>
                <w:lang w:val="en-US" w:eastAsia="zh-CN" w:bidi="ar-SA"/>
              </w:rPr>
            </w:pPr>
            <w:r>
              <w:rPr>
                <w:rFonts w:hint="eastAsia" w:ascii="宋体" w:hAnsi="宋体" w:eastAsia="宋体" w:cs="宋体"/>
                <w:i w:val="0"/>
                <w:color w:val="000000"/>
                <w:kern w:val="0"/>
                <w:sz w:val="18"/>
                <w:szCs w:val="18"/>
                <w:u w:val="none"/>
                <w:lang w:val="en-US" w:eastAsia="zh-CN"/>
              </w:rPr>
              <w:t>原件和复印件</w:t>
            </w:r>
          </w:p>
        </w:tc>
        <w:tc>
          <w:tcPr>
            <w:tcW w:w="822" w:type="dxa"/>
            <w:vAlign w:val="center"/>
          </w:tcPr>
          <w:p>
            <w:pPr>
              <w:widowControl w:val="0"/>
              <w:numPr>
                <w:ilvl w:val="0"/>
                <w:numId w:val="0"/>
              </w:numPr>
              <w:wordWrap/>
              <w:adjustRightInd/>
              <w:snapToGrid/>
              <w:ind w:left="0" w:leftChars="0" w:firstLine="0" w:firstLineChars="0"/>
              <w:jc w:val="center"/>
              <w:textAlignment w:val="auto"/>
              <w:outlineLvl w:val="9"/>
              <w:rPr>
                <w:rFonts w:hint="eastAsia" w:ascii="宋体" w:hAnsi="宋体" w:eastAsia="宋体" w:cs="宋体"/>
                <w:b w:val="0"/>
                <w:bCs w:val="0"/>
                <w:kern w:val="2"/>
                <w:sz w:val="18"/>
                <w:szCs w:val="18"/>
                <w:lang w:val="en-US" w:eastAsia="zh-CN" w:bidi="ar-SA"/>
              </w:rPr>
            </w:pPr>
            <w:r>
              <w:rPr>
                <w:rFonts w:hint="eastAsia" w:ascii="宋体" w:hAnsi="宋体" w:cs="宋体"/>
                <w:b w:val="0"/>
                <w:bCs w:val="0"/>
                <w:sz w:val="18"/>
                <w:szCs w:val="18"/>
                <w:lang w:val="en-US" w:eastAsia="zh-CN"/>
              </w:rPr>
              <w:t>1</w:t>
            </w:r>
          </w:p>
        </w:tc>
        <w:tc>
          <w:tcPr>
            <w:tcW w:w="1560" w:type="dxa"/>
            <w:vAlign w:val="center"/>
          </w:tcPr>
          <w:p>
            <w:pPr>
              <w:widowControl w:val="0"/>
              <w:numPr>
                <w:ilvl w:val="0"/>
                <w:numId w:val="0"/>
              </w:numPr>
              <w:wordWrap/>
              <w:adjustRightInd/>
              <w:snapToGrid/>
              <w:ind w:left="0" w:leftChars="0" w:firstLine="0" w:firstLineChars="0"/>
              <w:jc w:val="center"/>
              <w:textAlignment w:val="auto"/>
              <w:outlineLvl w:val="9"/>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纸质</w:t>
            </w:r>
          </w:p>
        </w:tc>
        <w:tc>
          <w:tcPr>
            <w:tcW w:w="2149" w:type="dxa"/>
            <w:vAlign w:val="center"/>
          </w:tcPr>
          <w:p>
            <w:pPr>
              <w:widowControl w:val="0"/>
              <w:numPr>
                <w:ilvl w:val="0"/>
                <w:numId w:val="0"/>
              </w:numPr>
              <w:wordWrap/>
              <w:adjustRightInd/>
              <w:snapToGrid/>
              <w:ind w:left="0" w:leftChars="0" w:firstLine="0" w:firstLineChars="0"/>
              <w:jc w:val="center"/>
              <w:textAlignment w:val="auto"/>
              <w:outlineLvl w:val="9"/>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审核原件，留存复印件</w:t>
            </w:r>
            <w:r>
              <w:rPr>
                <w:rFonts w:hint="eastAsia" w:ascii="宋体" w:hAnsi="宋体" w:cs="宋体"/>
                <w:b w:val="0"/>
                <w:bCs w:val="0"/>
                <w:sz w:val="18"/>
                <w:szCs w:val="18"/>
                <w:lang w:val="en-US" w:eastAsia="zh-CN"/>
              </w:rPr>
              <w:t>，并加盖申请单位公章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642" w:type="dxa"/>
            <w:vAlign w:val="center"/>
          </w:tcPr>
          <w:p>
            <w:pPr>
              <w:widowControl w:val="0"/>
              <w:numPr>
                <w:ilvl w:val="0"/>
                <w:numId w:val="0"/>
              </w:numPr>
              <w:wordWrap/>
              <w:adjustRightInd/>
              <w:snapToGrid/>
              <w:jc w:val="center"/>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4</w:t>
            </w:r>
          </w:p>
        </w:tc>
        <w:tc>
          <w:tcPr>
            <w:tcW w:w="2430" w:type="dxa"/>
            <w:vAlign w:val="center"/>
          </w:tcPr>
          <w:p>
            <w:pPr>
              <w:widowControl/>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rPr>
              <w:t>建设工程设计方案（原件）；</w:t>
            </w:r>
          </w:p>
        </w:tc>
        <w:tc>
          <w:tcPr>
            <w:tcW w:w="1458" w:type="dxa"/>
            <w:vAlign w:val="center"/>
          </w:tcPr>
          <w:p>
            <w:pPr>
              <w:widowControl/>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rPr>
              <w:t>原件</w:t>
            </w:r>
          </w:p>
        </w:tc>
        <w:tc>
          <w:tcPr>
            <w:tcW w:w="822" w:type="dxa"/>
            <w:vAlign w:val="center"/>
          </w:tcPr>
          <w:p>
            <w:pPr>
              <w:widowControl w:val="0"/>
              <w:numPr>
                <w:ilvl w:val="0"/>
                <w:numId w:val="0"/>
              </w:numPr>
              <w:wordWrap/>
              <w:adjustRightInd/>
              <w:snapToGrid/>
              <w:ind w:left="0" w:leftChars="0" w:firstLine="0" w:firstLineChars="0"/>
              <w:jc w:val="center"/>
              <w:textAlignment w:val="auto"/>
              <w:outlineLvl w:val="9"/>
              <w:rPr>
                <w:rFonts w:hint="eastAsia" w:ascii="宋体" w:hAnsi="宋体" w:eastAsia="宋体" w:cs="宋体"/>
                <w:b w:val="0"/>
                <w:bCs w:val="0"/>
                <w:kern w:val="2"/>
                <w:sz w:val="18"/>
                <w:szCs w:val="18"/>
                <w:lang w:val="en-US" w:eastAsia="zh-CN" w:bidi="ar-SA"/>
              </w:rPr>
            </w:pPr>
            <w:r>
              <w:rPr>
                <w:rFonts w:hint="eastAsia" w:ascii="宋体" w:hAnsi="宋体" w:cs="宋体"/>
                <w:b w:val="0"/>
                <w:bCs w:val="0"/>
                <w:sz w:val="18"/>
                <w:szCs w:val="18"/>
                <w:lang w:val="en-US" w:eastAsia="zh-CN"/>
              </w:rPr>
              <w:t>1</w:t>
            </w:r>
          </w:p>
        </w:tc>
        <w:tc>
          <w:tcPr>
            <w:tcW w:w="1560" w:type="dxa"/>
            <w:vAlign w:val="center"/>
          </w:tcPr>
          <w:p>
            <w:pPr>
              <w:widowControl w:val="0"/>
              <w:numPr>
                <w:ilvl w:val="0"/>
                <w:numId w:val="0"/>
              </w:numPr>
              <w:wordWrap/>
              <w:adjustRightInd/>
              <w:snapToGrid/>
              <w:ind w:left="0" w:leftChars="0" w:firstLine="0" w:firstLineChars="0"/>
              <w:jc w:val="center"/>
              <w:textAlignment w:val="auto"/>
              <w:outlineLvl w:val="9"/>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纸质</w:t>
            </w:r>
          </w:p>
        </w:tc>
        <w:tc>
          <w:tcPr>
            <w:tcW w:w="2149" w:type="dxa"/>
            <w:vAlign w:val="center"/>
          </w:tcPr>
          <w:p>
            <w:pPr>
              <w:widowControl w:val="0"/>
              <w:numPr>
                <w:ilvl w:val="0"/>
                <w:numId w:val="0"/>
              </w:numPr>
              <w:wordWrap/>
              <w:adjustRightInd/>
              <w:snapToGrid/>
              <w:ind w:left="0" w:leftChars="0" w:firstLine="0" w:firstLineChars="0"/>
              <w:jc w:val="center"/>
              <w:textAlignment w:val="auto"/>
              <w:outlineLvl w:val="9"/>
              <w:rPr>
                <w:rFonts w:hint="eastAsia" w:ascii="宋体" w:hAnsi="宋体" w:eastAsia="宋体" w:cs="宋体"/>
                <w:b w:val="0"/>
                <w:bCs w:val="0"/>
                <w:kern w:val="2"/>
                <w:sz w:val="18"/>
                <w:szCs w:val="18"/>
                <w:lang w:val="en-US" w:eastAsia="zh-CN" w:bidi="ar-SA"/>
              </w:rPr>
            </w:pPr>
            <w:r>
              <w:rPr>
                <w:rFonts w:hint="eastAsia" w:ascii="宋体" w:hAnsi="宋体" w:cs="宋体"/>
                <w:b w:val="0"/>
                <w:bCs w:val="0"/>
                <w:sz w:val="18"/>
                <w:szCs w:val="18"/>
                <w:lang w:val="en-US" w:eastAsia="zh-CN"/>
              </w:rPr>
              <w:t>申请人自备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642" w:type="dxa"/>
            <w:vAlign w:val="center"/>
          </w:tcPr>
          <w:p>
            <w:pPr>
              <w:widowControl w:val="0"/>
              <w:numPr>
                <w:ilvl w:val="0"/>
                <w:numId w:val="0"/>
              </w:numPr>
              <w:wordWrap/>
              <w:adjustRightInd/>
              <w:snapToGrid/>
              <w:jc w:val="center"/>
              <w:textAlignment w:val="auto"/>
              <w:outlineLvl w:val="9"/>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5</w:t>
            </w:r>
          </w:p>
        </w:tc>
        <w:tc>
          <w:tcPr>
            <w:tcW w:w="2430" w:type="dxa"/>
            <w:vAlign w:val="center"/>
          </w:tcPr>
          <w:p>
            <w:pPr>
              <w:widowControl/>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rPr>
              <w:t>需编制修建性详细规划的建设工程应当提交修建性详细规划。</w:t>
            </w:r>
          </w:p>
        </w:tc>
        <w:tc>
          <w:tcPr>
            <w:tcW w:w="1458" w:type="dxa"/>
            <w:vAlign w:val="center"/>
          </w:tcPr>
          <w:p>
            <w:pPr>
              <w:widowControl/>
              <w:jc w:val="center"/>
              <w:textAlignment w:val="center"/>
              <w:rPr>
                <w:rFonts w:hint="eastAsia" w:ascii="宋体" w:hAnsi="宋体" w:eastAsia="宋体" w:cs="宋体"/>
                <w:i w:val="0"/>
                <w:color w:val="000000"/>
                <w:kern w:val="0"/>
                <w:sz w:val="18"/>
                <w:szCs w:val="18"/>
                <w:u w:val="none"/>
                <w:lang w:val="en-US" w:eastAsia="zh-CN" w:bidi="ar-SA"/>
              </w:rPr>
            </w:pPr>
            <w:r>
              <w:rPr>
                <w:rFonts w:hint="eastAsia" w:ascii="宋体" w:hAnsi="宋体" w:eastAsia="宋体" w:cs="宋体"/>
                <w:i w:val="0"/>
                <w:color w:val="000000"/>
                <w:kern w:val="0"/>
                <w:sz w:val="18"/>
                <w:szCs w:val="18"/>
                <w:u w:val="none"/>
                <w:lang w:val="en-US" w:eastAsia="zh-CN"/>
              </w:rPr>
              <w:t>原件</w:t>
            </w:r>
            <w:r>
              <w:rPr>
                <w:rFonts w:hint="eastAsia" w:ascii="宋体" w:hAnsi="宋体" w:cs="宋体"/>
                <w:i w:val="0"/>
                <w:color w:val="000000"/>
                <w:kern w:val="0"/>
                <w:sz w:val="18"/>
                <w:szCs w:val="18"/>
                <w:u w:val="none"/>
                <w:lang w:val="en-US" w:eastAsia="zh-CN"/>
              </w:rPr>
              <w:t>和复印件</w:t>
            </w:r>
          </w:p>
        </w:tc>
        <w:tc>
          <w:tcPr>
            <w:tcW w:w="822" w:type="dxa"/>
            <w:vAlign w:val="center"/>
          </w:tcPr>
          <w:p>
            <w:pPr>
              <w:widowControl w:val="0"/>
              <w:numPr>
                <w:ilvl w:val="0"/>
                <w:numId w:val="0"/>
              </w:numPr>
              <w:wordWrap/>
              <w:adjustRightInd/>
              <w:snapToGrid/>
              <w:ind w:left="0" w:leftChars="0" w:firstLine="0" w:firstLineChars="0"/>
              <w:jc w:val="center"/>
              <w:textAlignment w:val="auto"/>
              <w:outlineLvl w:val="9"/>
              <w:rPr>
                <w:rFonts w:hint="eastAsia" w:ascii="宋体" w:hAnsi="宋体" w:eastAsia="宋体" w:cs="宋体"/>
                <w:b w:val="0"/>
                <w:bCs w:val="0"/>
                <w:kern w:val="2"/>
                <w:sz w:val="18"/>
                <w:szCs w:val="18"/>
                <w:lang w:val="en-US" w:eastAsia="zh-CN" w:bidi="ar-SA"/>
              </w:rPr>
            </w:pPr>
            <w:r>
              <w:rPr>
                <w:rFonts w:hint="eastAsia" w:ascii="宋体" w:hAnsi="宋体" w:cs="宋体"/>
                <w:b w:val="0"/>
                <w:bCs w:val="0"/>
                <w:sz w:val="18"/>
                <w:szCs w:val="18"/>
                <w:lang w:val="en-US" w:eastAsia="zh-CN"/>
              </w:rPr>
              <w:t>1</w:t>
            </w:r>
          </w:p>
        </w:tc>
        <w:tc>
          <w:tcPr>
            <w:tcW w:w="1560" w:type="dxa"/>
            <w:vAlign w:val="center"/>
          </w:tcPr>
          <w:p>
            <w:pPr>
              <w:widowControl w:val="0"/>
              <w:numPr>
                <w:ilvl w:val="0"/>
                <w:numId w:val="0"/>
              </w:numPr>
              <w:wordWrap/>
              <w:adjustRightInd/>
              <w:snapToGrid/>
              <w:ind w:left="0" w:leftChars="0" w:firstLine="0" w:firstLineChars="0"/>
              <w:jc w:val="center"/>
              <w:textAlignment w:val="auto"/>
              <w:outlineLvl w:val="9"/>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纸质</w:t>
            </w:r>
          </w:p>
        </w:tc>
        <w:tc>
          <w:tcPr>
            <w:tcW w:w="2149" w:type="dxa"/>
            <w:vAlign w:val="center"/>
          </w:tcPr>
          <w:p>
            <w:pPr>
              <w:widowControl w:val="0"/>
              <w:numPr>
                <w:ilvl w:val="0"/>
                <w:numId w:val="0"/>
              </w:numPr>
              <w:wordWrap/>
              <w:adjustRightInd/>
              <w:snapToGrid/>
              <w:ind w:left="0" w:leftChars="0" w:firstLine="0" w:firstLineChars="0"/>
              <w:jc w:val="center"/>
              <w:textAlignment w:val="auto"/>
              <w:outlineLvl w:val="9"/>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sz w:val="18"/>
                <w:szCs w:val="18"/>
                <w:lang w:val="en-US" w:eastAsia="zh-CN"/>
              </w:rPr>
              <w:t>审核原件，留存复印件</w:t>
            </w:r>
            <w:r>
              <w:rPr>
                <w:rFonts w:hint="eastAsia" w:ascii="宋体" w:hAnsi="宋体" w:cs="宋体"/>
                <w:b w:val="0"/>
                <w:bCs w:val="0"/>
                <w:sz w:val="18"/>
                <w:szCs w:val="18"/>
                <w:lang w:val="en-US" w:eastAsia="zh-CN"/>
              </w:rPr>
              <w:t>，并加盖申请单位公章</w:t>
            </w:r>
          </w:p>
        </w:tc>
      </w:tr>
    </w:tbl>
    <w:p>
      <w:pPr>
        <w:widowControl w:val="0"/>
        <w:numPr>
          <w:ilvl w:val="0"/>
          <w:numId w:val="1"/>
        </w:numPr>
        <w:wordWrap/>
        <w:adjustRightInd/>
        <w:snapToGrid/>
        <w:ind w:left="0" w:lef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受理方式</w:t>
      </w:r>
    </w:p>
    <w:p>
      <w:pPr>
        <w:widowControl w:val="0"/>
        <w:numPr>
          <w:ilvl w:val="0"/>
          <w:numId w:val="2"/>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窗口受理：直接到平顶山市行政审批服务中心五楼</w:t>
      </w:r>
      <w:r>
        <w:rPr>
          <w:rFonts w:hint="eastAsia" w:ascii="宋体" w:hAnsi="宋体" w:cs="宋体"/>
          <w:color w:val="auto"/>
          <w:sz w:val="21"/>
          <w:szCs w:val="21"/>
          <w:lang w:val="en-US" w:eastAsia="zh-CN"/>
        </w:rPr>
        <w:t>自然资源和</w:t>
      </w:r>
      <w:r>
        <w:rPr>
          <w:rFonts w:hint="eastAsia" w:ascii="宋体" w:hAnsi="宋体" w:eastAsia="宋体" w:cs="宋体"/>
          <w:color w:val="auto"/>
          <w:sz w:val="21"/>
          <w:szCs w:val="21"/>
          <w:lang w:val="en-US" w:eastAsia="zh-CN"/>
        </w:rPr>
        <w:t>规划</w:t>
      </w:r>
      <w:r>
        <w:rPr>
          <w:rFonts w:hint="eastAsia" w:ascii="宋体" w:hAnsi="宋体" w:cs="宋体"/>
          <w:color w:val="auto"/>
          <w:sz w:val="21"/>
          <w:szCs w:val="21"/>
          <w:lang w:val="en-US" w:eastAsia="zh-CN"/>
        </w:rPr>
        <w:t>局</w:t>
      </w:r>
      <w:r>
        <w:rPr>
          <w:rFonts w:hint="eastAsia" w:ascii="宋体" w:hAnsi="宋体" w:eastAsia="宋体" w:cs="宋体"/>
          <w:color w:val="auto"/>
          <w:sz w:val="21"/>
          <w:szCs w:val="21"/>
          <w:lang w:val="en-US" w:eastAsia="zh-CN"/>
        </w:rPr>
        <w:t>业务窗口</w:t>
      </w:r>
      <w:r>
        <w:rPr>
          <w:rFonts w:hint="eastAsia" w:ascii="宋体" w:hAnsi="宋体" w:cs="宋体"/>
          <w:b w:val="0"/>
          <w:bCs w:val="0"/>
          <w:sz w:val="21"/>
          <w:szCs w:val="21"/>
          <w:lang w:val="en-US" w:eastAsia="zh-CN"/>
        </w:rPr>
        <w:t>提交申办材料。</w:t>
      </w:r>
    </w:p>
    <w:p>
      <w:pPr>
        <w:widowControl w:val="0"/>
        <w:numPr>
          <w:ilvl w:val="0"/>
          <w:numId w:val="2"/>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网上申报：进入河南政务服务网（http://www.hnzwfw.gov.cn）按照提示进行网上申报。</w:t>
      </w:r>
    </w:p>
    <w:p>
      <w:pPr>
        <w:widowControl w:val="0"/>
        <w:numPr>
          <w:ilvl w:val="0"/>
          <w:numId w:val="1"/>
        </w:numPr>
        <w:wordWrap/>
        <w:adjustRightInd/>
        <w:snapToGrid/>
        <w:ind w:left="0" w:lef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办理流程</w:t>
      </w:r>
    </w:p>
    <w:p>
      <w:pPr>
        <w:widowControl w:val="0"/>
        <w:numPr>
          <w:ilvl w:val="0"/>
          <w:numId w:val="0"/>
        </w:numPr>
        <w:wordWrap/>
        <w:adjustRightInd/>
        <w:snapToGrid/>
        <w:ind w:leftChars="0" w:firstLine="420" w:firstLineChars="200"/>
        <w:jc w:val="lef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（一）申请</w:t>
      </w:r>
    </w:p>
    <w:p>
      <w:pPr>
        <w:widowControl w:val="0"/>
        <w:numPr>
          <w:ilvl w:val="0"/>
          <w:numId w:val="0"/>
        </w:numPr>
        <w:wordWrap/>
        <w:adjustRightInd/>
        <w:snapToGrid/>
        <w:ind w:leftChars="0" w:firstLine="420" w:firstLineChars="200"/>
        <w:jc w:val="lef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申请单位应按照要求,准备相关申请村料，按照许可权限，向许可机关提出许可申请。</w:t>
      </w:r>
    </w:p>
    <w:p>
      <w:pPr>
        <w:widowControl w:val="0"/>
        <w:numPr>
          <w:ilvl w:val="0"/>
          <w:numId w:val="0"/>
        </w:numPr>
        <w:wordWrap/>
        <w:adjustRightInd/>
        <w:snapToGrid/>
        <w:ind w:leftChars="0" w:firstLine="420" w:firstLineChars="200"/>
        <w:jc w:val="lef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（二）受理</w:t>
      </w:r>
    </w:p>
    <w:p>
      <w:pPr>
        <w:widowControl w:val="0"/>
        <w:numPr>
          <w:ilvl w:val="0"/>
          <w:numId w:val="0"/>
        </w:numPr>
        <w:wordWrap/>
        <w:adjustRightInd/>
        <w:snapToGrid/>
        <w:ind w:leftChars="0" w:firstLine="420" w:firstLineChars="200"/>
        <w:jc w:val="lef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许可机关对申请材料进行审查。申请村料齐全、规范的,许可机关予以受理,出具《受理通知书》。申请材料不齐全的,应一次告知申请人需要补正的全部内容,出具《行政许可申请材料补正告知书。</w:t>
      </w:r>
    </w:p>
    <w:p>
      <w:pPr>
        <w:widowControl w:val="0"/>
        <w:numPr>
          <w:ilvl w:val="0"/>
          <w:numId w:val="0"/>
        </w:numPr>
        <w:wordWrap/>
        <w:adjustRightInd/>
        <w:snapToGrid/>
        <w:ind w:leftChars="0" w:firstLine="420" w:firstLineChars="200"/>
        <w:jc w:val="lef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（三）审查</w:t>
      </w:r>
    </w:p>
    <w:p>
      <w:pPr>
        <w:widowControl w:val="0"/>
        <w:numPr>
          <w:ilvl w:val="0"/>
          <w:numId w:val="0"/>
        </w:numPr>
        <w:wordWrap/>
        <w:adjustRightInd/>
        <w:snapToGrid/>
        <w:ind w:leftChars="0" w:firstLine="420" w:firstLineChars="200"/>
        <w:jc w:val="lef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根据法定条件和程序,申请材料受理后,行政许可机关应当指派2名以上工作人员对申请材料的内容进行审查，对申请单位项目现场进行实地踏勘，并将审查情况和现场踏勘情况报局主管领导审批。</w:t>
      </w:r>
    </w:p>
    <w:p>
      <w:pPr>
        <w:widowControl w:val="0"/>
        <w:numPr>
          <w:ilvl w:val="0"/>
          <w:numId w:val="0"/>
        </w:numPr>
        <w:wordWrap/>
        <w:adjustRightInd/>
        <w:snapToGrid/>
        <w:ind w:leftChars="0" w:firstLine="420" w:firstLineChars="200"/>
        <w:jc w:val="lef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（四）决定</w:t>
      </w:r>
    </w:p>
    <w:p>
      <w:pPr>
        <w:widowControl w:val="0"/>
        <w:numPr>
          <w:ilvl w:val="0"/>
          <w:numId w:val="0"/>
        </w:numPr>
        <w:wordWrap/>
        <w:adjustRightInd/>
        <w:snapToGrid/>
        <w:ind w:leftChars="0" w:firstLine="420" w:firstLineChars="200"/>
        <w:jc w:val="lef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申请材料符合法定条件的,现场核查无误的,许可机关填写行政许可决定审批表,经审定,依法制发《建设工程规划许可证》；申请材料不实、不符合法定条件的,行政许可机关做出《不予受理决定书》。</w:t>
      </w:r>
    </w:p>
    <w:p>
      <w:pPr>
        <w:widowControl w:val="0"/>
        <w:numPr>
          <w:ilvl w:val="0"/>
          <w:numId w:val="0"/>
        </w:numPr>
        <w:wordWrap/>
        <w:adjustRightInd/>
        <w:snapToGrid/>
        <w:ind w:leftChars="0" w:firstLine="420" w:firstLineChars="200"/>
        <w:jc w:val="lef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（五）送达</w:t>
      </w:r>
    </w:p>
    <w:p>
      <w:pPr>
        <w:widowControl w:val="0"/>
        <w:numPr>
          <w:ilvl w:val="0"/>
          <w:numId w:val="0"/>
        </w:numPr>
        <w:wordWrap/>
        <w:adjustRightInd/>
        <w:snapToGrid/>
        <w:ind w:leftChars="0" w:firstLine="420" w:firstLineChars="200"/>
        <w:jc w:val="lef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《建设工程规划许可证》或《不予受理决定书》作出后直接送达当事人或以邮寄的方式送达当事人。</w:t>
      </w: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办理时限</w:t>
      </w:r>
    </w:p>
    <w:p>
      <w:pPr>
        <w:widowControl w:val="0"/>
        <w:numPr>
          <w:ilvl w:val="0"/>
          <w:numId w:val="3"/>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法定时限</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自受理之日起20个工作日（20个工作日内不能作出决定的，经本行政机关负责人批准，可延长10个工作日，并应当将延长期限的理由告知申请人）。</w:t>
      </w:r>
    </w:p>
    <w:p>
      <w:pPr>
        <w:widowControl w:val="0"/>
        <w:numPr>
          <w:ilvl w:val="0"/>
          <w:numId w:val="0"/>
        </w:numPr>
        <w:wordWrap/>
        <w:adjustRightInd/>
        <w:snapToGrid/>
        <w:ind w:leftChars="0" w:firstLine="420" w:firstLineChars="200"/>
        <w:jc w:val="left"/>
        <w:textAlignment w:val="auto"/>
        <w:outlineLvl w:val="9"/>
        <w:rPr>
          <w:rFonts w:hint="eastAsia" w:ascii="宋体" w:hAnsi="宋体" w:cs="宋体"/>
          <w:b w:val="0"/>
          <w:bCs w:val="0"/>
          <w:color w:val="auto"/>
          <w:sz w:val="21"/>
          <w:szCs w:val="21"/>
          <w:lang w:val="en-US" w:eastAsia="zh-CN"/>
        </w:rPr>
      </w:pPr>
      <w:r>
        <w:rPr>
          <w:rFonts w:hint="eastAsia" w:ascii="宋体" w:hAnsi="宋体" w:cs="宋体"/>
          <w:b w:val="0"/>
          <w:bCs w:val="0"/>
          <w:sz w:val="21"/>
          <w:szCs w:val="21"/>
          <w:lang w:val="en-US" w:eastAsia="zh-CN"/>
        </w:rPr>
        <w:t>（二</w:t>
      </w:r>
      <w:r>
        <w:rPr>
          <w:rFonts w:hint="eastAsia" w:ascii="宋体" w:hAnsi="宋体" w:cs="宋体"/>
          <w:b w:val="0"/>
          <w:bCs w:val="0"/>
          <w:color w:val="auto"/>
          <w:sz w:val="21"/>
          <w:szCs w:val="21"/>
          <w:lang w:val="en-US" w:eastAsia="zh-CN"/>
        </w:rPr>
        <w:t xml:space="preserve">）承诺时限 </w:t>
      </w:r>
    </w:p>
    <w:p>
      <w:pPr>
        <w:ind w:firstLine="420" w:firstLineChars="200"/>
        <w:jc w:val="left"/>
        <w:rPr>
          <w:rFonts w:hint="eastAsia" w:ascii="宋体" w:hAnsi="宋体" w:cs="宋体"/>
          <w:color w:val="auto"/>
          <w:szCs w:val="21"/>
        </w:rPr>
      </w:pPr>
      <w:r>
        <w:rPr>
          <w:rFonts w:hint="eastAsia" w:ascii="宋体" w:hAnsi="宋体" w:cs="宋体"/>
          <w:color w:val="auto"/>
          <w:szCs w:val="21"/>
        </w:rPr>
        <w:t>自受理之日起</w:t>
      </w:r>
      <w:r>
        <w:rPr>
          <w:rFonts w:hint="eastAsia" w:ascii="宋体" w:hAnsi="宋体" w:cs="宋体"/>
          <w:color w:val="auto"/>
          <w:szCs w:val="21"/>
          <w:lang w:val="en-US" w:eastAsia="zh-CN"/>
        </w:rPr>
        <w:t>4</w:t>
      </w:r>
      <w:bookmarkStart w:id="0" w:name="_GoBack"/>
      <w:bookmarkEnd w:id="0"/>
      <w:r>
        <w:rPr>
          <w:rFonts w:hint="eastAsia" w:ascii="宋体" w:hAnsi="宋体" w:cs="宋体"/>
          <w:color w:val="auto"/>
          <w:szCs w:val="21"/>
        </w:rPr>
        <w:t>个工作日（承诺时间不包含特殊环节时限，例如专家论证、专家评审、公示、现场踏勘等所需要的时间）。</w:t>
      </w: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收费依据及标准</w:t>
      </w:r>
    </w:p>
    <w:p>
      <w:pPr>
        <w:widowControl w:val="0"/>
        <w:numPr>
          <w:ilvl w:val="0"/>
          <w:numId w:val="0"/>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无</w:t>
      </w: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结果送达</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color w:val="auto"/>
          <w:szCs w:val="21"/>
        </w:rPr>
        <w:t>直接送达或邮递送达</w:t>
      </w:r>
      <w:r>
        <w:rPr>
          <w:rFonts w:hint="eastAsia" w:ascii="宋体" w:hAnsi="宋体" w:cs="宋体"/>
          <w:color w:val="auto"/>
          <w:szCs w:val="21"/>
          <w:lang w:eastAsia="zh-CN"/>
        </w:rPr>
        <w:t>。</w:t>
      </w: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咨询方式、投诉方式</w:t>
      </w:r>
    </w:p>
    <w:p>
      <w:pPr>
        <w:widowControl w:val="0"/>
        <w:numPr>
          <w:ilvl w:val="0"/>
          <w:numId w:val="4"/>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现场咨询：平顶山市行政审批服务中心五楼规划业务窗口</w:t>
      </w:r>
    </w:p>
    <w:p>
      <w:pPr>
        <w:widowControl w:val="0"/>
        <w:numPr>
          <w:ilvl w:val="0"/>
          <w:numId w:val="4"/>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电话咨询：0375</w:t>
      </w: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2692186</w:t>
      </w:r>
    </w:p>
    <w:p>
      <w:pPr>
        <w:widowControl w:val="0"/>
        <w:numPr>
          <w:ilvl w:val="0"/>
          <w:numId w:val="4"/>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现场监督投诉：平顶山市行政审批服务中心督查科</w:t>
      </w:r>
    </w:p>
    <w:p>
      <w:pPr>
        <w:widowControl w:val="0"/>
        <w:numPr>
          <w:ilvl w:val="0"/>
          <w:numId w:val="4"/>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电话监督投诉</w:t>
      </w:r>
      <w:r>
        <w:rPr>
          <w:rFonts w:hint="eastAsia" w:ascii="宋体" w:hAnsi="宋体" w:cs="宋体"/>
          <w:color w:val="auto"/>
          <w:szCs w:val="21"/>
          <w:lang w:eastAsia="zh-CN"/>
        </w:rPr>
        <w:t>：</w:t>
      </w:r>
      <w:r>
        <w:rPr>
          <w:rFonts w:hint="eastAsia" w:ascii="宋体" w:hAnsi="宋体" w:cs="宋体"/>
          <w:color w:val="auto"/>
          <w:szCs w:val="21"/>
          <w:lang w:val="en-US" w:eastAsia="zh-CN"/>
        </w:rPr>
        <w:t xml:space="preserve">0375-2692260  </w:t>
      </w: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办理地址和时间</w:t>
      </w:r>
    </w:p>
    <w:p>
      <w:pPr>
        <w:widowControl w:val="0"/>
        <w:numPr>
          <w:ilvl w:val="0"/>
          <w:numId w:val="0"/>
        </w:numPr>
        <w:wordWrap/>
        <w:adjustRightInd/>
        <w:snapToGrid/>
        <w:ind w:leftChars="0"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办理</w:t>
      </w:r>
      <w:r>
        <w:rPr>
          <w:rFonts w:hint="eastAsia" w:ascii="宋体" w:hAnsi="宋体" w:eastAsia="宋体" w:cs="宋体"/>
          <w:b w:val="0"/>
          <w:bCs w:val="0"/>
          <w:sz w:val="21"/>
          <w:szCs w:val="21"/>
          <w:lang w:val="en-US" w:eastAsia="zh-CN"/>
        </w:rPr>
        <w:t>地址：</w:t>
      </w:r>
      <w:r>
        <w:rPr>
          <w:rFonts w:hint="eastAsia" w:ascii="宋体" w:hAnsi="宋体" w:cs="宋体"/>
          <w:b w:val="0"/>
          <w:bCs w:val="0"/>
          <w:sz w:val="21"/>
          <w:szCs w:val="21"/>
          <w:lang w:val="en-US" w:eastAsia="zh-CN"/>
        </w:rPr>
        <w:t>平顶山市新城区湖滨路街道清风路与兴平路交叉口行政审批服务中心五楼</w:t>
      </w:r>
      <w:r>
        <w:rPr>
          <w:rFonts w:hint="eastAsia" w:ascii="宋体" w:hAnsi="宋体" w:cs="宋体"/>
          <w:color w:val="auto"/>
          <w:sz w:val="21"/>
          <w:szCs w:val="21"/>
          <w:lang w:val="en-US" w:eastAsia="zh-CN"/>
        </w:rPr>
        <w:t>自然资源和</w:t>
      </w:r>
      <w:r>
        <w:rPr>
          <w:rFonts w:hint="eastAsia" w:ascii="宋体" w:hAnsi="宋体" w:eastAsia="宋体" w:cs="宋体"/>
          <w:color w:val="auto"/>
          <w:sz w:val="21"/>
          <w:szCs w:val="21"/>
          <w:lang w:val="en-US" w:eastAsia="zh-CN"/>
        </w:rPr>
        <w:t>规划</w:t>
      </w:r>
      <w:r>
        <w:rPr>
          <w:rFonts w:hint="eastAsia" w:ascii="宋体" w:hAnsi="宋体" w:cs="宋体"/>
          <w:color w:val="auto"/>
          <w:sz w:val="21"/>
          <w:szCs w:val="21"/>
          <w:lang w:val="en-US" w:eastAsia="zh-CN"/>
        </w:rPr>
        <w:t>局</w:t>
      </w:r>
      <w:r>
        <w:rPr>
          <w:rFonts w:hint="eastAsia" w:ascii="宋体" w:hAnsi="宋体" w:eastAsia="宋体" w:cs="宋体"/>
          <w:color w:val="auto"/>
          <w:sz w:val="21"/>
          <w:szCs w:val="21"/>
          <w:lang w:val="en-US" w:eastAsia="zh-CN"/>
        </w:rPr>
        <w:t>业务窗口</w:t>
      </w:r>
    </w:p>
    <w:p>
      <w:pPr>
        <w:widowControl w:val="0"/>
        <w:numPr>
          <w:ilvl w:val="0"/>
          <w:numId w:val="0"/>
        </w:numPr>
        <w:wordWrap/>
        <w:adjustRightInd/>
        <w:snapToGrid/>
        <w:ind w:leftChars="0"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时间：周一至周五 上午9:00-12:00 下午1</w:t>
      </w:r>
      <w:r>
        <w:rPr>
          <w:rFonts w:hint="eastAsia" w:ascii="宋体" w:hAnsi="宋体" w:eastAsia="宋体" w:cs="宋体"/>
          <w:b w:val="0"/>
          <w:bCs w:val="0"/>
          <w:color w:val="auto"/>
          <w:sz w:val="21"/>
          <w:szCs w:val="21"/>
          <w:lang w:val="en-US" w:eastAsia="zh-CN"/>
        </w:rPr>
        <w:t>3:00-17:00</w:t>
      </w:r>
      <w:r>
        <w:rPr>
          <w:rFonts w:hint="eastAsia" w:ascii="宋体" w:hAnsi="宋体" w:eastAsia="宋体" w:cs="宋体"/>
          <w:color w:val="auto"/>
          <w:spacing w:val="-11"/>
          <w:sz w:val="21"/>
          <w:szCs w:val="21"/>
          <w:lang w:val="en-US" w:eastAsia="zh-CN"/>
        </w:rPr>
        <w:t>（</w:t>
      </w:r>
      <w:r>
        <w:rPr>
          <w:rFonts w:hint="eastAsia" w:ascii="宋体" w:hAnsi="宋体" w:cs="宋体"/>
          <w:color w:val="auto"/>
          <w:spacing w:val="-11"/>
          <w:sz w:val="21"/>
          <w:szCs w:val="21"/>
          <w:lang w:val="en-US" w:eastAsia="zh-CN"/>
        </w:rPr>
        <w:t>法定节假日除外</w:t>
      </w:r>
      <w:r>
        <w:rPr>
          <w:rFonts w:hint="eastAsia" w:ascii="宋体" w:hAnsi="宋体" w:eastAsia="宋体" w:cs="宋体"/>
          <w:color w:val="auto"/>
          <w:spacing w:val="-11"/>
          <w:sz w:val="21"/>
          <w:szCs w:val="21"/>
          <w:lang w:val="en-US" w:eastAsia="zh-CN"/>
        </w:rPr>
        <w:t>）</w:t>
      </w: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办理进程和结果查询</w:t>
      </w:r>
    </w:p>
    <w:p>
      <w:pPr>
        <w:widowControl w:val="0"/>
        <w:numPr>
          <w:ilvl w:val="0"/>
          <w:numId w:val="0"/>
        </w:numPr>
        <w:wordWrap/>
        <w:adjustRightInd/>
        <w:snapToGrid/>
        <w:ind w:left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（一）</w:t>
      </w:r>
      <w:r>
        <w:rPr>
          <w:rFonts w:hint="eastAsia" w:ascii="宋体" w:hAnsi="宋体" w:eastAsia="宋体" w:cs="宋体"/>
          <w:b w:val="0"/>
          <w:bCs w:val="0"/>
          <w:sz w:val="21"/>
          <w:szCs w:val="21"/>
          <w:lang w:val="en-US" w:eastAsia="zh-CN"/>
        </w:rPr>
        <w:t>办理进程查询方式</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现场查询</w:t>
      </w:r>
      <w:r>
        <w:rPr>
          <w:rFonts w:hint="eastAsia" w:ascii="宋体" w:hAnsi="宋体" w:cs="宋体"/>
          <w:b w:val="0"/>
          <w:bCs w:val="0"/>
          <w:sz w:val="21"/>
          <w:szCs w:val="21"/>
          <w:lang w:val="en-US" w:eastAsia="zh-CN"/>
        </w:rPr>
        <w:t>：平顶山市行政审批服务中心五楼规划业务窗口</w:t>
      </w:r>
    </w:p>
    <w:p>
      <w:pPr>
        <w:widowControl w:val="0"/>
        <w:numPr>
          <w:ilvl w:val="0"/>
          <w:numId w:val="0"/>
        </w:numPr>
        <w:wordWrap/>
        <w:adjustRightInd/>
        <w:snapToGrid/>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2.电话查询：</w:t>
      </w:r>
      <w:r>
        <w:rPr>
          <w:rFonts w:hint="eastAsia" w:ascii="宋体" w:hAnsi="宋体" w:eastAsia="宋体" w:cs="宋体"/>
          <w:b w:val="0"/>
          <w:bCs w:val="0"/>
          <w:sz w:val="21"/>
          <w:szCs w:val="21"/>
          <w:lang w:val="en-US" w:eastAsia="zh-CN"/>
        </w:rPr>
        <w:t>0375－2692186</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lang w:val="en-US" w:eastAsia="zh-CN"/>
        </w:rPr>
        <w:t>网上查询</w:t>
      </w:r>
      <w:r>
        <w:rPr>
          <w:rFonts w:hint="eastAsia" w:ascii="宋体" w:hAnsi="宋体" w:cs="宋体"/>
          <w:b w:val="0"/>
          <w:bCs w:val="0"/>
          <w:sz w:val="21"/>
          <w:szCs w:val="21"/>
          <w:lang w:val="en-US" w:eastAsia="zh-CN"/>
        </w:rPr>
        <w:t>：</w:t>
      </w:r>
      <w:r>
        <w:rPr>
          <w:rFonts w:hint="eastAsia" w:ascii="宋体" w:hAnsi="宋体" w:cs="宋体"/>
          <w:b w:val="0"/>
          <w:bCs w:val="0"/>
          <w:sz w:val="21"/>
          <w:szCs w:val="21"/>
          <w:lang w:val="en-US" w:eastAsia="zh-CN"/>
        </w:rPr>
        <w:fldChar w:fldCharType="begin"/>
      </w:r>
      <w:r>
        <w:rPr>
          <w:rFonts w:hint="eastAsia" w:ascii="宋体" w:hAnsi="宋体" w:cs="宋体"/>
          <w:b w:val="0"/>
          <w:bCs w:val="0"/>
          <w:sz w:val="21"/>
          <w:szCs w:val="21"/>
          <w:lang w:val="en-US" w:eastAsia="zh-CN"/>
        </w:rPr>
        <w:instrText xml:space="preserve"> HYPERLINK "http://www.hnzwfw。gov.cn" </w:instrText>
      </w:r>
      <w:r>
        <w:rPr>
          <w:rFonts w:hint="eastAsia" w:ascii="宋体" w:hAnsi="宋体" w:cs="宋体"/>
          <w:b w:val="0"/>
          <w:bCs w:val="0"/>
          <w:sz w:val="21"/>
          <w:szCs w:val="21"/>
          <w:lang w:val="en-US" w:eastAsia="zh-CN"/>
        </w:rPr>
        <w:fldChar w:fldCharType="separate"/>
      </w:r>
      <w:r>
        <w:rPr>
          <w:rStyle w:val="9"/>
          <w:rFonts w:hint="eastAsia" w:ascii="宋体" w:hAnsi="宋体" w:cs="宋体"/>
          <w:b w:val="0"/>
          <w:bCs w:val="0"/>
          <w:sz w:val="21"/>
          <w:szCs w:val="21"/>
          <w:lang w:val="en-US" w:eastAsia="zh-CN"/>
        </w:rPr>
        <w:t>http://www.hnzwfw.gov.cn</w:t>
      </w:r>
      <w:r>
        <w:rPr>
          <w:rFonts w:hint="eastAsia" w:ascii="宋体" w:hAnsi="宋体" w:cs="宋体"/>
          <w:b w:val="0"/>
          <w:bCs w:val="0"/>
          <w:sz w:val="21"/>
          <w:szCs w:val="21"/>
          <w:lang w:val="en-US" w:eastAsia="zh-CN"/>
        </w:rPr>
        <w:fldChar w:fldCharType="end"/>
      </w:r>
    </w:p>
    <w:p>
      <w:pPr>
        <w:widowControl w:val="0"/>
        <w:numPr>
          <w:ilvl w:val="0"/>
          <w:numId w:val="0"/>
        </w:numPr>
        <w:wordWrap/>
        <w:adjustRightInd/>
        <w:snapToGrid/>
        <w:ind w:left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（二）</w:t>
      </w:r>
      <w:r>
        <w:rPr>
          <w:rFonts w:hint="eastAsia" w:ascii="宋体" w:hAnsi="宋体" w:eastAsia="宋体" w:cs="宋体"/>
          <w:b w:val="0"/>
          <w:bCs w:val="0"/>
          <w:sz w:val="21"/>
          <w:szCs w:val="21"/>
          <w:lang w:val="en-US" w:eastAsia="zh-CN"/>
        </w:rPr>
        <w:t>结果公开查询方式</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现场查询</w:t>
      </w:r>
      <w:r>
        <w:rPr>
          <w:rFonts w:hint="eastAsia" w:ascii="宋体" w:hAnsi="宋体" w:cs="宋体"/>
          <w:b w:val="0"/>
          <w:bCs w:val="0"/>
          <w:sz w:val="21"/>
          <w:szCs w:val="21"/>
          <w:lang w:val="en-US" w:eastAsia="zh-CN"/>
        </w:rPr>
        <w:t>：平顶山市行政审批服务中心五楼规划业务窗口</w:t>
      </w:r>
    </w:p>
    <w:p>
      <w:pPr>
        <w:widowControl w:val="0"/>
        <w:numPr>
          <w:ilvl w:val="0"/>
          <w:numId w:val="0"/>
        </w:numPr>
        <w:wordWrap/>
        <w:adjustRightInd/>
        <w:snapToGrid/>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2.电话查询：</w:t>
      </w:r>
      <w:r>
        <w:rPr>
          <w:rFonts w:hint="eastAsia" w:ascii="宋体" w:hAnsi="宋体" w:eastAsia="宋体" w:cs="宋体"/>
          <w:b w:val="0"/>
          <w:bCs w:val="0"/>
          <w:sz w:val="21"/>
          <w:szCs w:val="21"/>
          <w:lang w:val="en-US" w:eastAsia="zh-CN"/>
        </w:rPr>
        <w:t>0375－2692186</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lang w:val="en-US" w:eastAsia="zh-CN"/>
        </w:rPr>
        <w:t>网上查询</w:t>
      </w:r>
      <w:r>
        <w:rPr>
          <w:rFonts w:hint="eastAsia" w:ascii="宋体" w:hAnsi="宋体" w:cs="宋体"/>
          <w:b w:val="0"/>
          <w:bCs w:val="0"/>
          <w:sz w:val="21"/>
          <w:szCs w:val="21"/>
          <w:lang w:val="en-US" w:eastAsia="zh-CN"/>
        </w:rPr>
        <w:t>：</w:t>
      </w:r>
      <w:r>
        <w:rPr>
          <w:rFonts w:hint="eastAsia" w:ascii="宋体" w:hAnsi="宋体" w:cs="宋体"/>
          <w:b w:val="0"/>
          <w:bCs w:val="0"/>
          <w:sz w:val="21"/>
          <w:szCs w:val="21"/>
          <w:lang w:val="en-US" w:eastAsia="zh-CN"/>
        </w:rPr>
        <w:fldChar w:fldCharType="begin"/>
      </w:r>
      <w:r>
        <w:rPr>
          <w:rFonts w:hint="eastAsia" w:ascii="宋体" w:hAnsi="宋体" w:cs="宋体"/>
          <w:b w:val="0"/>
          <w:bCs w:val="0"/>
          <w:sz w:val="21"/>
          <w:szCs w:val="21"/>
          <w:lang w:val="en-US" w:eastAsia="zh-CN"/>
        </w:rPr>
        <w:instrText xml:space="preserve"> HYPERLINK "http://www.hnzwfw。gov.cn" </w:instrText>
      </w:r>
      <w:r>
        <w:rPr>
          <w:rFonts w:hint="eastAsia" w:ascii="宋体" w:hAnsi="宋体" w:cs="宋体"/>
          <w:b w:val="0"/>
          <w:bCs w:val="0"/>
          <w:sz w:val="21"/>
          <w:szCs w:val="21"/>
          <w:lang w:val="en-US" w:eastAsia="zh-CN"/>
        </w:rPr>
        <w:fldChar w:fldCharType="separate"/>
      </w:r>
      <w:r>
        <w:rPr>
          <w:rStyle w:val="9"/>
          <w:rFonts w:hint="eastAsia" w:ascii="宋体" w:hAnsi="宋体" w:cs="宋体"/>
          <w:b w:val="0"/>
          <w:bCs w:val="0"/>
          <w:sz w:val="21"/>
          <w:szCs w:val="21"/>
          <w:lang w:val="en-US" w:eastAsia="zh-CN"/>
        </w:rPr>
        <w:t>http://www.hnzwfw.gov.cn</w:t>
      </w:r>
      <w:r>
        <w:rPr>
          <w:rFonts w:hint="eastAsia" w:ascii="宋体" w:hAnsi="宋体" w:cs="宋体"/>
          <w:b w:val="0"/>
          <w:bCs w:val="0"/>
          <w:sz w:val="21"/>
          <w:szCs w:val="21"/>
          <w:lang w:val="en-US" w:eastAsia="zh-CN"/>
        </w:rPr>
        <w:fldChar w:fldCharType="end"/>
      </w:r>
    </w:p>
    <w:sectPr>
      <w:headerReference r:id="rId3" w:type="default"/>
      <w:footerReference r:id="rId4" w:type="default"/>
      <w:pgSz w:w="11906" w:h="16838"/>
      <w:pgMar w:top="2098" w:right="1474" w:bottom="1984" w:left="1587" w:header="851" w:footer="992" w:gutter="0"/>
      <w:pgNumType w:fmt="decimal" w:start="17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黑体" w:hAnsi="黑体" w:eastAsia="黑体" w:cs="黑体"/>
        <w:b/>
        <w:bCs/>
        <w:sz w:val="21"/>
        <w:szCs w:val="21"/>
        <w:lang w:val="en-US" w:eastAsia="zh-CN"/>
      </w:rPr>
    </w:pPr>
  </w:p>
  <w:p>
    <w:pPr>
      <w:pStyle w:val="4"/>
      <w:jc w:val="right"/>
      <w:rPr>
        <w:rFonts w:hint="eastAsia" w:ascii="黑体" w:hAnsi="黑体" w:eastAsia="黑体" w:cs="黑体"/>
        <w:b/>
        <w:bCs/>
        <w:sz w:val="21"/>
        <w:szCs w:val="21"/>
        <w:lang w:val="en-US" w:eastAsia="zh-CN"/>
      </w:rPr>
    </w:pPr>
  </w:p>
  <w:p>
    <w:pPr>
      <w:pStyle w:val="4"/>
      <w:jc w:val="right"/>
      <w:rPr>
        <w:rFonts w:hint="eastAsia" w:ascii="黑体" w:hAnsi="黑体" w:eastAsia="黑体" w:cs="黑体"/>
        <w:b/>
        <w:bCs/>
        <w:sz w:val="21"/>
        <w:szCs w:val="21"/>
        <w:lang w:val="en-US" w:eastAsia="zh-CN"/>
      </w:rPr>
    </w:pPr>
  </w:p>
  <w:p>
    <w:pPr>
      <w:pStyle w:val="4"/>
      <w:jc w:val="center"/>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408EE"/>
    <w:multiLevelType w:val="singleLevel"/>
    <w:tmpl w:val="8BB408EE"/>
    <w:lvl w:ilvl="0" w:tentative="0">
      <w:start w:val="1"/>
      <w:numFmt w:val="chineseCounting"/>
      <w:suff w:val="nothing"/>
      <w:lvlText w:val="（%1）"/>
      <w:lvlJc w:val="left"/>
      <w:rPr>
        <w:rFonts w:hint="eastAsia"/>
      </w:rPr>
    </w:lvl>
  </w:abstractNum>
  <w:abstractNum w:abstractNumId="1">
    <w:nsid w:val="A20FB4B8"/>
    <w:multiLevelType w:val="singleLevel"/>
    <w:tmpl w:val="A20FB4B8"/>
    <w:lvl w:ilvl="0" w:tentative="0">
      <w:start w:val="1"/>
      <w:numFmt w:val="chineseCounting"/>
      <w:suff w:val="nothing"/>
      <w:lvlText w:val="（%1）"/>
      <w:lvlJc w:val="left"/>
      <w:rPr>
        <w:rFonts w:hint="eastAsia"/>
      </w:rPr>
    </w:lvl>
  </w:abstractNum>
  <w:abstractNum w:abstractNumId="2">
    <w:nsid w:val="FB2CE5E2"/>
    <w:multiLevelType w:val="singleLevel"/>
    <w:tmpl w:val="FB2CE5E2"/>
    <w:lvl w:ilvl="0" w:tentative="0">
      <w:start w:val="1"/>
      <w:numFmt w:val="chineseCounting"/>
      <w:suff w:val="nothing"/>
      <w:lvlText w:val="（%1）"/>
      <w:lvlJc w:val="left"/>
      <w:rPr>
        <w:rFonts w:hint="eastAsia"/>
      </w:rPr>
    </w:lvl>
  </w:abstractNum>
  <w:abstractNum w:abstractNumId="3">
    <w:nsid w:val="1B56132B"/>
    <w:multiLevelType w:val="singleLevel"/>
    <w:tmpl w:val="1B56132B"/>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7061E"/>
    <w:rsid w:val="036614B6"/>
    <w:rsid w:val="05E95AAD"/>
    <w:rsid w:val="067D61E5"/>
    <w:rsid w:val="0CF32B52"/>
    <w:rsid w:val="0E98755D"/>
    <w:rsid w:val="10186304"/>
    <w:rsid w:val="1B97666D"/>
    <w:rsid w:val="217216D2"/>
    <w:rsid w:val="23D47986"/>
    <w:rsid w:val="246938F0"/>
    <w:rsid w:val="2AD20360"/>
    <w:rsid w:val="32F63D60"/>
    <w:rsid w:val="3A4C7114"/>
    <w:rsid w:val="46382A93"/>
    <w:rsid w:val="465173FF"/>
    <w:rsid w:val="4C9B7EE1"/>
    <w:rsid w:val="4D27061E"/>
    <w:rsid w:val="4F7A0D60"/>
    <w:rsid w:val="530725F5"/>
    <w:rsid w:val="548B3D6C"/>
    <w:rsid w:val="554866E8"/>
    <w:rsid w:val="556D6DDC"/>
    <w:rsid w:val="55DE5728"/>
    <w:rsid w:val="5B1E1AC1"/>
    <w:rsid w:val="609F7504"/>
    <w:rsid w:val="60FC4F1E"/>
    <w:rsid w:val="620C4260"/>
    <w:rsid w:val="624469C5"/>
    <w:rsid w:val="72226121"/>
    <w:rsid w:val="722F31BC"/>
    <w:rsid w:val="73C25285"/>
    <w:rsid w:val="740950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jc w:val="center"/>
      <w:outlineLvl w:val="0"/>
    </w:pPr>
    <w:rPr>
      <w:rFonts w:ascii="Calibri" w:hAnsi="Calibri" w:eastAsia="宋体"/>
      <w:b/>
      <w:kern w:val="2"/>
      <w:sz w:val="36"/>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rFonts w:ascii="Calibri" w:hAnsi="Calibri" w:eastAsia="宋体" w:cs="Times New Roman"/>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2018-10-19T01:46:00Z</dcterms:created>
  <dc:creator>Administrator</dc:creator>
  <cp:lastModifiedBy>闻启明</cp:lastModifiedBy>
  <cp:lastPrinted>2018-12-21T08:23:00Z</cp:lastPrinted>
  <dcterms:modified xsi:type="dcterms:W3CDTF">2021-09-22T08:56:56Z</dcterms:modified>
  <dc:title>FWZN-00545217XXK12859006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51B2557A3FD14374AE691891C12C2CE7</vt:lpwstr>
  </property>
</Properties>
</file>