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36"/>
          <w:szCs w:val="36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320" w:firstLineChars="1800"/>
        <w:jc w:val="right"/>
        <w:textAlignment w:val="auto"/>
        <w:rPr>
          <w:rFonts w:hint="eastAsia" w:ascii="仿宋_GB2312" w:hAnsi="仿宋_GB2312" w:eastAsia="仿宋_GB2312"/>
          <w:color w:val="auto"/>
          <w:sz w:val="24"/>
        </w:rPr>
      </w:pPr>
      <w:r>
        <w:rPr>
          <w:rFonts w:hint="eastAsia" w:ascii="仿宋_GB2312" w:hAnsi="仿宋_GB2312" w:eastAsia="仿宋_GB2312"/>
          <w:color w:val="auto"/>
          <w:sz w:val="24"/>
        </w:rPr>
        <w:t>（    ）文</w:t>
      </w:r>
      <w:r>
        <w:rPr>
          <w:rFonts w:hint="eastAsia" w:ascii="仿宋_GB2312" w:hAnsi="仿宋_GB2312" w:eastAsia="仿宋_GB2312"/>
          <w:bCs/>
          <w:color w:val="auto"/>
          <w:kern w:val="0"/>
          <w:sz w:val="24"/>
          <w:lang w:eastAsia="zh-CN"/>
        </w:rPr>
        <w:t>综</w:t>
      </w:r>
      <w:r>
        <w:rPr>
          <w:rFonts w:hint="eastAsia" w:ascii="仿宋_GB2312" w:hAnsi="仿宋_GB2312" w:eastAsia="仿宋_GB2312"/>
          <w:color w:val="auto"/>
          <w:sz w:val="24"/>
        </w:rPr>
        <w:t>罚字〔    〕  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right="-78" w:rightChars="-37"/>
        <w:textAlignment w:val="auto"/>
        <w:rPr>
          <w:rFonts w:hint="eastAsia" w:ascii="仿宋_GB2312" w:hAnsi="宋体" w:eastAsia="仿宋_GB2312"/>
          <w:color w:val="auto"/>
          <w:sz w:val="24"/>
          <w:u w:val="single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当事人：</w:t>
      </w:r>
      <w:r>
        <w:rPr>
          <w:rFonts w:hint="eastAsia" w:ascii="仿宋_GB2312" w:eastAsia="仿宋_GB2312"/>
          <w:color w:val="auto"/>
          <w:sz w:val="24"/>
          <w:szCs w:val="32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right="-78" w:rightChars="-37"/>
        <w:textAlignment w:val="auto"/>
        <w:rPr>
          <w:rFonts w:hint="eastAsia" w:ascii="仿宋_GB2312" w:hAnsi="宋体" w:eastAsia="仿宋_GB2312"/>
          <w:color w:val="auto"/>
          <w:sz w:val="24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lang w:eastAsia="zh-CN"/>
        </w:rPr>
        <w:t>证照（证件）名称及编号（号码）</w:t>
      </w:r>
      <w:r>
        <w:rPr>
          <w:rFonts w:hint="eastAsia" w:ascii="仿宋_GB2312" w:hAnsi="宋体" w:eastAsia="仿宋_GB2312"/>
          <w:color w:val="auto"/>
          <w:sz w:val="24"/>
        </w:rPr>
        <w:t>：</w:t>
      </w:r>
      <w:r>
        <w:rPr>
          <w:rFonts w:hint="eastAsia" w:ascii="仿宋_GB2312" w:hAnsi="宋体" w:eastAsia="仿宋_GB2312"/>
          <w:color w:val="auto"/>
          <w:sz w:val="24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              </w:t>
      </w:r>
      <w:r>
        <w:rPr>
          <w:rFonts w:hint="eastAsia" w:ascii="仿宋_GB2312" w:hAnsi="宋体" w:eastAsia="仿宋_GB2312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right="-78" w:rightChars="-37"/>
        <w:textAlignment w:val="auto"/>
        <w:rPr>
          <w:rFonts w:hint="eastAsia" w:ascii="仿宋_GB2312" w:hAnsi="宋体" w:eastAsia="仿宋_GB2312"/>
          <w:color w:val="auto"/>
          <w:sz w:val="24"/>
          <w:u w:val="single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法定代表人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等）</w:t>
      </w:r>
      <w:r>
        <w:rPr>
          <w:rFonts w:hint="eastAsia" w:ascii="仿宋_GB2312" w:hAnsi="宋体" w:eastAsia="仿宋_GB2312"/>
          <w:bCs/>
          <w:color w:val="auto"/>
          <w:sz w:val="24"/>
        </w:rPr>
        <w:t>：</w:t>
      </w:r>
      <w:r>
        <w:rPr>
          <w:rFonts w:hint="eastAsia" w:ascii="仿宋_GB2312" w:eastAsia="仿宋_GB2312"/>
          <w:color w:val="auto"/>
          <w:sz w:val="24"/>
          <w:szCs w:val="32"/>
          <w:u w:val="single"/>
        </w:rPr>
        <w:t xml:space="preserve">                                 </w:t>
      </w:r>
      <w:r>
        <w:rPr>
          <w:rFonts w:hint="eastAsia" w:ascii="仿宋_GB2312" w:eastAsia="仿宋_GB2312"/>
          <w:color w:val="auto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4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right="-78" w:rightChars="-37"/>
        <w:textAlignment w:val="auto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bCs/>
          <w:color w:val="auto"/>
          <w:spacing w:val="0"/>
          <w:kern w:val="0"/>
          <w:sz w:val="24"/>
        </w:rPr>
        <w:t>住所（住址</w:t>
      </w:r>
      <w:r>
        <w:rPr>
          <w:rFonts w:hint="eastAsia" w:ascii="仿宋_GB2312" w:hAnsi="宋体" w:eastAsia="仿宋_GB2312" w:cs="宋体"/>
          <w:bCs/>
          <w:color w:val="auto"/>
          <w:spacing w:val="0"/>
          <w:kern w:val="0"/>
          <w:sz w:val="24"/>
          <w:lang w:eastAsia="zh-CN"/>
        </w:rPr>
        <w:t>等</w:t>
      </w:r>
      <w:r>
        <w:rPr>
          <w:rFonts w:hint="eastAsia" w:ascii="仿宋_GB2312" w:hAnsi="宋体" w:eastAsia="仿宋_GB2312" w:cs="宋体"/>
          <w:bCs/>
          <w:color w:val="auto"/>
          <w:spacing w:val="0"/>
          <w:kern w:val="0"/>
          <w:sz w:val="24"/>
        </w:rPr>
        <w:t>）</w:t>
      </w:r>
      <w:r>
        <w:rPr>
          <w:rFonts w:hint="eastAsia" w:ascii="仿宋_GB2312" w:hAnsi="宋体" w:eastAsia="仿宋_GB2312" w:cs="宋体"/>
          <w:bCs/>
          <w:color w:val="auto"/>
          <w:kern w:val="0"/>
          <w:sz w:val="24"/>
        </w:rPr>
        <w:t>：</w:t>
      </w:r>
      <w:r>
        <w:rPr>
          <w:rFonts w:hint="eastAsia" w:ascii="仿宋_GB2312" w:hAnsi="宋体" w:eastAsia="仿宋_GB2312" w:cs="宋体"/>
          <w:bCs/>
          <w:color w:val="auto"/>
          <w:kern w:val="0"/>
          <w:sz w:val="24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auto"/>
          <w:sz w:val="24"/>
          <w:szCs w:val="32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eastAsia="仿宋_GB2312"/>
          <w:color w:val="auto"/>
          <w:sz w:val="24"/>
          <w:szCs w:val="32"/>
          <w:u w:val="single"/>
        </w:rPr>
      </w:pPr>
      <w:r>
        <w:rPr>
          <w:rFonts w:hint="eastAsia" w:ascii="仿宋_GB2312" w:eastAsia="仿宋_GB2312"/>
          <w:color w:val="auto"/>
          <w:sz w:val="24"/>
          <w:szCs w:val="32"/>
        </w:rPr>
        <w:t>（违法事实和证据）</w:t>
      </w:r>
      <w:r>
        <w:rPr>
          <w:rFonts w:hint="eastAsia" w:ascii="仿宋_GB2312" w:eastAsia="仿宋_GB2312"/>
          <w:color w:val="auto"/>
          <w:sz w:val="24"/>
          <w:szCs w:val="32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_GB2312" w:eastAsia="仿宋_GB2312"/>
          <w:color w:val="auto"/>
          <w:sz w:val="24"/>
          <w:szCs w:val="32"/>
          <w:u w:val="single"/>
        </w:rPr>
      </w:pPr>
      <w:r>
        <w:rPr>
          <w:rFonts w:hint="eastAsia" w:ascii="仿宋_GB2312" w:eastAsia="仿宋_GB2312"/>
          <w:color w:val="auto"/>
          <w:sz w:val="24"/>
          <w:szCs w:val="32"/>
          <w:u w:val="single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_GB2312" w:eastAsia="仿宋_GB2312"/>
          <w:color w:val="auto"/>
          <w:sz w:val="24"/>
          <w:szCs w:val="32"/>
          <w:u w:val="single"/>
        </w:rPr>
      </w:pPr>
      <w:r>
        <w:rPr>
          <w:rFonts w:hint="eastAsia" w:ascii="仿宋_GB2312" w:eastAsia="仿宋_GB2312"/>
          <w:color w:val="auto"/>
          <w:sz w:val="24"/>
          <w:szCs w:val="32"/>
          <w:u w:val="single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eastAsia="仿宋_GB2312"/>
          <w:color w:val="auto"/>
          <w:sz w:val="24"/>
          <w:szCs w:val="32"/>
          <w:u w:val="single"/>
        </w:rPr>
      </w:pPr>
      <w:r>
        <w:rPr>
          <w:rFonts w:hint="eastAsia" w:ascii="仿宋_GB2312" w:eastAsia="仿宋_GB2312"/>
          <w:color w:val="auto"/>
          <w:sz w:val="24"/>
          <w:szCs w:val="32"/>
        </w:rPr>
        <w:t>（处罚理由和依据）</w:t>
      </w:r>
      <w:r>
        <w:rPr>
          <w:rFonts w:hint="eastAsia" w:ascii="仿宋_GB2312" w:eastAsia="仿宋_GB2312"/>
          <w:color w:val="auto"/>
          <w:sz w:val="24"/>
          <w:szCs w:val="32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_GB2312" w:eastAsia="仿宋_GB2312"/>
          <w:color w:val="auto"/>
          <w:sz w:val="24"/>
          <w:szCs w:val="32"/>
          <w:u w:val="single"/>
        </w:rPr>
      </w:pPr>
      <w:r>
        <w:rPr>
          <w:rFonts w:hint="eastAsia" w:ascii="仿宋_GB2312" w:eastAsia="仿宋_GB2312"/>
          <w:color w:val="auto"/>
          <w:sz w:val="24"/>
          <w:szCs w:val="32"/>
          <w:u w:val="single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_GB2312" w:eastAsia="仿宋_GB2312"/>
          <w:color w:val="auto"/>
          <w:sz w:val="24"/>
          <w:szCs w:val="32"/>
          <w:u w:val="single"/>
        </w:rPr>
      </w:pPr>
      <w:r>
        <w:rPr>
          <w:rFonts w:hint="eastAsia" w:ascii="仿宋_GB2312" w:eastAsia="仿宋_GB2312"/>
          <w:color w:val="auto"/>
          <w:sz w:val="24"/>
          <w:szCs w:val="32"/>
          <w:u w:val="single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eastAsia="仿宋_GB2312"/>
          <w:color w:val="auto"/>
          <w:sz w:val="24"/>
          <w:szCs w:val="32"/>
          <w:u w:val="single"/>
        </w:rPr>
      </w:pPr>
      <w:r>
        <w:rPr>
          <w:rFonts w:hint="eastAsia" w:ascii="仿宋_GB2312" w:eastAsia="仿宋_GB2312"/>
          <w:color w:val="auto"/>
          <w:sz w:val="24"/>
          <w:szCs w:val="32"/>
        </w:rPr>
        <w:t>（处罚内容）</w:t>
      </w:r>
      <w:r>
        <w:rPr>
          <w:rFonts w:hint="eastAsia" w:ascii="仿宋_GB2312" w:eastAsia="仿宋_GB2312"/>
          <w:color w:val="auto"/>
          <w:sz w:val="24"/>
          <w:szCs w:val="32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_GB2312" w:eastAsia="仿宋_GB2312"/>
          <w:color w:val="auto"/>
          <w:sz w:val="24"/>
          <w:szCs w:val="32"/>
          <w:u w:val="single"/>
        </w:rPr>
      </w:pPr>
      <w:r>
        <w:rPr>
          <w:rFonts w:hint="eastAsia" w:ascii="仿宋_GB2312" w:eastAsia="仿宋_GB2312"/>
          <w:color w:val="auto"/>
          <w:sz w:val="24"/>
          <w:szCs w:val="32"/>
          <w:u w:val="single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-78" w:rightChars="-37" w:firstLine="480" w:firstLineChars="200"/>
        <w:textAlignment w:val="auto"/>
        <w:rPr>
          <w:rFonts w:hint="eastAsia" w:ascii="仿宋_GB2312" w:hAnsi="宋体" w:eastAsia="仿宋_GB2312"/>
          <w:bCs/>
          <w:color w:val="auto"/>
          <w:sz w:val="24"/>
          <w:u w:val="single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你（单位）</w:t>
      </w:r>
      <w:r>
        <w:rPr>
          <w:rFonts w:hint="eastAsia" w:ascii="仿宋_GB2312" w:hAnsi="宋体" w:eastAsia="仿宋_GB2312"/>
          <w:color w:val="auto"/>
          <w:sz w:val="24"/>
        </w:rPr>
        <w:t>应当自收到本决定书之日起十五日内，到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-78" w:rightChars="-37"/>
        <w:textAlignment w:val="auto"/>
        <w:rPr>
          <w:rFonts w:hint="eastAsia" w:ascii="仿宋_GB2312" w:hAnsi="宋体" w:eastAsia="仿宋_GB2312"/>
          <w:bCs/>
          <w:color w:val="auto"/>
          <w:sz w:val="24"/>
          <w:u w:val="single"/>
        </w:rPr>
      </w:pP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            </w:t>
      </w:r>
      <w:r>
        <w:rPr>
          <w:rFonts w:hint="eastAsia" w:ascii="仿宋_GB2312" w:hAnsi="宋体" w:eastAsia="仿宋_GB2312"/>
          <w:color w:val="auto"/>
          <w:sz w:val="24"/>
        </w:rPr>
        <w:t>银行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或者通过电子支付系统</w:t>
      </w:r>
      <w:r>
        <w:rPr>
          <w:rFonts w:hint="eastAsia" w:ascii="仿宋_GB2312" w:hAnsi="宋体" w:eastAsia="仿宋_GB2312"/>
          <w:color w:val="auto"/>
          <w:sz w:val="24"/>
        </w:rPr>
        <w:t>缴纳罚款。</w:t>
      </w:r>
      <w:r>
        <w:rPr>
          <w:rFonts w:hint="eastAsia" w:ascii="仿宋_GB2312" w:hAnsi="宋体" w:eastAsia="仿宋_GB2312"/>
          <w:color w:val="auto"/>
          <w:sz w:val="24"/>
          <w:lang w:val="zh-CN"/>
        </w:rPr>
        <w:t>逾期不缴纳罚款的，依据《中华人民共和国行政处罚法》第七十二条第（一）项的规定，本机关可每日按罚款数额的百分之三加处罚款</w:t>
      </w:r>
      <w:r>
        <w:rPr>
          <w:rFonts w:hint="eastAsia" w:ascii="仿宋_GB2312" w:hAnsi="仿宋_GB2312" w:eastAsia="仿宋_GB2312" w:cs="仿宋_GB2312"/>
          <w:color w:val="auto"/>
          <w:sz w:val="24"/>
          <w:lang w:val="zh-CN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4"/>
          <w:lang w:val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24"/>
        </w:rPr>
        <w:t>依据《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中华人民共和国行政强制法</w:t>
      </w:r>
      <w:r>
        <w:rPr>
          <w:rFonts w:hint="eastAsia" w:ascii="仿宋_GB2312" w:hAnsi="仿宋_GB2312" w:eastAsia="仿宋_GB2312" w:cs="仿宋_GB2312"/>
          <w:color w:val="auto"/>
          <w:sz w:val="24"/>
        </w:rPr>
        <w:t>》第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24"/>
        </w:rPr>
        <w:t>十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24"/>
        </w:rPr>
        <w:t>条的规定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4"/>
          <w:lang w:val="zh-CN"/>
        </w:rPr>
        <w:t>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-78" w:rightChars="-37" w:firstLine="480" w:firstLineChars="200"/>
        <w:textAlignment w:val="auto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你（单位）</w:t>
      </w:r>
      <w:r>
        <w:rPr>
          <w:rFonts w:hint="eastAsia" w:ascii="仿宋_GB2312" w:hAnsi="宋体" w:eastAsia="仿宋_GB2312"/>
          <w:color w:val="auto"/>
          <w:sz w:val="24"/>
        </w:rPr>
        <w:t>如对本处罚决定不服，可在收到本决定书之日起六十日内向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-80" w:leftChars="-38" w:right="-78" w:rightChars="-37"/>
        <w:textAlignment w:val="auto"/>
        <w:rPr>
          <w:rFonts w:hint="eastAsia" w:ascii="仿宋_GB2312" w:hAnsi="宋体" w:eastAsia="仿宋_GB2312"/>
          <w:color w:val="auto"/>
          <w:sz w:val="24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color w:val="auto"/>
          <w:sz w:val="24"/>
          <w:u w:val="none"/>
          <w:lang w:eastAsia="zh-CN"/>
        </w:rPr>
        <w:t>或者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      </w:t>
      </w:r>
      <w:r>
        <w:rPr>
          <w:rFonts w:hint="eastAsia" w:ascii="仿宋_GB2312" w:hAnsi="宋体" w:eastAsia="仿宋_GB2312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</w:rPr>
        <w:t>申请行政复议，也可在收到本决定书之日起六个月内直接向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         </w:t>
      </w:r>
      <w:r>
        <w:rPr>
          <w:rFonts w:hint="eastAsia" w:ascii="仿宋_GB2312" w:hAnsi="宋体" w:eastAsia="仿宋_GB2312"/>
          <w:bCs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-80" w:leftChars="-38" w:right="-78" w:rightChars="-37"/>
        <w:textAlignment w:val="auto"/>
        <w:rPr>
          <w:rFonts w:hint="eastAsia" w:ascii="仿宋_GB2312" w:hAnsi="宋体" w:eastAsia="仿宋_GB2312"/>
          <w:bCs/>
          <w:color w:val="auto"/>
          <w:sz w:val="24"/>
          <w:u w:val="single"/>
        </w:rPr>
      </w:pPr>
      <w:r>
        <w:rPr>
          <w:rFonts w:hint="eastAsia" w:ascii="仿宋_GB2312" w:hAnsi="宋体" w:eastAsia="仿宋_GB2312"/>
          <w:color w:val="auto"/>
          <w:sz w:val="24"/>
        </w:rPr>
        <w:t>人民法院提起行政诉讼。行政复议或者行政诉讼期间，本处罚决定不停止执行。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-80" w:leftChars="-38" w:right="-78" w:rightChars="-37" w:firstLine="480" w:firstLineChars="200"/>
        <w:textAlignment w:val="auto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逾期不申请行政复议或者提起行政诉讼，又不履行本处罚决定，经催告后仍未履行义务的，依据《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中华人民共和国行政强制法</w:t>
      </w:r>
      <w:r>
        <w:rPr>
          <w:rFonts w:hint="eastAsia" w:ascii="仿宋_GB2312" w:hAnsi="宋体" w:eastAsia="仿宋_GB2312"/>
          <w:color w:val="auto"/>
          <w:sz w:val="24"/>
        </w:rPr>
        <w:t>》第五十四条的规定，本机关可申请人民法院强制执行。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-80" w:leftChars="-38" w:right="-78" w:rightChars="-37" w:firstLine="480" w:firstLineChars="200"/>
        <w:textAlignment w:val="auto"/>
        <w:rPr>
          <w:rFonts w:hint="eastAsia" w:ascii="仿宋_GB2312" w:hAnsi="宋体" w:eastAsia="仿宋_GB2312"/>
          <w:color w:val="auto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80" w:leftChars="-38" w:right="-78" w:rightChars="-37" w:firstLine="480" w:firstLineChars="200"/>
        <w:textAlignment w:val="auto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 xml:space="preserve">                                            行政处罚实施机关（印章）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80" w:leftChars="-38" w:right="-78" w:rightChars="-37" w:firstLine="480" w:firstLineChars="200"/>
        <w:textAlignment w:val="auto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 xml:space="preserve">                                                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24"/>
        </w:rPr>
        <w:t xml:space="preserve">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80" w:leftChars="-38" w:right="-78" w:rightChars="-37" w:firstLine="480" w:firstLineChars="200"/>
        <w:textAlignment w:val="auto"/>
      </w:pPr>
      <w:r>
        <w:rPr>
          <w:rFonts w:hint="eastAsia" w:ascii="仿宋_GB2312" w:hAnsi="宋体" w:eastAsia="仿宋_GB2312"/>
          <w:color w:val="auto"/>
          <w:sz w:val="24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（本机关</w:t>
      </w:r>
      <w:r>
        <w:rPr>
          <w:rFonts w:hint="eastAsia" w:ascii="仿宋_GB2312" w:hAnsi="宋体" w:eastAsia="仿宋_GB2312"/>
          <w:color w:val="auto"/>
          <w:sz w:val="24"/>
        </w:rPr>
        <w:t>将依法向社会公示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本</w:t>
      </w:r>
      <w:r>
        <w:rPr>
          <w:rFonts w:hint="eastAsia" w:ascii="仿宋_GB2312" w:hAnsi="宋体" w:eastAsia="仿宋_GB2312"/>
          <w:color w:val="auto"/>
          <w:sz w:val="24"/>
        </w:rPr>
        <w:t>行政处罚决定信息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3090A"/>
    <w:rsid w:val="0973090A"/>
    <w:rsid w:val="1F1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2021-11-15T02:38:00Z</dcterms:created>
  <dc:creator>予澈啊</dc:creator>
  <cp:lastModifiedBy>予澈啊</cp:lastModifiedBy>
  <dcterms:modified xsi:type="dcterms:W3CDTF">2021-11-15T02:51:18Z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