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8"/>
          <w:szCs w:val="48"/>
          <w:vertAlign w:val="baseline"/>
          <w:lang w:eastAsia="zh-CN"/>
        </w:rPr>
      </w:pPr>
      <w:r>
        <w:rPr>
          <w:rFonts w:hint="eastAsia"/>
          <w:b/>
          <w:bCs/>
          <w:sz w:val="48"/>
          <w:szCs w:val="48"/>
          <w:vertAlign w:val="baseline"/>
          <w:lang w:eastAsia="zh-CN"/>
        </w:rPr>
        <w:t>县发改委随机抽查事项清单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60"/>
        <w:gridCol w:w="945"/>
        <w:gridCol w:w="1650"/>
        <w:gridCol w:w="1425"/>
        <w:gridCol w:w="1230"/>
        <w:gridCol w:w="1440"/>
        <w:gridCol w:w="1095"/>
        <w:gridCol w:w="1200"/>
        <w:gridCol w:w="3810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94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抽查事项名称</w:t>
            </w:r>
          </w:p>
        </w:tc>
        <w:tc>
          <w:tcPr>
            <w:tcW w:w="165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抽查依据</w:t>
            </w:r>
          </w:p>
        </w:tc>
        <w:tc>
          <w:tcPr>
            <w:tcW w:w="14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抽查主体</w:t>
            </w:r>
          </w:p>
        </w:tc>
        <w:tc>
          <w:tcPr>
            <w:tcW w:w="12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抽查对象</w:t>
            </w:r>
          </w:p>
        </w:tc>
        <w:tc>
          <w:tcPr>
            <w:tcW w:w="144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抽查比例</w:t>
            </w:r>
          </w:p>
        </w:tc>
        <w:tc>
          <w:tcPr>
            <w:tcW w:w="109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抽查频次</w:t>
            </w:r>
          </w:p>
        </w:tc>
        <w:tc>
          <w:tcPr>
            <w:tcW w:w="120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抽查方式</w:t>
            </w:r>
          </w:p>
        </w:tc>
        <w:tc>
          <w:tcPr>
            <w:tcW w:w="381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抽查内容</w:t>
            </w:r>
          </w:p>
        </w:tc>
        <w:tc>
          <w:tcPr>
            <w:tcW w:w="71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重点用能 单位节能 监察</w:t>
            </w:r>
          </w:p>
        </w:tc>
        <w:tc>
          <w:tcPr>
            <w:tcW w:w="165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《中华人民共和国节约能源 法》第十条第二款、第十二 条第一款。《重点用能单位 节能管理办法》。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ascii="宋体" w:hAnsi="宋体" w:eastAsia="宋体" w:cs="宋体"/>
                <w:sz w:val="24"/>
                <w:szCs w:val="24"/>
              </w:rPr>
              <w:t>发改委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年综合能 源消费量 5000吨及 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下</w:t>
            </w:r>
            <w:r>
              <w:rPr>
                <w:rFonts w:ascii="宋体" w:hAnsi="宋体" w:eastAsia="宋体" w:cs="宋体"/>
                <w:sz w:val="24"/>
                <w:szCs w:val="24"/>
              </w:rPr>
              <w:t>的用 能单位及 节能主管 部门指定 的其他用 能单位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t>%以内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1次/年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现场监察</w:t>
            </w:r>
          </w:p>
        </w:tc>
        <w:tc>
          <w:tcPr>
            <w:tcW w:w="381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1.用能单位是否使用国家明令 淘汰的用能产品、设备、生产 工艺； 2.企业单位产品能耗水平是否 符合国家强制性单位产品能耗 限额标准； 3.是否按规定报告能源利用状 况； 4.是否按规定设置能源管理岗 位； 5.是否按规定聘任能源管理负 责人。6、是否建设能耗在线监 测系统。7、是否建立落实节能 目标责任制、节能计划、节能 管理和技术措施等</w:t>
            </w:r>
          </w:p>
        </w:tc>
        <w:tc>
          <w:tcPr>
            <w:tcW w:w="719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66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节能审查 制度执行 情况节能 监察</w:t>
            </w:r>
          </w:p>
        </w:tc>
        <w:tc>
          <w:tcPr>
            <w:tcW w:w="165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《中华人民共和国节约能源 法》第十二条、第十五条； 《固定资产投资项目节能审 查办法》 （国家发展改革 委令第44号）第十二条第一 款。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ascii="宋体" w:hAnsi="宋体" w:eastAsia="宋体" w:cs="宋体"/>
                <w:sz w:val="24"/>
                <w:szCs w:val="24"/>
              </w:rPr>
              <w:t>发改委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近两年开 工建设和 竣工投 产，需要 或已经进 行节能审 查的固定 资产投资 项目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t>%以内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1次/年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现场监察</w:t>
            </w:r>
          </w:p>
        </w:tc>
        <w:tc>
          <w:tcPr>
            <w:tcW w:w="381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项目是否落实节能审查制度和 节能审查意见</w:t>
            </w:r>
          </w:p>
        </w:tc>
        <w:tc>
          <w:tcPr>
            <w:tcW w:w="719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07A00"/>
    <w:rsid w:val="090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2021-11-15T03:53:11Z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