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sz w:val="30"/>
          <w:szCs w:val="30"/>
          <w:lang w:eastAsia="zh-CN"/>
        </w:rPr>
      </w:pPr>
      <w:r>
        <w:rPr>
          <w:rFonts w:hint="eastAsia"/>
          <w:sz w:val="30"/>
          <w:szCs w:val="30"/>
          <w:lang w:eastAsia="zh-CN"/>
        </w:rPr>
        <w:t>修改说明</w:t>
      </w:r>
      <w:bookmarkStart w:id="0" w:name="_GoBack"/>
      <w:bookmarkEnd w:id="0"/>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6765"/>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93"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sz w:val="22"/>
                <w:szCs w:val="22"/>
                <w:vertAlign w:val="baseline"/>
                <w:lang w:val="en-US" w:eastAsia="zh-CN"/>
              </w:rPr>
            </w:pPr>
            <w:r>
              <w:rPr>
                <w:rFonts w:hint="eastAsia" w:ascii="Times New Roman" w:hAnsi="Times New Roman" w:cs="Times New Roman"/>
                <w:sz w:val="22"/>
                <w:szCs w:val="22"/>
                <w:vertAlign w:val="baseline"/>
                <w:lang w:val="en-US" w:eastAsia="zh-CN"/>
              </w:rPr>
              <w:t>编号</w:t>
            </w:r>
          </w:p>
        </w:tc>
        <w:tc>
          <w:tcPr>
            <w:tcW w:w="239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eastAsia="zh-CN"/>
              </w:rPr>
            </w:pPr>
            <w:r>
              <w:rPr>
                <w:rFonts w:hint="eastAsia" w:ascii="Times New Roman" w:hAnsi="Times New Roman" w:cs="Times New Roman"/>
                <w:sz w:val="22"/>
                <w:szCs w:val="22"/>
                <w:vertAlign w:val="baseline"/>
                <w:lang w:eastAsia="zh-CN"/>
              </w:rPr>
              <w:t>内容</w:t>
            </w:r>
          </w:p>
        </w:tc>
        <w:tc>
          <w:tcPr>
            <w:tcW w:w="2309"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eastAsia="zh-CN"/>
              </w:rPr>
            </w:pPr>
            <w:r>
              <w:rPr>
                <w:rFonts w:hint="eastAsia" w:ascii="Times New Roman" w:hAnsi="Times New Roman" w:cs="Times New Roman"/>
                <w:sz w:val="22"/>
                <w:szCs w:val="22"/>
                <w:vertAlign w:val="baseline"/>
                <w:lang w:eastAsia="zh-CN"/>
              </w:rPr>
              <w:t>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93"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val="en-US" w:eastAsia="zh-CN"/>
              </w:rPr>
              <w:t>1</w:t>
            </w:r>
          </w:p>
        </w:tc>
        <w:tc>
          <w:tcPr>
            <w:tcW w:w="239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eastAsia="zh-CN"/>
              </w:rPr>
            </w:pPr>
            <w:r>
              <w:rPr>
                <w:rFonts w:hint="default" w:ascii="Times New Roman" w:hAnsi="Times New Roman" w:cs="Times New Roman" w:eastAsiaTheme="minorEastAsia"/>
                <w:sz w:val="22"/>
                <w:szCs w:val="22"/>
                <w:vertAlign w:val="baseline"/>
                <w:lang w:eastAsia="zh-CN"/>
              </w:rPr>
              <w:t>完善项目及其周边环境现状调查内容</w:t>
            </w:r>
          </w:p>
        </w:tc>
        <w:tc>
          <w:tcPr>
            <w:tcW w:w="2309"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val="en-US" w:eastAsia="zh-CN"/>
              </w:rPr>
              <w:t>完善项目周边现状与环境描述，详见P4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93"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val="en-US" w:eastAsia="zh-CN"/>
              </w:rPr>
              <w:t>2</w:t>
            </w:r>
          </w:p>
        </w:tc>
        <w:tc>
          <w:tcPr>
            <w:tcW w:w="239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eastAsia="zh-CN"/>
              </w:rPr>
            </w:pPr>
            <w:r>
              <w:rPr>
                <w:rFonts w:hint="default" w:ascii="Times New Roman" w:hAnsi="Times New Roman" w:cs="Times New Roman" w:eastAsiaTheme="minorEastAsia"/>
                <w:sz w:val="22"/>
                <w:szCs w:val="22"/>
                <w:vertAlign w:val="baseline"/>
                <w:lang w:eastAsia="zh-CN"/>
              </w:rPr>
              <w:t>结合环境攻坚战相关要求，强化施工期污染防治措施</w:t>
            </w:r>
          </w:p>
        </w:tc>
        <w:tc>
          <w:tcPr>
            <w:tcW w:w="2309"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sz w:val="22"/>
                <w:szCs w:val="22"/>
                <w:vertAlign w:val="baseline"/>
                <w:lang w:val="en-US" w:eastAsia="zh-CN"/>
              </w:rPr>
            </w:pPr>
            <w:r>
              <w:rPr>
                <w:rFonts w:hint="eastAsia" w:ascii="Times New Roman" w:hAnsi="Times New Roman" w:cs="Times New Roman"/>
                <w:sz w:val="22"/>
                <w:szCs w:val="22"/>
                <w:vertAlign w:val="baseline"/>
                <w:lang w:val="en-US" w:eastAsia="zh-CN"/>
              </w:rPr>
              <w:t>完善强化项目施工期大气与生态水土的保护措施，详见P36、38、39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293"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val="en-US" w:eastAsia="zh-CN"/>
              </w:rPr>
              <w:t>3</w:t>
            </w:r>
          </w:p>
        </w:tc>
        <w:tc>
          <w:tcPr>
            <w:tcW w:w="239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eastAsia="zh-CN"/>
              </w:rPr>
            </w:pPr>
            <w:r>
              <w:rPr>
                <w:rFonts w:hint="default" w:ascii="Times New Roman" w:hAnsi="Times New Roman" w:cs="Times New Roman" w:eastAsiaTheme="minorEastAsia"/>
                <w:sz w:val="22"/>
                <w:szCs w:val="22"/>
                <w:vertAlign w:val="baseline"/>
                <w:lang w:eastAsia="zh-CN"/>
              </w:rPr>
              <w:t>严格按照大气污染防控相关政策要求，细化工程分析内容，完善各环节原料装卸、输送、生产工艺节点转载、道路地面等相关污染防控内容</w:t>
            </w:r>
          </w:p>
        </w:tc>
        <w:tc>
          <w:tcPr>
            <w:tcW w:w="2309"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eastAsia="zh-CN"/>
              </w:rPr>
              <w:t>完善工程分析与相关污染防控，详见</w:t>
            </w:r>
            <w:r>
              <w:rPr>
                <w:rFonts w:hint="eastAsia" w:ascii="Times New Roman" w:hAnsi="Times New Roman" w:cs="Times New Roman"/>
                <w:sz w:val="22"/>
                <w:szCs w:val="22"/>
                <w:vertAlign w:val="baseline"/>
                <w:lang w:val="en-US" w:eastAsia="zh-CN"/>
              </w:rPr>
              <w:t>P29、40~43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293"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val="en-US" w:eastAsia="zh-CN"/>
              </w:rPr>
              <w:t>4</w:t>
            </w:r>
          </w:p>
        </w:tc>
        <w:tc>
          <w:tcPr>
            <w:tcW w:w="239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eastAsia="zh-CN"/>
              </w:rPr>
            </w:pPr>
            <w:r>
              <w:rPr>
                <w:rFonts w:hint="default" w:ascii="Times New Roman" w:hAnsi="Times New Roman" w:cs="Times New Roman" w:eastAsiaTheme="minorEastAsia"/>
                <w:sz w:val="22"/>
                <w:szCs w:val="22"/>
                <w:vertAlign w:val="baseline"/>
                <w:lang w:eastAsia="zh-CN"/>
              </w:rPr>
              <w:t>从原料入库、配料、砼搅拌等生产工艺，补充生产设施与产能匹配性分析，完善不同生产线各产污节点污染控制措施，核算物料平衡图和水平衡</w:t>
            </w:r>
          </w:p>
        </w:tc>
        <w:tc>
          <w:tcPr>
            <w:tcW w:w="2309"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sz w:val="22"/>
                <w:szCs w:val="22"/>
                <w:vertAlign w:val="baseline"/>
                <w:lang w:val="en-US" w:eastAsia="zh-CN"/>
              </w:rPr>
            </w:pPr>
            <w:r>
              <w:rPr>
                <w:rFonts w:hint="eastAsia" w:ascii="Times New Roman" w:hAnsi="Times New Roman" w:cs="Times New Roman"/>
                <w:sz w:val="22"/>
                <w:szCs w:val="22"/>
                <w:vertAlign w:val="baseline"/>
                <w:lang w:val="en-US" w:eastAsia="zh-CN"/>
              </w:rPr>
              <w:t>补充产能核算（P8~9），</w:t>
            </w:r>
            <w:r>
              <w:rPr>
                <w:rFonts w:hint="default" w:ascii="Times New Roman" w:hAnsi="Times New Roman" w:cs="Times New Roman" w:eastAsiaTheme="minorEastAsia"/>
                <w:sz w:val="22"/>
                <w:szCs w:val="22"/>
                <w:vertAlign w:val="baseline"/>
                <w:lang w:eastAsia="zh-CN"/>
              </w:rPr>
              <w:t>完善产污节点污染控制措施，核算物料平衡图和水平衡</w:t>
            </w:r>
            <w:r>
              <w:rPr>
                <w:rFonts w:hint="eastAsia" w:ascii="Times New Roman" w:hAnsi="Times New Roman" w:cs="Times New Roman"/>
                <w:sz w:val="22"/>
                <w:szCs w:val="22"/>
                <w:vertAlign w:val="baseline"/>
                <w:lang w:eastAsia="zh-CN"/>
              </w:rPr>
              <w:t>（图</w:t>
            </w:r>
            <w:r>
              <w:rPr>
                <w:rFonts w:hint="eastAsia" w:ascii="Times New Roman" w:hAnsi="Times New Roman" w:cs="Times New Roman"/>
                <w:sz w:val="22"/>
                <w:szCs w:val="22"/>
                <w:vertAlign w:val="baseline"/>
                <w:lang w:val="en-US" w:eastAsia="zh-CN"/>
              </w:rPr>
              <w:t>2、P40~46</w:t>
            </w:r>
            <w:r>
              <w:rPr>
                <w:rFonts w:hint="eastAsia" w:ascii="Times New Roman" w:hAnsi="Times New Roman" w:cs="Times New Roman"/>
                <w:sz w:val="22"/>
                <w:szCs w:val="2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293"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val="en-US" w:eastAsia="zh-CN"/>
              </w:rPr>
              <w:t>5</w:t>
            </w:r>
          </w:p>
        </w:tc>
        <w:tc>
          <w:tcPr>
            <w:tcW w:w="239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eastAsia="zh-CN"/>
              </w:rPr>
            </w:pPr>
            <w:r>
              <w:rPr>
                <w:rFonts w:hint="default" w:ascii="Times New Roman" w:hAnsi="Times New Roman" w:cs="Times New Roman" w:eastAsiaTheme="minorEastAsia"/>
                <w:sz w:val="22"/>
                <w:szCs w:val="22"/>
                <w:vertAlign w:val="baseline"/>
                <w:lang w:eastAsia="zh-CN"/>
              </w:rPr>
              <w:t>核算污染物源强相关数据，复核排放量相关数据，校核原料库及成品库容积，确保原料及成品全部进入封闭库棚，生产设施等在全封闭车间内并按照相关要求对相关设施进行二次封闭，确保各类污染物达标排放</w:t>
            </w:r>
          </w:p>
        </w:tc>
        <w:tc>
          <w:tcPr>
            <w:tcW w:w="2309"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val="en-US" w:eastAsia="zh-CN"/>
              </w:rPr>
              <w:t>复核产污源强，完善二次封闭措施，详见P40~46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93"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val="en-US" w:eastAsia="zh-CN"/>
              </w:rPr>
              <w:t>6</w:t>
            </w:r>
          </w:p>
        </w:tc>
        <w:tc>
          <w:tcPr>
            <w:tcW w:w="239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eastAsia="zh-CN"/>
              </w:rPr>
            </w:pPr>
            <w:r>
              <w:rPr>
                <w:rFonts w:hint="default" w:ascii="Times New Roman" w:hAnsi="Times New Roman" w:cs="Times New Roman" w:eastAsiaTheme="minorEastAsia"/>
                <w:sz w:val="22"/>
                <w:szCs w:val="22"/>
                <w:vertAlign w:val="baseline"/>
                <w:lang w:eastAsia="zh-CN"/>
              </w:rPr>
              <w:t>完善环境风险分析相关内容；说明物料运输线路沿途环境敏感点分布情况，补充车辆运输相应环保措施</w:t>
            </w:r>
          </w:p>
        </w:tc>
        <w:tc>
          <w:tcPr>
            <w:tcW w:w="2309"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val="en-US" w:eastAsia="zh-CN"/>
              </w:rPr>
              <w:t>补充环境风险相关内容（P66~69），补充运输扬尘相关内容（P46）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93"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sz w:val="22"/>
                <w:szCs w:val="22"/>
                <w:vertAlign w:val="baseline"/>
                <w:lang w:val="en-US" w:eastAsia="zh-CN"/>
              </w:rPr>
            </w:pPr>
            <w:r>
              <w:rPr>
                <w:rFonts w:hint="eastAsia" w:ascii="Times New Roman" w:hAnsi="Times New Roman" w:cs="Times New Roman"/>
                <w:sz w:val="22"/>
                <w:szCs w:val="22"/>
                <w:vertAlign w:val="baseline"/>
                <w:lang w:val="en-US" w:eastAsia="zh-CN"/>
              </w:rPr>
              <w:t>7</w:t>
            </w:r>
          </w:p>
        </w:tc>
        <w:tc>
          <w:tcPr>
            <w:tcW w:w="239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eastAsia="zh-CN"/>
              </w:rPr>
            </w:pPr>
            <w:r>
              <w:rPr>
                <w:rFonts w:hint="default" w:ascii="Times New Roman" w:hAnsi="Times New Roman" w:cs="Times New Roman" w:eastAsiaTheme="minorEastAsia"/>
                <w:sz w:val="22"/>
                <w:szCs w:val="22"/>
                <w:vertAlign w:val="baseline"/>
                <w:lang w:eastAsia="zh-CN"/>
              </w:rPr>
              <w:t>完善水洗工艺过程中沉淀污泥的暂存要求（防雨淋、防溢流、防渗透）、去向等相关内容；确保水洗工艺生产废水循环利用，建议增设事故池，严禁生产过程水体外溢；完善初期雨水收集系统和利用情况说明</w:t>
            </w:r>
          </w:p>
        </w:tc>
        <w:tc>
          <w:tcPr>
            <w:tcW w:w="2309"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val="en-US" w:eastAsia="zh-CN"/>
              </w:rPr>
              <w:t>完善污泥暂存措施（P61），添加事故池相关内容（P68），完善初期雨水相关内容（P56）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93"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sz w:val="22"/>
                <w:szCs w:val="22"/>
                <w:vertAlign w:val="baseline"/>
                <w:lang w:val="en-US" w:eastAsia="zh-CN"/>
              </w:rPr>
            </w:pPr>
            <w:r>
              <w:rPr>
                <w:rFonts w:hint="eastAsia" w:ascii="Times New Roman" w:hAnsi="Times New Roman" w:cs="Times New Roman"/>
                <w:sz w:val="22"/>
                <w:szCs w:val="22"/>
                <w:vertAlign w:val="baseline"/>
                <w:lang w:val="en-US" w:eastAsia="zh-CN"/>
              </w:rPr>
              <w:t>8</w:t>
            </w:r>
          </w:p>
        </w:tc>
        <w:tc>
          <w:tcPr>
            <w:tcW w:w="2397"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eastAsia="zh-CN"/>
              </w:rPr>
            </w:pPr>
            <w:r>
              <w:rPr>
                <w:rFonts w:hint="default" w:ascii="Times New Roman" w:hAnsi="Times New Roman" w:cs="Times New Roman" w:eastAsiaTheme="minorEastAsia"/>
                <w:sz w:val="22"/>
                <w:szCs w:val="22"/>
                <w:vertAlign w:val="baseline"/>
                <w:lang w:eastAsia="zh-CN"/>
              </w:rPr>
              <w:t>细化项目平面布局图并分析项目平面布局的合理性（标注环保设施位置）；完善环境管理与检测计划；补充公众参与内容；完善环保投资及环保设施验收一览表内容</w:t>
            </w:r>
          </w:p>
        </w:tc>
        <w:tc>
          <w:tcPr>
            <w:tcW w:w="2309" w:type="pc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z w:val="22"/>
                <w:szCs w:val="22"/>
                <w:vertAlign w:val="baseline"/>
                <w:lang w:val="en-US" w:eastAsia="zh-CN"/>
              </w:rPr>
            </w:pPr>
            <w:r>
              <w:rPr>
                <w:rFonts w:hint="eastAsia" w:ascii="Times New Roman" w:hAnsi="Times New Roman" w:cs="Times New Roman"/>
                <w:sz w:val="22"/>
                <w:szCs w:val="22"/>
                <w:vertAlign w:val="baseline"/>
                <w:lang w:val="en-US" w:eastAsia="zh-CN"/>
              </w:rPr>
              <w:t>增加平面布局合理性分析（P70、附图三），完善</w:t>
            </w:r>
            <w:r>
              <w:rPr>
                <w:rFonts w:hint="default" w:ascii="Times New Roman" w:hAnsi="Times New Roman" w:cs="Times New Roman" w:eastAsiaTheme="minorEastAsia"/>
                <w:sz w:val="22"/>
                <w:szCs w:val="22"/>
                <w:vertAlign w:val="baseline"/>
                <w:lang w:eastAsia="zh-CN"/>
              </w:rPr>
              <w:t>环境管理与检测计划</w:t>
            </w:r>
            <w:r>
              <w:rPr>
                <w:rFonts w:hint="eastAsia" w:ascii="Times New Roman" w:hAnsi="Times New Roman" w:cs="Times New Roman"/>
                <w:sz w:val="22"/>
                <w:szCs w:val="22"/>
                <w:vertAlign w:val="baseline"/>
                <w:lang w:eastAsia="zh-CN"/>
              </w:rPr>
              <w:t>（</w:t>
            </w:r>
            <w:r>
              <w:rPr>
                <w:rFonts w:hint="eastAsia" w:ascii="Times New Roman" w:hAnsi="Times New Roman" w:cs="Times New Roman"/>
                <w:sz w:val="22"/>
                <w:szCs w:val="22"/>
                <w:vertAlign w:val="baseline"/>
                <w:lang w:val="en-US" w:eastAsia="zh-CN"/>
              </w:rPr>
              <w:t>P72~73</w:t>
            </w:r>
            <w:r>
              <w:rPr>
                <w:rFonts w:hint="eastAsia" w:ascii="Times New Roman" w:hAnsi="Times New Roman" w:cs="Times New Roman"/>
                <w:sz w:val="22"/>
                <w:szCs w:val="22"/>
                <w:vertAlign w:val="baseline"/>
                <w:lang w:eastAsia="zh-CN"/>
              </w:rPr>
              <w:t>），补充公众参与内容（</w:t>
            </w:r>
            <w:r>
              <w:rPr>
                <w:rFonts w:hint="eastAsia" w:ascii="Times New Roman" w:hAnsi="Times New Roman" w:cs="Times New Roman"/>
                <w:sz w:val="22"/>
                <w:szCs w:val="22"/>
                <w:vertAlign w:val="baseline"/>
                <w:lang w:val="en-US" w:eastAsia="zh-CN"/>
              </w:rPr>
              <w:t>P83、附件十一</w:t>
            </w:r>
            <w:r>
              <w:rPr>
                <w:rFonts w:hint="eastAsia" w:ascii="Times New Roman" w:hAnsi="Times New Roman" w:cs="Times New Roman"/>
                <w:sz w:val="22"/>
                <w:szCs w:val="22"/>
                <w:vertAlign w:val="baseline"/>
                <w:lang w:eastAsia="zh-CN"/>
              </w:rPr>
              <w:t>），</w:t>
            </w:r>
            <w:r>
              <w:rPr>
                <w:rFonts w:hint="default" w:ascii="Times New Roman" w:hAnsi="Times New Roman" w:cs="Times New Roman" w:eastAsiaTheme="minorEastAsia"/>
                <w:sz w:val="22"/>
                <w:szCs w:val="22"/>
                <w:vertAlign w:val="baseline"/>
                <w:lang w:eastAsia="zh-CN"/>
              </w:rPr>
              <w:t>完善环保投资及环保设施验收一览表内容</w:t>
            </w:r>
            <w:r>
              <w:rPr>
                <w:rFonts w:hint="eastAsia" w:ascii="Times New Roman" w:hAnsi="Times New Roman" w:cs="Times New Roman"/>
                <w:sz w:val="22"/>
                <w:szCs w:val="22"/>
                <w:vertAlign w:val="baseline"/>
                <w:lang w:eastAsia="zh-CN"/>
              </w:rPr>
              <w:t>（</w:t>
            </w:r>
            <w:r>
              <w:rPr>
                <w:rFonts w:hint="eastAsia" w:ascii="Times New Roman" w:hAnsi="Times New Roman" w:cs="Times New Roman"/>
                <w:sz w:val="22"/>
                <w:szCs w:val="22"/>
                <w:vertAlign w:val="baseline"/>
                <w:lang w:val="en-US" w:eastAsia="zh-CN"/>
              </w:rPr>
              <w:t>P74~77</w:t>
            </w:r>
            <w:r>
              <w:rPr>
                <w:rFonts w:hint="eastAsia" w:ascii="Times New Roman" w:hAnsi="Times New Roman" w:cs="Times New Roman"/>
                <w:sz w:val="22"/>
                <w:szCs w:val="2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5000" w:type="pct"/>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专家复核意见：</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cs="Times New Roman"/>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cs="Times New Roman"/>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cs="Times New Roman"/>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right"/>
              <w:textAlignment w:val="auto"/>
              <w:rPr>
                <w:rFonts w:hint="eastAsia" w:ascii="Times New Roman" w:hAnsi="Times New Roman" w:cs="Times New Roman"/>
                <w:sz w:val="24"/>
                <w:szCs w:val="24"/>
                <w:vertAlign w:val="baseline"/>
                <w:lang w:val="en-US" w:eastAsia="zh-CN"/>
              </w:rPr>
            </w:pPr>
            <w:r>
              <w:rPr>
                <w:rFonts w:hint="eastAsia" w:ascii="Times New Roman" w:hAnsi="Times New Roman" w:cs="Times New Roman"/>
                <w:sz w:val="24"/>
                <w:szCs w:val="24"/>
                <w:vertAlign w:val="baseline"/>
                <w:lang w:val="en-US" w:eastAsia="zh-CN"/>
              </w:rPr>
              <w:t>年   月    日</w:t>
            </w:r>
          </w:p>
        </w:tc>
      </w:tr>
    </w:tbl>
    <w:p>
      <w:pPr>
        <w:jc w:val="both"/>
        <w:rPr>
          <w:rFonts w:hint="eastAsia"/>
          <w:sz w:val="30"/>
          <w:szCs w:val="30"/>
          <w:lang w:eastAsia="zh-CN"/>
        </w:rPr>
      </w:pPr>
    </w:p>
    <w:sectPr>
      <w:pgSz w:w="16783" w:h="11850"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0B3674"/>
    <w:rsid w:val="00D45761"/>
    <w:rsid w:val="049B7A8A"/>
    <w:rsid w:val="0E906861"/>
    <w:rsid w:val="52D038F1"/>
    <w:rsid w:val="700B3674"/>
    <w:rsid w:val="75E0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3"/>
    <w:basedOn w:val="1"/>
    <w:next w:val="1"/>
    <w:qFormat/>
    <w:uiPriority w:val="0"/>
    <w:pPr>
      <w:tabs>
        <w:tab w:val="right" w:leader="dot" w:pos="8306"/>
      </w:tabs>
      <w:spacing w:line="240" w:lineRule="auto"/>
      <w:ind w:left="0" w:firstLine="0" w:firstLineChars="0"/>
      <w:jc w:val="left"/>
    </w:pPr>
    <w:rPr>
      <w:rFonts w:ascii="Times New Roman" w:hAnsi="Times New Roman" w:eastAsia="华文仿宋" w:cs="Times New Roman"/>
      <w:iCs/>
      <w:sz w:val="24"/>
      <w:szCs w:val="2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2020-05-13T06:26:00Z</dcterms:created>
  <dc:creator>阿浔</dc:creator>
  <cp:lastModifiedBy>第五丶潯荒</cp:lastModifiedBy>
  <dcterms:modified xsi:type="dcterms:W3CDTF">2021-01-27T02:42:03Z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