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/>
        <w:jc w:val="center"/>
        <w:textAlignment w:val="auto"/>
        <w:rPr>
          <w:rFonts w:hint="eastAsia" w:ascii="Times New Roman" w:hAnsi="Times New Roman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  <w:lang w:val="en-US" w:eastAsia="zh-CN"/>
        </w:rPr>
        <w:t xml:space="preserve">附表1    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highlight w:val="none"/>
          <w:lang w:val="zh-CN"/>
        </w:rPr>
        <w:t>建设项目大气环境影响评价自查表</w:t>
      </w:r>
    </w:p>
    <w:tbl>
      <w:tblPr>
        <w:tblStyle w:val="3"/>
        <w:tblW w:w="583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7"/>
        <w:gridCol w:w="1967"/>
        <w:gridCol w:w="992"/>
        <w:gridCol w:w="730"/>
        <w:gridCol w:w="239"/>
        <w:gridCol w:w="324"/>
        <w:gridCol w:w="569"/>
        <w:gridCol w:w="1132"/>
        <w:gridCol w:w="862"/>
        <w:gridCol w:w="336"/>
        <w:gridCol w:w="55"/>
        <w:gridCol w:w="172"/>
        <w:gridCol w:w="10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1650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  <w:highlight w:val="none"/>
              </w:rPr>
              <w:t>工作内容</w:t>
            </w:r>
          </w:p>
        </w:tc>
        <w:tc>
          <w:tcPr>
            <w:tcW w:w="3349" w:type="pct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  <w:highlight w:val="none"/>
              </w:rPr>
              <w:t>自查项目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评价等级与范围</w:t>
            </w: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评价等级</w:t>
            </w:r>
          </w:p>
        </w:tc>
        <w:tc>
          <w:tcPr>
            <w:tcW w:w="88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一级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□</w:t>
            </w:r>
          </w:p>
        </w:tc>
        <w:tc>
          <w:tcPr>
            <w:tcW w:w="1610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二级</w:t>
            </w:r>
            <w:r>
              <w:rPr>
                <w:rFonts w:hint="eastAsia" w:ascii="MS Mincho" w:hAnsi="MS Mincho" w:eastAsia="MS Mincho" w:cs="MS Mincho"/>
                <w:color w:val="auto"/>
                <w:sz w:val="21"/>
                <w:szCs w:val="21"/>
                <w:highlight w:val="none"/>
              </w:rPr>
              <w:t>☑</w:t>
            </w:r>
          </w:p>
        </w:tc>
        <w:tc>
          <w:tcPr>
            <w:tcW w:w="851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三级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评价范围</w:t>
            </w:r>
          </w:p>
        </w:tc>
        <w:tc>
          <w:tcPr>
            <w:tcW w:w="88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边长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=50km□</w:t>
            </w:r>
          </w:p>
        </w:tc>
        <w:tc>
          <w:tcPr>
            <w:tcW w:w="1610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边长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5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～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50km□</w:t>
            </w:r>
          </w:p>
        </w:tc>
        <w:tc>
          <w:tcPr>
            <w:tcW w:w="851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边长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=5km</w:t>
            </w:r>
            <w:r>
              <w:rPr>
                <w:rFonts w:hint="eastAsia" w:ascii="MS Mincho" w:hAnsi="MS Mincho" w:eastAsia="MS Mincho" w:cs="MS Mincho"/>
                <w:color w:val="auto"/>
                <w:sz w:val="21"/>
                <w:szCs w:val="21"/>
                <w:highlight w:val="none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评价因子</w:t>
            </w: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SO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vertAlign w:val="subscript"/>
              </w:rPr>
              <w:t>2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+NOx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排放量</w:t>
            </w:r>
          </w:p>
        </w:tc>
        <w:tc>
          <w:tcPr>
            <w:tcW w:w="88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≥2000 t/a□</w:t>
            </w:r>
          </w:p>
        </w:tc>
        <w:tc>
          <w:tcPr>
            <w:tcW w:w="1610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500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～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2000 t/a□</w:t>
            </w:r>
          </w:p>
        </w:tc>
        <w:tc>
          <w:tcPr>
            <w:tcW w:w="851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＜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500 t/a</w:t>
            </w:r>
            <w:r>
              <w:rPr>
                <w:rFonts w:hint="eastAsia" w:ascii="MS Mincho" w:hAnsi="MS Mincho" w:eastAsia="MS Mincho" w:cs="MS Mincho"/>
                <w:color w:val="auto"/>
                <w:sz w:val="21"/>
                <w:szCs w:val="21"/>
                <w:highlight w:val="none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评价因子</w:t>
            </w:r>
          </w:p>
        </w:tc>
        <w:tc>
          <w:tcPr>
            <w:tcW w:w="2053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 xml:space="preserve">基本污染物（ 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PM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subscript"/>
                <w:lang w:val="en-US" w:eastAsia="zh-CN"/>
              </w:rPr>
              <w:t>10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、TSP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）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其他污染物（）</w:t>
            </w:r>
          </w:p>
        </w:tc>
        <w:tc>
          <w:tcPr>
            <w:tcW w:w="1295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包括二次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PM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vertAlign w:val="subscript"/>
              </w:rPr>
              <w:t>2.5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□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不包括二次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PM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vertAlign w:val="subscript"/>
              </w:rPr>
              <w:t>2.5</w:t>
            </w:r>
            <w:r>
              <w:rPr>
                <w:rFonts w:hint="eastAsia" w:ascii="MS Mincho" w:hAnsi="MS Mincho" w:eastAsia="MS Mincho" w:cs="MS Mincho"/>
                <w:color w:val="auto"/>
                <w:sz w:val="21"/>
                <w:szCs w:val="21"/>
                <w:highlight w:val="none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评价标准</w:t>
            </w: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评价标准</w:t>
            </w:r>
          </w:p>
        </w:tc>
        <w:tc>
          <w:tcPr>
            <w:tcW w:w="1010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国家标准</w:t>
            </w:r>
            <w:r>
              <w:rPr>
                <w:rFonts w:hint="eastAsia" w:ascii="MS Mincho" w:hAnsi="MS Mincho" w:eastAsia="MS Mincho" w:cs="MS Mincho"/>
                <w:color w:val="auto"/>
                <w:sz w:val="21"/>
                <w:szCs w:val="21"/>
                <w:highlight w:val="none"/>
              </w:rPr>
              <w:t>☑</w:t>
            </w:r>
          </w:p>
        </w:tc>
        <w:tc>
          <w:tcPr>
            <w:tcW w:w="1043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地方标准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MS Mincho" w:hAnsi="MS Mincho" w:eastAsia="宋体" w:cs="MS Mincho"/>
                <w:color w:val="auto"/>
                <w:sz w:val="21"/>
                <w:szCs w:val="21"/>
                <w:highlight w:val="none"/>
                <w:lang w:eastAsia="zh-CN"/>
              </w:rPr>
              <w:t>□</w:t>
            </w:r>
          </w:p>
        </w:tc>
        <w:tc>
          <w:tcPr>
            <w:tcW w:w="61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附录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D□</w:t>
            </w:r>
          </w:p>
        </w:tc>
        <w:tc>
          <w:tcPr>
            <w:tcW w:w="677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其他标准</w:t>
            </w:r>
            <w:r>
              <w:rPr>
                <w:rFonts w:hint="eastAsia" w:ascii="MS Mincho" w:hAnsi="MS Mincho" w:eastAsia="宋体" w:cs="MS Mincho"/>
                <w:color w:val="auto"/>
                <w:sz w:val="21"/>
                <w:szCs w:val="21"/>
                <w:highlight w:val="none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现状评价</w:t>
            </w: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环境功能区</w:t>
            </w:r>
          </w:p>
        </w:tc>
        <w:tc>
          <w:tcPr>
            <w:tcW w:w="88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一类区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□</w:t>
            </w:r>
          </w:p>
        </w:tc>
        <w:tc>
          <w:tcPr>
            <w:tcW w:w="1610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二类区</w:t>
            </w:r>
            <w:r>
              <w:rPr>
                <w:rFonts w:hint="eastAsia" w:ascii="MS Mincho" w:hAnsi="MS Mincho" w:eastAsia="MS Mincho" w:cs="MS Mincho"/>
                <w:color w:val="auto"/>
                <w:sz w:val="21"/>
                <w:szCs w:val="21"/>
                <w:highlight w:val="none"/>
              </w:rPr>
              <w:t>☑</w:t>
            </w:r>
          </w:p>
        </w:tc>
        <w:tc>
          <w:tcPr>
            <w:tcW w:w="851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一类区和二类区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评价基准年</w:t>
            </w:r>
          </w:p>
        </w:tc>
        <w:tc>
          <w:tcPr>
            <w:tcW w:w="3349" w:type="pct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201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）年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环境空气质量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现状调查数据来源</w:t>
            </w:r>
          </w:p>
        </w:tc>
        <w:tc>
          <w:tcPr>
            <w:tcW w:w="88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长期例行监测数据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□</w:t>
            </w:r>
          </w:p>
        </w:tc>
        <w:tc>
          <w:tcPr>
            <w:tcW w:w="1610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主管部门发布的数据</w:t>
            </w:r>
            <w:r>
              <w:rPr>
                <w:rFonts w:hint="eastAsia" w:ascii="MS Mincho" w:hAnsi="MS Mincho" w:eastAsia="MS Mincho" w:cs="MS Mincho"/>
                <w:color w:val="auto"/>
                <w:sz w:val="21"/>
                <w:szCs w:val="21"/>
                <w:highlight w:val="none"/>
              </w:rPr>
              <w:t>☑</w:t>
            </w:r>
          </w:p>
        </w:tc>
        <w:tc>
          <w:tcPr>
            <w:tcW w:w="851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现状补充监测</w:t>
            </w:r>
            <w:r>
              <w:rPr>
                <w:rFonts w:hint="eastAsia" w:ascii="MS Mincho" w:hAnsi="MS Mincho" w:eastAsia="MS Mincho" w:cs="MS Mincho"/>
                <w:color w:val="auto"/>
                <w:sz w:val="21"/>
                <w:szCs w:val="21"/>
                <w:highlight w:val="none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现状评价</w:t>
            </w:r>
          </w:p>
        </w:tc>
        <w:tc>
          <w:tcPr>
            <w:tcW w:w="2053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达标区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□</w:t>
            </w:r>
          </w:p>
        </w:tc>
        <w:tc>
          <w:tcPr>
            <w:tcW w:w="1295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不达标区</w:t>
            </w:r>
            <w:r>
              <w:rPr>
                <w:rFonts w:hint="eastAsia" w:ascii="MS Mincho" w:hAnsi="MS Mincho" w:eastAsia="MS Mincho" w:cs="MS Mincho"/>
                <w:color w:val="auto"/>
                <w:sz w:val="21"/>
                <w:szCs w:val="21"/>
                <w:highlight w:val="none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污染源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调查</w:t>
            </w: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调查内容</w:t>
            </w:r>
          </w:p>
        </w:tc>
        <w:tc>
          <w:tcPr>
            <w:tcW w:w="1177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本项目正常排放源</w:t>
            </w:r>
            <w:r>
              <w:rPr>
                <w:rFonts w:hint="eastAsia" w:ascii="MS Mincho" w:hAnsi="MS Mincho" w:eastAsia="MS Mincho" w:cs="MS Mincho"/>
                <w:color w:val="auto"/>
                <w:sz w:val="21"/>
                <w:szCs w:val="21"/>
                <w:highlight w:val="none"/>
              </w:rPr>
              <w:t>☑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本项目非正常排放源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□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现有污染源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□</w:t>
            </w:r>
          </w:p>
        </w:tc>
        <w:tc>
          <w:tcPr>
            <w:tcW w:w="876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拟替代的污染源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□</w:t>
            </w:r>
          </w:p>
        </w:tc>
        <w:tc>
          <w:tcPr>
            <w:tcW w:w="645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其他在建、拟建项目污染源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□</w:t>
            </w:r>
          </w:p>
        </w:tc>
        <w:tc>
          <w:tcPr>
            <w:tcW w:w="649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区域污染源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大气环境影响预测与评价</w:t>
            </w: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预测模型</w:t>
            </w:r>
          </w:p>
        </w:tc>
        <w:tc>
          <w:tcPr>
            <w:tcW w:w="511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  <w:t>AERMOD□</w:t>
            </w:r>
          </w:p>
        </w:tc>
        <w:tc>
          <w:tcPr>
            <w:tcW w:w="37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  <w:t>ADMS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  <w:t>□</w:t>
            </w:r>
          </w:p>
        </w:tc>
        <w:tc>
          <w:tcPr>
            <w:tcW w:w="583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  <w:t>AUSTAL2000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  <w:t>□</w:t>
            </w:r>
          </w:p>
        </w:tc>
        <w:tc>
          <w:tcPr>
            <w:tcW w:w="58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  <w:t>EDMS/AEDT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  <w:t>□</w:t>
            </w:r>
          </w:p>
        </w:tc>
        <w:tc>
          <w:tcPr>
            <w:tcW w:w="44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  <w:t>CALPUFF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pacing w:val="-11"/>
                <w:sz w:val="21"/>
                <w:szCs w:val="21"/>
                <w:highlight w:val="none"/>
              </w:rPr>
              <w:t>□</w:t>
            </w:r>
          </w:p>
        </w:tc>
        <w:tc>
          <w:tcPr>
            <w:tcW w:w="289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网格模型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□</w:t>
            </w:r>
          </w:p>
        </w:tc>
        <w:tc>
          <w:tcPr>
            <w:tcW w:w="56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其他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  <w:lang w:eastAsia="zh-CN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预测范围</w:t>
            </w:r>
          </w:p>
        </w:tc>
        <w:tc>
          <w:tcPr>
            <w:tcW w:w="88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边长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≥ 50 km□</w:t>
            </w:r>
          </w:p>
        </w:tc>
        <w:tc>
          <w:tcPr>
            <w:tcW w:w="1610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边长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5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～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50 km □</w:t>
            </w:r>
          </w:p>
        </w:tc>
        <w:tc>
          <w:tcPr>
            <w:tcW w:w="851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边长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= 5 km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预测因子</w:t>
            </w:r>
          </w:p>
        </w:tc>
        <w:tc>
          <w:tcPr>
            <w:tcW w:w="2053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预测因子（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295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包括二次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PM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vertAlign w:val="subscript"/>
              </w:rPr>
              <w:t>2.5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□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不包括二次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PM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vertAlign w:val="subscript"/>
              </w:rPr>
              <w:t>2.5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正常排放短期浓度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贡献值</w:t>
            </w:r>
          </w:p>
        </w:tc>
        <w:tc>
          <w:tcPr>
            <w:tcW w:w="2053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C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本项目最大占标率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≤100%□</w:t>
            </w:r>
          </w:p>
        </w:tc>
        <w:tc>
          <w:tcPr>
            <w:tcW w:w="1295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C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本项目最大占标率＞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100%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正常排放年均浓度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贡献值</w:t>
            </w:r>
          </w:p>
        </w:tc>
        <w:tc>
          <w:tcPr>
            <w:tcW w:w="88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一类区</w:t>
            </w:r>
          </w:p>
        </w:tc>
        <w:tc>
          <w:tcPr>
            <w:tcW w:w="1166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C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本项目最大占标率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≤10%□</w:t>
            </w:r>
          </w:p>
        </w:tc>
        <w:tc>
          <w:tcPr>
            <w:tcW w:w="1295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C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本项目最大标率＞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10%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二类区</w:t>
            </w:r>
          </w:p>
        </w:tc>
        <w:tc>
          <w:tcPr>
            <w:tcW w:w="1166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C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本项目最大占标率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≤30%□</w:t>
            </w:r>
          </w:p>
        </w:tc>
        <w:tc>
          <w:tcPr>
            <w:tcW w:w="1295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C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本项目最大标率＞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30%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非正常排放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1 h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浓度贡献值</w:t>
            </w:r>
          </w:p>
        </w:tc>
        <w:tc>
          <w:tcPr>
            <w:tcW w:w="88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非正常持续时长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（）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h</w:t>
            </w:r>
          </w:p>
        </w:tc>
        <w:tc>
          <w:tcPr>
            <w:tcW w:w="1166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C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非正常占标率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≤100% □</w:t>
            </w:r>
          </w:p>
        </w:tc>
        <w:tc>
          <w:tcPr>
            <w:tcW w:w="1295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C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非正常占标率＞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100%□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保证率日平均浓度和年平均浓度叠加值</w:t>
            </w:r>
          </w:p>
        </w:tc>
        <w:tc>
          <w:tcPr>
            <w:tcW w:w="2053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C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叠加达标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□</w:t>
            </w:r>
          </w:p>
        </w:tc>
        <w:tc>
          <w:tcPr>
            <w:tcW w:w="1295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C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叠加不达标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区域环境质量的整体变化情况</w:t>
            </w:r>
          </w:p>
        </w:tc>
        <w:tc>
          <w:tcPr>
            <w:tcW w:w="2053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k ≤−20% □</w:t>
            </w:r>
          </w:p>
        </w:tc>
        <w:tc>
          <w:tcPr>
            <w:tcW w:w="1295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k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＞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−20% 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环境监测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计划</w:t>
            </w: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污染源监测</w:t>
            </w:r>
          </w:p>
        </w:tc>
        <w:tc>
          <w:tcPr>
            <w:tcW w:w="88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监测因子：（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PM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subscript"/>
                <w:lang w:val="en-US" w:eastAsia="zh-CN"/>
              </w:rPr>
              <w:t>10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、TSP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166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有组织废气监测</w:t>
            </w:r>
            <w:r>
              <w:rPr>
                <w:rFonts w:hint="eastAsia" w:ascii="MS Mincho" w:hAnsi="MS Mincho" w:eastAsia="MS Mincho" w:cs="MS Mincho"/>
                <w:color w:val="auto"/>
                <w:sz w:val="21"/>
                <w:szCs w:val="21"/>
                <w:highlight w:val="none"/>
              </w:rPr>
              <w:t>☑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无组织废气监测</w:t>
            </w:r>
            <w:r>
              <w:rPr>
                <w:rFonts w:hint="eastAsia" w:ascii="MS Mincho" w:hAnsi="MS Mincho" w:eastAsia="MS Mincho" w:cs="MS Mincho"/>
                <w:color w:val="auto"/>
                <w:sz w:val="21"/>
                <w:szCs w:val="21"/>
                <w:highlight w:val="none"/>
              </w:rPr>
              <w:t>☑</w:t>
            </w:r>
          </w:p>
        </w:tc>
        <w:tc>
          <w:tcPr>
            <w:tcW w:w="1295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无监测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环境质量监测</w:t>
            </w:r>
          </w:p>
        </w:tc>
        <w:tc>
          <w:tcPr>
            <w:tcW w:w="88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监测因子：（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/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166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监测点位数（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ab/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295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无监测</w:t>
            </w:r>
            <w:r>
              <w:rPr>
                <w:rFonts w:hint="eastAsia" w:ascii="MS Mincho" w:hAnsi="MS Mincho" w:eastAsia="MS Mincho" w:cs="MS Mincho"/>
                <w:color w:val="auto"/>
                <w:sz w:val="21"/>
                <w:szCs w:val="21"/>
                <w:highlight w:val="none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评价结论</w:t>
            </w: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环境影响</w:t>
            </w:r>
          </w:p>
        </w:tc>
        <w:tc>
          <w:tcPr>
            <w:tcW w:w="3349" w:type="pct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可以接受</w:t>
            </w:r>
            <w:r>
              <w:rPr>
                <w:rFonts w:hint="eastAsia" w:ascii="MS Mincho" w:hAnsi="MS Mincho" w:eastAsia="MS Mincho" w:cs="MS Mincho"/>
                <w:color w:val="auto"/>
                <w:sz w:val="21"/>
                <w:szCs w:val="21"/>
                <w:highlight w:val="none"/>
              </w:rPr>
              <w:t>☑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ab/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不可以接受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大气环境防护距离</w:t>
            </w:r>
          </w:p>
        </w:tc>
        <w:tc>
          <w:tcPr>
            <w:tcW w:w="3349" w:type="pct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63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污染源年排放量</w:t>
            </w:r>
          </w:p>
        </w:tc>
        <w:tc>
          <w:tcPr>
            <w:tcW w:w="88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SO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  <w:vertAlign w:val="subscript"/>
              </w:rPr>
              <w:t>2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：（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）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t/a</w:t>
            </w:r>
          </w:p>
        </w:tc>
        <w:tc>
          <w:tcPr>
            <w:tcW w:w="583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NOx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：（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）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t/a</w:t>
            </w:r>
          </w:p>
        </w:tc>
        <w:tc>
          <w:tcPr>
            <w:tcW w:w="1026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颗粒物：（</w:t>
            </w: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2.5135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）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t/a</w:t>
            </w:r>
          </w:p>
        </w:tc>
        <w:tc>
          <w:tcPr>
            <w:tcW w:w="851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VOCs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：（/）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t/a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5000" w:type="pct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注：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“□”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为勾选项，填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“√”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；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>“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）</w:t>
            </w:r>
            <w:r>
              <w:rPr>
                <w:rFonts w:hint="default" w:ascii="Times New Roman" w:hAnsi="Times New Roman"/>
                <w:color w:val="auto"/>
                <w:sz w:val="21"/>
                <w:szCs w:val="21"/>
                <w:highlight w:val="none"/>
              </w:rPr>
              <w:t xml:space="preserve">”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highlight w:val="none"/>
              </w:rPr>
              <w:t>为内容填写项。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F27430"/>
    <w:rsid w:val="1C14444E"/>
    <w:rsid w:val="31653555"/>
    <w:rsid w:val="39795FD9"/>
    <w:rsid w:val="7AAC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孙斐</cp:lastModifiedBy>
  <dcterms:modified xsi:type="dcterms:W3CDTF">2021-01-06T05:53:26Z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