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31BB0" w14:textId="77777777" w:rsidR="008C2EC0" w:rsidRDefault="00F76D8C">
      <w:pPr>
        <w:spacing w:line="500" w:lineRule="exact"/>
        <w:jc w:val="center"/>
        <w:rPr>
          <w:rFonts w:ascii="黑体" w:eastAsia="黑体"/>
          <w:sz w:val="32"/>
          <w:szCs w:val="32"/>
        </w:rPr>
      </w:pPr>
      <w:r>
        <w:rPr>
          <w:rFonts w:ascii="黑体" w:eastAsia="黑体" w:hint="eastAsia"/>
          <w:sz w:val="32"/>
          <w:szCs w:val="32"/>
        </w:rPr>
        <w:t>平顶山市丰鑫建设工程有限公司年处理</w:t>
      </w:r>
      <w:r>
        <w:rPr>
          <w:rFonts w:ascii="黑体" w:eastAsia="黑体" w:hint="eastAsia"/>
          <w:sz w:val="32"/>
          <w:szCs w:val="32"/>
        </w:rPr>
        <w:t>310</w:t>
      </w:r>
      <w:r>
        <w:rPr>
          <w:rFonts w:ascii="黑体" w:eastAsia="黑体" w:hint="eastAsia"/>
          <w:sz w:val="32"/>
          <w:szCs w:val="32"/>
        </w:rPr>
        <w:t>万吨矿山固体废弃物综合利用项目环境影响报告</w:t>
      </w:r>
      <w:r>
        <w:rPr>
          <w:rFonts w:ascii="黑体" w:eastAsia="黑体" w:hint="eastAsia"/>
          <w:sz w:val="32"/>
          <w:szCs w:val="32"/>
        </w:rPr>
        <w:t>表技术评审意见</w:t>
      </w:r>
      <w:r>
        <w:rPr>
          <w:rFonts w:ascii="黑体" w:eastAsia="黑体" w:hint="eastAsia"/>
          <w:sz w:val="32"/>
          <w:szCs w:val="32"/>
        </w:rPr>
        <w:t>修改清单</w:t>
      </w:r>
    </w:p>
    <w:tbl>
      <w:tblPr>
        <w:tblW w:w="8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2065"/>
      </w:tblGrid>
      <w:tr w:rsidR="008C2EC0" w14:paraId="6BD0A0D0" w14:textId="77777777" w:rsidTr="002D6F1D">
        <w:trPr>
          <w:trHeight w:val="479"/>
          <w:jc w:val="center"/>
        </w:trPr>
        <w:tc>
          <w:tcPr>
            <w:tcW w:w="6662" w:type="dxa"/>
          </w:tcPr>
          <w:p w14:paraId="3DB9FBF7" w14:textId="77777777" w:rsidR="008C2EC0" w:rsidRPr="00F76D8C" w:rsidRDefault="00F76D8C" w:rsidP="002D6F1D">
            <w:pPr>
              <w:jc w:val="center"/>
              <w:rPr>
                <w:b/>
                <w:bCs/>
                <w:sz w:val="24"/>
              </w:rPr>
            </w:pPr>
            <w:r w:rsidRPr="00F76D8C">
              <w:rPr>
                <w:b/>
                <w:bCs/>
                <w:sz w:val="24"/>
              </w:rPr>
              <w:t>专家意见</w:t>
            </w:r>
          </w:p>
        </w:tc>
        <w:tc>
          <w:tcPr>
            <w:tcW w:w="2065" w:type="dxa"/>
          </w:tcPr>
          <w:p w14:paraId="23040215" w14:textId="77777777" w:rsidR="008C2EC0" w:rsidRPr="00F76D8C" w:rsidRDefault="00F76D8C" w:rsidP="002D6F1D">
            <w:pPr>
              <w:jc w:val="center"/>
              <w:rPr>
                <w:b/>
                <w:bCs/>
                <w:sz w:val="24"/>
              </w:rPr>
            </w:pPr>
            <w:r w:rsidRPr="00F76D8C">
              <w:rPr>
                <w:b/>
                <w:bCs/>
                <w:sz w:val="24"/>
              </w:rPr>
              <w:t>修改情况</w:t>
            </w:r>
          </w:p>
        </w:tc>
      </w:tr>
      <w:tr w:rsidR="008C2EC0" w14:paraId="42FE681B" w14:textId="77777777" w:rsidTr="002D6F1D">
        <w:trPr>
          <w:trHeight w:val="624"/>
          <w:jc w:val="center"/>
        </w:trPr>
        <w:tc>
          <w:tcPr>
            <w:tcW w:w="6662" w:type="dxa"/>
            <w:vAlign w:val="center"/>
          </w:tcPr>
          <w:p w14:paraId="3DB64CD0" w14:textId="77777777" w:rsidR="008C2EC0" w:rsidRPr="00F76D8C" w:rsidRDefault="00F76D8C" w:rsidP="002D6F1D">
            <w:pPr>
              <w:rPr>
                <w:color w:val="000000"/>
                <w:kern w:val="0"/>
                <w:sz w:val="24"/>
              </w:rPr>
            </w:pPr>
            <w:r w:rsidRPr="00F76D8C">
              <w:rPr>
                <w:color w:val="000000"/>
                <w:kern w:val="0"/>
                <w:sz w:val="24"/>
              </w:rPr>
              <w:t>完善项目周边环境现状调查</w:t>
            </w:r>
          </w:p>
        </w:tc>
        <w:tc>
          <w:tcPr>
            <w:tcW w:w="2065" w:type="dxa"/>
            <w:vAlign w:val="center"/>
          </w:tcPr>
          <w:p w14:paraId="15ADAE24" w14:textId="169200D8" w:rsidR="008C2EC0" w:rsidRPr="00F76D8C" w:rsidRDefault="00F76D8C" w:rsidP="002D6F1D">
            <w:pPr>
              <w:rPr>
                <w:rFonts w:hint="eastAsia"/>
                <w:sz w:val="24"/>
              </w:rPr>
            </w:pPr>
            <w:r w:rsidRPr="00F76D8C">
              <w:rPr>
                <w:rFonts w:hint="eastAsia"/>
                <w:sz w:val="24"/>
              </w:rPr>
              <w:t>已完善，</w:t>
            </w:r>
            <w:r w:rsidRPr="00F76D8C">
              <w:rPr>
                <w:rFonts w:hint="eastAsia"/>
                <w:sz w:val="24"/>
              </w:rPr>
              <w:t>P3</w:t>
            </w:r>
            <w:r w:rsidR="002D6F1D" w:rsidRPr="00F76D8C">
              <w:rPr>
                <w:sz w:val="24"/>
              </w:rPr>
              <w:t>~4</w:t>
            </w:r>
            <w:r w:rsidR="002D6F1D" w:rsidRPr="00F76D8C">
              <w:rPr>
                <w:rFonts w:hint="eastAsia"/>
                <w:sz w:val="24"/>
              </w:rPr>
              <w:t>页划线处</w:t>
            </w:r>
          </w:p>
        </w:tc>
      </w:tr>
      <w:tr w:rsidR="008C2EC0" w14:paraId="1E348985" w14:textId="77777777" w:rsidTr="002D6F1D">
        <w:trPr>
          <w:trHeight w:val="624"/>
          <w:jc w:val="center"/>
        </w:trPr>
        <w:tc>
          <w:tcPr>
            <w:tcW w:w="6662" w:type="dxa"/>
            <w:vAlign w:val="center"/>
          </w:tcPr>
          <w:p w14:paraId="34ECA329" w14:textId="77777777" w:rsidR="008C2EC0" w:rsidRPr="00F76D8C" w:rsidRDefault="00F76D8C" w:rsidP="002D6F1D">
            <w:pPr>
              <w:rPr>
                <w:sz w:val="24"/>
              </w:rPr>
            </w:pPr>
            <w:r w:rsidRPr="00F76D8C">
              <w:rPr>
                <w:sz w:val="24"/>
              </w:rPr>
              <w:t>结合环境治理相关要求，细化施工期污染防控措施</w:t>
            </w:r>
          </w:p>
        </w:tc>
        <w:tc>
          <w:tcPr>
            <w:tcW w:w="2065" w:type="dxa"/>
            <w:vAlign w:val="center"/>
          </w:tcPr>
          <w:p w14:paraId="753C1D14" w14:textId="15D813CC" w:rsidR="008C2EC0" w:rsidRPr="00F76D8C" w:rsidRDefault="00F76D8C" w:rsidP="002D6F1D">
            <w:pPr>
              <w:rPr>
                <w:sz w:val="24"/>
              </w:rPr>
            </w:pPr>
            <w:r w:rsidRPr="00F76D8C">
              <w:rPr>
                <w:rFonts w:hint="eastAsia"/>
                <w:sz w:val="24"/>
              </w:rPr>
              <w:t>已细化</w:t>
            </w:r>
            <w:r w:rsidR="002D6F1D" w:rsidRPr="00F76D8C">
              <w:rPr>
                <w:rFonts w:hint="eastAsia"/>
                <w:sz w:val="24"/>
              </w:rPr>
              <w:t>，</w:t>
            </w:r>
            <w:r w:rsidRPr="00F76D8C">
              <w:rPr>
                <w:rFonts w:hint="eastAsia"/>
                <w:sz w:val="24"/>
              </w:rPr>
              <w:t>P28</w:t>
            </w:r>
            <w:r w:rsidR="002D6F1D" w:rsidRPr="00F76D8C">
              <w:rPr>
                <w:rFonts w:hint="eastAsia"/>
                <w:sz w:val="24"/>
              </w:rPr>
              <w:t>~</w:t>
            </w:r>
            <w:r w:rsidRPr="00F76D8C">
              <w:rPr>
                <w:rFonts w:hint="eastAsia"/>
                <w:sz w:val="24"/>
              </w:rPr>
              <w:t>P29</w:t>
            </w:r>
            <w:r w:rsidRPr="00F76D8C">
              <w:rPr>
                <w:rFonts w:hint="eastAsia"/>
                <w:sz w:val="24"/>
              </w:rPr>
              <w:t>、</w:t>
            </w:r>
            <w:r w:rsidRPr="00F76D8C">
              <w:rPr>
                <w:rFonts w:hint="eastAsia"/>
                <w:sz w:val="24"/>
              </w:rPr>
              <w:t>P4</w:t>
            </w:r>
            <w:r w:rsidR="002D6F1D" w:rsidRPr="00F76D8C">
              <w:rPr>
                <w:sz w:val="24"/>
              </w:rPr>
              <w:t>7~</w:t>
            </w:r>
            <w:r w:rsidRPr="00F76D8C">
              <w:rPr>
                <w:rFonts w:hint="eastAsia"/>
                <w:sz w:val="24"/>
              </w:rPr>
              <w:t>P49</w:t>
            </w:r>
            <w:r w:rsidR="002D6F1D" w:rsidRPr="00F76D8C">
              <w:rPr>
                <w:rFonts w:hint="eastAsia"/>
                <w:sz w:val="24"/>
              </w:rPr>
              <w:t>页划线处</w:t>
            </w:r>
          </w:p>
        </w:tc>
      </w:tr>
      <w:tr w:rsidR="008C2EC0" w14:paraId="2F2C72AD" w14:textId="77777777" w:rsidTr="002D6F1D">
        <w:trPr>
          <w:trHeight w:val="624"/>
          <w:jc w:val="center"/>
        </w:trPr>
        <w:tc>
          <w:tcPr>
            <w:tcW w:w="6662" w:type="dxa"/>
            <w:vAlign w:val="center"/>
          </w:tcPr>
          <w:p w14:paraId="608C7387" w14:textId="77777777" w:rsidR="008C2EC0" w:rsidRPr="00F76D8C" w:rsidRDefault="00F76D8C" w:rsidP="002D6F1D">
            <w:pPr>
              <w:rPr>
                <w:sz w:val="24"/>
              </w:rPr>
            </w:pPr>
            <w:r w:rsidRPr="00F76D8C">
              <w:rPr>
                <w:sz w:val="24"/>
              </w:rPr>
              <w:t>严格按照大气污染防控相关政策要求，细化工程分析内容，进一步分析说明矿山固体废弃物的来源及满足本项目使用的可靠性，说明矿山固体废弃物作为原料的相关要求，补充生产设施与产能匹配性分析，完善原料装卸、输送、生产工艺节点转载、道路地面等相关污染防控内容；复核排放量相关数据，补充物料平衡和校核水平衡；校核原料库及成品库容积，确保原料及成品全部进入封闭库棚，生产设施等在全封闭车间内并按照相关要求对相关设施进行二次封闭，确保各类污染物达标排放</w:t>
            </w:r>
          </w:p>
        </w:tc>
        <w:tc>
          <w:tcPr>
            <w:tcW w:w="2065" w:type="dxa"/>
            <w:vAlign w:val="center"/>
          </w:tcPr>
          <w:p w14:paraId="0738F570" w14:textId="18FB3B20" w:rsidR="008C2EC0" w:rsidRPr="00F76D8C" w:rsidRDefault="00F76D8C" w:rsidP="002D6F1D">
            <w:pPr>
              <w:rPr>
                <w:sz w:val="24"/>
              </w:rPr>
            </w:pPr>
            <w:r w:rsidRPr="00F76D8C">
              <w:rPr>
                <w:rFonts w:hint="eastAsia"/>
                <w:sz w:val="24"/>
              </w:rPr>
              <w:t>已修改，</w:t>
            </w:r>
            <w:r w:rsidRPr="00F76D8C">
              <w:rPr>
                <w:rFonts w:hint="eastAsia"/>
                <w:sz w:val="24"/>
              </w:rPr>
              <w:t>P</w:t>
            </w:r>
            <w:r w:rsidR="002D6F1D" w:rsidRPr="00F76D8C">
              <w:rPr>
                <w:sz w:val="24"/>
              </w:rPr>
              <w:t>7</w:t>
            </w:r>
            <w:r w:rsidRPr="00F76D8C">
              <w:rPr>
                <w:rFonts w:hint="eastAsia"/>
                <w:sz w:val="24"/>
              </w:rPr>
              <w:t>-8</w:t>
            </w:r>
            <w:r w:rsidRPr="00F76D8C">
              <w:rPr>
                <w:rFonts w:hint="eastAsia"/>
                <w:sz w:val="24"/>
              </w:rPr>
              <w:t>、</w:t>
            </w:r>
            <w:r w:rsidRPr="00F76D8C">
              <w:rPr>
                <w:rFonts w:hint="eastAsia"/>
                <w:sz w:val="24"/>
              </w:rPr>
              <w:t>P</w:t>
            </w:r>
            <w:r w:rsidR="002D6F1D" w:rsidRPr="00F76D8C">
              <w:rPr>
                <w:sz w:val="24"/>
              </w:rPr>
              <w:t>35~40</w:t>
            </w:r>
            <w:r w:rsidRPr="00F76D8C">
              <w:rPr>
                <w:rFonts w:hint="eastAsia"/>
                <w:sz w:val="24"/>
              </w:rPr>
              <w:t>、</w:t>
            </w:r>
            <w:r w:rsidR="002D6F1D" w:rsidRPr="00F76D8C">
              <w:rPr>
                <w:rFonts w:hint="eastAsia"/>
                <w:sz w:val="24"/>
              </w:rPr>
              <w:t>P</w:t>
            </w:r>
            <w:r w:rsidR="002D6F1D" w:rsidRPr="00F76D8C">
              <w:rPr>
                <w:sz w:val="24"/>
              </w:rPr>
              <w:t>34</w:t>
            </w:r>
            <w:r w:rsidR="002D6F1D" w:rsidRPr="00F76D8C">
              <w:rPr>
                <w:rFonts w:hint="eastAsia"/>
                <w:sz w:val="24"/>
              </w:rPr>
              <w:t>、</w:t>
            </w:r>
            <w:r w:rsidRPr="00F76D8C">
              <w:rPr>
                <w:rFonts w:hint="eastAsia"/>
                <w:sz w:val="24"/>
              </w:rPr>
              <w:t>P42</w:t>
            </w:r>
            <w:r w:rsidRPr="00F76D8C">
              <w:rPr>
                <w:rFonts w:hint="eastAsia"/>
                <w:sz w:val="24"/>
              </w:rPr>
              <w:t>、</w:t>
            </w:r>
            <w:r w:rsidRPr="00F76D8C">
              <w:rPr>
                <w:rFonts w:hint="eastAsia"/>
                <w:sz w:val="24"/>
              </w:rPr>
              <w:t>P54</w:t>
            </w:r>
            <w:r w:rsidRPr="00F76D8C">
              <w:rPr>
                <w:rFonts w:hint="eastAsia"/>
                <w:sz w:val="24"/>
              </w:rPr>
              <w:t>、</w:t>
            </w:r>
            <w:r w:rsidRPr="00F76D8C">
              <w:rPr>
                <w:rFonts w:hint="eastAsia"/>
                <w:sz w:val="24"/>
              </w:rPr>
              <w:t>P72</w:t>
            </w:r>
            <w:r w:rsidR="002D6F1D" w:rsidRPr="002D6F1D">
              <w:rPr>
                <w:rFonts w:hint="eastAsia"/>
                <w:sz w:val="24"/>
              </w:rPr>
              <w:t>页划线处</w:t>
            </w:r>
          </w:p>
        </w:tc>
      </w:tr>
      <w:tr w:rsidR="008C2EC0" w14:paraId="57B6A108" w14:textId="77777777" w:rsidTr="002D6F1D">
        <w:trPr>
          <w:trHeight w:val="624"/>
          <w:jc w:val="center"/>
        </w:trPr>
        <w:tc>
          <w:tcPr>
            <w:tcW w:w="6662" w:type="dxa"/>
            <w:vAlign w:val="center"/>
          </w:tcPr>
          <w:p w14:paraId="57381809" w14:textId="77777777" w:rsidR="008C2EC0" w:rsidRPr="00F76D8C" w:rsidRDefault="00F76D8C" w:rsidP="002D6F1D">
            <w:pPr>
              <w:rPr>
                <w:sz w:val="24"/>
              </w:rPr>
            </w:pPr>
            <w:r w:rsidRPr="00F76D8C">
              <w:rPr>
                <w:sz w:val="24"/>
              </w:rPr>
              <w:t>完善环境风险分析相关内容；补充车辆运输相应环保措施</w:t>
            </w:r>
          </w:p>
        </w:tc>
        <w:tc>
          <w:tcPr>
            <w:tcW w:w="2065" w:type="dxa"/>
            <w:vAlign w:val="center"/>
          </w:tcPr>
          <w:p w14:paraId="1DFEEC29" w14:textId="2BCBE97B" w:rsidR="008C2EC0" w:rsidRPr="00F76D8C" w:rsidRDefault="00F76D8C" w:rsidP="002D6F1D">
            <w:pPr>
              <w:rPr>
                <w:sz w:val="24"/>
              </w:rPr>
            </w:pPr>
            <w:r w:rsidRPr="00F76D8C">
              <w:rPr>
                <w:rFonts w:hint="eastAsia"/>
                <w:sz w:val="24"/>
              </w:rPr>
              <w:t>已补充</w:t>
            </w:r>
            <w:r w:rsidRPr="00F76D8C">
              <w:rPr>
                <w:sz w:val="24"/>
              </w:rPr>
              <w:t>完善</w:t>
            </w:r>
            <w:r w:rsidRPr="00F76D8C">
              <w:rPr>
                <w:rFonts w:hint="eastAsia"/>
                <w:sz w:val="24"/>
              </w:rPr>
              <w:t>P39</w:t>
            </w:r>
            <w:r w:rsidR="002D6F1D" w:rsidRPr="00F76D8C">
              <w:rPr>
                <w:sz w:val="24"/>
              </w:rPr>
              <w:t>~40</w:t>
            </w:r>
            <w:r w:rsidRPr="00F76D8C">
              <w:rPr>
                <w:rFonts w:hint="eastAsia"/>
                <w:sz w:val="24"/>
              </w:rPr>
              <w:t>、</w:t>
            </w:r>
            <w:r w:rsidRPr="00F76D8C">
              <w:rPr>
                <w:rFonts w:hint="eastAsia"/>
                <w:sz w:val="24"/>
              </w:rPr>
              <w:t>P62-66</w:t>
            </w:r>
            <w:r w:rsidR="002D6F1D" w:rsidRPr="002D6F1D">
              <w:rPr>
                <w:rFonts w:hint="eastAsia"/>
                <w:sz w:val="24"/>
              </w:rPr>
              <w:t>页划线处</w:t>
            </w:r>
          </w:p>
        </w:tc>
      </w:tr>
      <w:tr w:rsidR="008C2EC0" w14:paraId="1C564BBA" w14:textId="77777777" w:rsidTr="002D6F1D">
        <w:trPr>
          <w:trHeight w:val="624"/>
          <w:jc w:val="center"/>
        </w:trPr>
        <w:tc>
          <w:tcPr>
            <w:tcW w:w="6662" w:type="dxa"/>
            <w:vAlign w:val="center"/>
          </w:tcPr>
          <w:p w14:paraId="144C9C55" w14:textId="77777777" w:rsidR="008C2EC0" w:rsidRPr="00F76D8C" w:rsidRDefault="00F76D8C" w:rsidP="002D6F1D">
            <w:pPr>
              <w:pStyle w:val="1"/>
              <w:snapToGrid/>
              <w:spacing w:line="240" w:lineRule="auto"/>
              <w:ind w:firstLine="0"/>
              <w:rPr>
                <w:rFonts w:eastAsia="宋体"/>
                <w:color w:val="auto"/>
                <w:sz w:val="24"/>
                <w:szCs w:val="24"/>
              </w:rPr>
            </w:pPr>
            <w:r w:rsidRPr="00F76D8C">
              <w:rPr>
                <w:rFonts w:eastAsia="宋体"/>
                <w:color w:val="auto"/>
                <w:sz w:val="24"/>
                <w:szCs w:val="24"/>
              </w:rPr>
              <w:t>完善水洗工艺过程中沉淀污泥的暂存要求（防雨淋、防溢流、防渗透）、去向等相关内容；确保水洗工艺生产废水循环利用，严禁生产过程水体外溢；完善初期雨水收集系统和利用情况说明</w:t>
            </w:r>
          </w:p>
        </w:tc>
        <w:tc>
          <w:tcPr>
            <w:tcW w:w="2065" w:type="dxa"/>
            <w:vAlign w:val="center"/>
          </w:tcPr>
          <w:p w14:paraId="5A1615FC" w14:textId="7548ACAB" w:rsidR="008C2EC0" w:rsidRPr="00F76D8C" w:rsidRDefault="00F76D8C" w:rsidP="002D6F1D">
            <w:pPr>
              <w:rPr>
                <w:sz w:val="24"/>
              </w:rPr>
            </w:pPr>
            <w:r w:rsidRPr="00F76D8C">
              <w:rPr>
                <w:rFonts w:hint="eastAsia"/>
                <w:sz w:val="24"/>
              </w:rPr>
              <w:t>已</w:t>
            </w:r>
            <w:r w:rsidRPr="00F76D8C">
              <w:rPr>
                <w:sz w:val="24"/>
              </w:rPr>
              <w:t>完善</w:t>
            </w:r>
            <w:r w:rsidR="002D6F1D" w:rsidRPr="002D6F1D">
              <w:rPr>
                <w:rFonts w:hint="eastAsia"/>
                <w:sz w:val="24"/>
              </w:rPr>
              <w:t>P59</w:t>
            </w:r>
            <w:r w:rsidR="002D6F1D">
              <w:rPr>
                <w:rFonts w:hint="eastAsia"/>
                <w:sz w:val="24"/>
              </w:rPr>
              <w:t>、</w:t>
            </w:r>
            <w:r w:rsidRPr="00F76D8C">
              <w:rPr>
                <w:rFonts w:hint="eastAsia"/>
                <w:sz w:val="24"/>
              </w:rPr>
              <w:t>P41</w:t>
            </w:r>
            <w:r w:rsidR="002D6F1D" w:rsidRPr="00F76D8C">
              <w:rPr>
                <w:sz w:val="24"/>
              </w:rPr>
              <w:t>~42</w:t>
            </w:r>
            <w:r w:rsidR="002D6F1D" w:rsidRPr="002D6F1D">
              <w:rPr>
                <w:rFonts w:hint="eastAsia"/>
                <w:sz w:val="24"/>
              </w:rPr>
              <w:t>页划线处</w:t>
            </w:r>
          </w:p>
        </w:tc>
      </w:tr>
      <w:tr w:rsidR="008C2EC0" w14:paraId="1F428FA1" w14:textId="77777777" w:rsidTr="002D6F1D">
        <w:trPr>
          <w:trHeight w:val="624"/>
          <w:jc w:val="center"/>
        </w:trPr>
        <w:tc>
          <w:tcPr>
            <w:tcW w:w="6662" w:type="dxa"/>
            <w:vAlign w:val="center"/>
          </w:tcPr>
          <w:p w14:paraId="35A3D69E" w14:textId="77777777" w:rsidR="008C2EC0" w:rsidRPr="00F76D8C" w:rsidRDefault="00F76D8C" w:rsidP="002D6F1D">
            <w:pPr>
              <w:rPr>
                <w:sz w:val="24"/>
              </w:rPr>
            </w:pPr>
            <w:r w:rsidRPr="00F76D8C">
              <w:rPr>
                <w:sz w:val="24"/>
              </w:rPr>
              <w:t>优化项目平面布局并分析其合理性（标注环保设施位置）；完善环境管理与及检测计划；完善环保投资及环保设施验收一览表内容</w:t>
            </w:r>
          </w:p>
        </w:tc>
        <w:tc>
          <w:tcPr>
            <w:tcW w:w="2065" w:type="dxa"/>
            <w:vAlign w:val="center"/>
          </w:tcPr>
          <w:p w14:paraId="696D4024" w14:textId="76AF640C" w:rsidR="008C2EC0" w:rsidRPr="00F76D8C" w:rsidRDefault="00F76D8C" w:rsidP="002D6F1D">
            <w:pPr>
              <w:rPr>
                <w:sz w:val="24"/>
              </w:rPr>
            </w:pPr>
            <w:r w:rsidRPr="00F76D8C">
              <w:rPr>
                <w:rFonts w:hint="eastAsia"/>
                <w:sz w:val="24"/>
              </w:rPr>
              <w:t>P6</w:t>
            </w:r>
            <w:r w:rsidR="000C6EED" w:rsidRPr="00F76D8C">
              <w:rPr>
                <w:sz w:val="24"/>
              </w:rPr>
              <w:t>8</w:t>
            </w:r>
            <w:r w:rsidRPr="00F76D8C">
              <w:rPr>
                <w:rFonts w:hint="eastAsia"/>
                <w:sz w:val="24"/>
              </w:rPr>
              <w:t>-70</w:t>
            </w:r>
            <w:r w:rsidRPr="00F76D8C">
              <w:rPr>
                <w:rFonts w:hint="eastAsia"/>
                <w:sz w:val="24"/>
              </w:rPr>
              <w:t>、附图</w:t>
            </w:r>
            <w:r w:rsidRPr="00F76D8C">
              <w:rPr>
                <w:rFonts w:hint="eastAsia"/>
                <w:sz w:val="24"/>
              </w:rPr>
              <w:t>3</w:t>
            </w:r>
          </w:p>
        </w:tc>
      </w:tr>
    </w:tbl>
    <w:p w14:paraId="578CD234" w14:textId="77777777" w:rsidR="008C2EC0" w:rsidRDefault="008C2EC0">
      <w:pPr>
        <w:spacing w:line="440" w:lineRule="exact"/>
        <w:rPr>
          <w:rFonts w:ascii="仿宋_GB2312" w:eastAsia="仿宋_GB2312" w:hAnsi="华文中宋"/>
          <w:szCs w:val="21"/>
        </w:rPr>
      </w:pPr>
    </w:p>
    <w:sectPr w:rsidR="008C2EC0">
      <w:headerReference w:type="default" r:id="rId7"/>
      <w:pgSz w:w="11906" w:h="16838"/>
      <w:pgMar w:top="1361" w:right="1588" w:bottom="136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5D30A" w14:textId="77777777" w:rsidR="00F76D8C" w:rsidRDefault="00F76D8C">
      <w:r>
        <w:separator/>
      </w:r>
    </w:p>
  </w:endnote>
  <w:endnote w:type="continuationSeparator" w:id="0">
    <w:p w14:paraId="60EC4DF0" w14:textId="77777777" w:rsidR="00F76D8C" w:rsidRDefault="00F76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0002AFF" w:usb1="4000ACFF"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default"/>
    <w:sig w:usb0="00000000" w:usb1="00000000" w:usb2="00000000" w:usb3="00000000" w:csb0="0004009F" w:csb1="DFD7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072CA" w14:textId="77777777" w:rsidR="00F76D8C" w:rsidRDefault="00F76D8C">
      <w:r>
        <w:separator/>
      </w:r>
    </w:p>
  </w:footnote>
  <w:footnote w:type="continuationSeparator" w:id="0">
    <w:p w14:paraId="4CD0E34D" w14:textId="77777777" w:rsidR="00F76D8C" w:rsidRDefault="00F76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4F2AB" w14:textId="77777777" w:rsidR="008C2EC0" w:rsidRDefault="008C2EC0">
    <w:pPr>
      <w:pStyle w:val="ad"/>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8150C"/>
    <w:rsid w:val="00025654"/>
    <w:rsid w:val="0002639E"/>
    <w:rsid w:val="00027426"/>
    <w:rsid w:val="00040DE3"/>
    <w:rsid w:val="00042861"/>
    <w:rsid w:val="00047936"/>
    <w:rsid w:val="00070D4C"/>
    <w:rsid w:val="00072AD7"/>
    <w:rsid w:val="000735D3"/>
    <w:rsid w:val="00076173"/>
    <w:rsid w:val="000B1504"/>
    <w:rsid w:val="000B5D79"/>
    <w:rsid w:val="000C1E4A"/>
    <w:rsid w:val="000C4E83"/>
    <w:rsid w:val="000C5FC1"/>
    <w:rsid w:val="000C6EED"/>
    <w:rsid w:val="000E535D"/>
    <w:rsid w:val="000E6ACC"/>
    <w:rsid w:val="000E6AFC"/>
    <w:rsid w:val="000F7941"/>
    <w:rsid w:val="00106535"/>
    <w:rsid w:val="00116AB9"/>
    <w:rsid w:val="00127660"/>
    <w:rsid w:val="00132007"/>
    <w:rsid w:val="00144881"/>
    <w:rsid w:val="0015528A"/>
    <w:rsid w:val="00160421"/>
    <w:rsid w:val="00181DC4"/>
    <w:rsid w:val="00190654"/>
    <w:rsid w:val="001A60D6"/>
    <w:rsid w:val="001B674B"/>
    <w:rsid w:val="001F5020"/>
    <w:rsid w:val="00206517"/>
    <w:rsid w:val="00206E7E"/>
    <w:rsid w:val="00211CF2"/>
    <w:rsid w:val="00214991"/>
    <w:rsid w:val="00217530"/>
    <w:rsid w:val="0022656F"/>
    <w:rsid w:val="002471B9"/>
    <w:rsid w:val="00252E14"/>
    <w:rsid w:val="00280D88"/>
    <w:rsid w:val="00283744"/>
    <w:rsid w:val="00292BD4"/>
    <w:rsid w:val="002A4FC0"/>
    <w:rsid w:val="002B582C"/>
    <w:rsid w:val="002C0675"/>
    <w:rsid w:val="002D6F1D"/>
    <w:rsid w:val="002F408B"/>
    <w:rsid w:val="002F4D4B"/>
    <w:rsid w:val="0030443D"/>
    <w:rsid w:val="003044D4"/>
    <w:rsid w:val="00310B93"/>
    <w:rsid w:val="00322D6D"/>
    <w:rsid w:val="0033795C"/>
    <w:rsid w:val="003778BC"/>
    <w:rsid w:val="003923D9"/>
    <w:rsid w:val="00395A22"/>
    <w:rsid w:val="00396C26"/>
    <w:rsid w:val="003B370B"/>
    <w:rsid w:val="003B7029"/>
    <w:rsid w:val="003C0104"/>
    <w:rsid w:val="003D10F3"/>
    <w:rsid w:val="003D5F02"/>
    <w:rsid w:val="003E071B"/>
    <w:rsid w:val="003E43BF"/>
    <w:rsid w:val="003F212F"/>
    <w:rsid w:val="004057DA"/>
    <w:rsid w:val="00427A68"/>
    <w:rsid w:val="00443068"/>
    <w:rsid w:val="00457E17"/>
    <w:rsid w:val="00472B7B"/>
    <w:rsid w:val="00473C28"/>
    <w:rsid w:val="0049420A"/>
    <w:rsid w:val="004A334D"/>
    <w:rsid w:val="004A4E4A"/>
    <w:rsid w:val="004A6E16"/>
    <w:rsid w:val="004B3924"/>
    <w:rsid w:val="00511A68"/>
    <w:rsid w:val="005172B0"/>
    <w:rsid w:val="00521670"/>
    <w:rsid w:val="005313C9"/>
    <w:rsid w:val="00547023"/>
    <w:rsid w:val="00563BCE"/>
    <w:rsid w:val="00587AE7"/>
    <w:rsid w:val="0059322B"/>
    <w:rsid w:val="00596BC7"/>
    <w:rsid w:val="005A3684"/>
    <w:rsid w:val="005B2B51"/>
    <w:rsid w:val="005B76C9"/>
    <w:rsid w:val="005C4FA1"/>
    <w:rsid w:val="005E6537"/>
    <w:rsid w:val="005F4D72"/>
    <w:rsid w:val="00620CED"/>
    <w:rsid w:val="006329E7"/>
    <w:rsid w:val="00637ACE"/>
    <w:rsid w:val="00640D27"/>
    <w:rsid w:val="00653FB6"/>
    <w:rsid w:val="006602CC"/>
    <w:rsid w:val="00667515"/>
    <w:rsid w:val="00685920"/>
    <w:rsid w:val="006903BB"/>
    <w:rsid w:val="00695D9D"/>
    <w:rsid w:val="006C16FA"/>
    <w:rsid w:val="006C328C"/>
    <w:rsid w:val="006E166A"/>
    <w:rsid w:val="006F7DAF"/>
    <w:rsid w:val="00702703"/>
    <w:rsid w:val="00711138"/>
    <w:rsid w:val="00711AA9"/>
    <w:rsid w:val="007255E7"/>
    <w:rsid w:val="007321B6"/>
    <w:rsid w:val="00737AC7"/>
    <w:rsid w:val="007A0F6A"/>
    <w:rsid w:val="007B3508"/>
    <w:rsid w:val="007D11FE"/>
    <w:rsid w:val="007F442F"/>
    <w:rsid w:val="007F5F79"/>
    <w:rsid w:val="00836690"/>
    <w:rsid w:val="00865400"/>
    <w:rsid w:val="00877CDE"/>
    <w:rsid w:val="008818A1"/>
    <w:rsid w:val="008C2EC0"/>
    <w:rsid w:val="009100B4"/>
    <w:rsid w:val="00925C36"/>
    <w:rsid w:val="009369EF"/>
    <w:rsid w:val="00947CED"/>
    <w:rsid w:val="00956808"/>
    <w:rsid w:val="0098150C"/>
    <w:rsid w:val="00982156"/>
    <w:rsid w:val="009868A9"/>
    <w:rsid w:val="00987461"/>
    <w:rsid w:val="009B65DC"/>
    <w:rsid w:val="009E7C41"/>
    <w:rsid w:val="009F271E"/>
    <w:rsid w:val="00A0008E"/>
    <w:rsid w:val="00A11E8F"/>
    <w:rsid w:val="00A205EE"/>
    <w:rsid w:val="00A36290"/>
    <w:rsid w:val="00A65D20"/>
    <w:rsid w:val="00A65D31"/>
    <w:rsid w:val="00A84744"/>
    <w:rsid w:val="00A90FF4"/>
    <w:rsid w:val="00A95228"/>
    <w:rsid w:val="00AA4AAC"/>
    <w:rsid w:val="00AB324F"/>
    <w:rsid w:val="00AB7E24"/>
    <w:rsid w:val="00AF3898"/>
    <w:rsid w:val="00B033ED"/>
    <w:rsid w:val="00B04E2D"/>
    <w:rsid w:val="00B07160"/>
    <w:rsid w:val="00B32B12"/>
    <w:rsid w:val="00B43959"/>
    <w:rsid w:val="00B43E43"/>
    <w:rsid w:val="00B50372"/>
    <w:rsid w:val="00B51557"/>
    <w:rsid w:val="00B65276"/>
    <w:rsid w:val="00B70D8F"/>
    <w:rsid w:val="00B73B45"/>
    <w:rsid w:val="00B92ECC"/>
    <w:rsid w:val="00BA1F67"/>
    <w:rsid w:val="00BA2E58"/>
    <w:rsid w:val="00BB0787"/>
    <w:rsid w:val="00BC1E53"/>
    <w:rsid w:val="00BD0A4B"/>
    <w:rsid w:val="00BD2BB8"/>
    <w:rsid w:val="00BD36DE"/>
    <w:rsid w:val="00BF4976"/>
    <w:rsid w:val="00BF69C7"/>
    <w:rsid w:val="00BF7A9E"/>
    <w:rsid w:val="00C1125C"/>
    <w:rsid w:val="00C1331D"/>
    <w:rsid w:val="00C13B23"/>
    <w:rsid w:val="00C35181"/>
    <w:rsid w:val="00C4229C"/>
    <w:rsid w:val="00C455E1"/>
    <w:rsid w:val="00C456AD"/>
    <w:rsid w:val="00C809C7"/>
    <w:rsid w:val="00C8368F"/>
    <w:rsid w:val="00C90DC2"/>
    <w:rsid w:val="00CA64E5"/>
    <w:rsid w:val="00CB0E2E"/>
    <w:rsid w:val="00CC10E7"/>
    <w:rsid w:val="00CE2D24"/>
    <w:rsid w:val="00D00DF9"/>
    <w:rsid w:val="00D01D7E"/>
    <w:rsid w:val="00D14AF1"/>
    <w:rsid w:val="00D17A9A"/>
    <w:rsid w:val="00D2326D"/>
    <w:rsid w:val="00D24052"/>
    <w:rsid w:val="00D33AB5"/>
    <w:rsid w:val="00D64742"/>
    <w:rsid w:val="00D7515C"/>
    <w:rsid w:val="00D76911"/>
    <w:rsid w:val="00D8324C"/>
    <w:rsid w:val="00D8646E"/>
    <w:rsid w:val="00D927B4"/>
    <w:rsid w:val="00DC220E"/>
    <w:rsid w:val="00DD114E"/>
    <w:rsid w:val="00DD7D00"/>
    <w:rsid w:val="00DE791A"/>
    <w:rsid w:val="00E02C9B"/>
    <w:rsid w:val="00E04830"/>
    <w:rsid w:val="00E1313B"/>
    <w:rsid w:val="00E175AA"/>
    <w:rsid w:val="00E23B2E"/>
    <w:rsid w:val="00E61108"/>
    <w:rsid w:val="00E61CD4"/>
    <w:rsid w:val="00E719EA"/>
    <w:rsid w:val="00E734A5"/>
    <w:rsid w:val="00E74722"/>
    <w:rsid w:val="00EA05DB"/>
    <w:rsid w:val="00EA1CA3"/>
    <w:rsid w:val="00EA4FD8"/>
    <w:rsid w:val="00EC0C5D"/>
    <w:rsid w:val="00EE496D"/>
    <w:rsid w:val="00EF472C"/>
    <w:rsid w:val="00F03338"/>
    <w:rsid w:val="00F10855"/>
    <w:rsid w:val="00F63F97"/>
    <w:rsid w:val="00F76D8C"/>
    <w:rsid w:val="00F975FF"/>
    <w:rsid w:val="00FA527A"/>
    <w:rsid w:val="00FA74DA"/>
    <w:rsid w:val="00FA79D9"/>
    <w:rsid w:val="00FB4852"/>
    <w:rsid w:val="00FD25C1"/>
    <w:rsid w:val="00FF1897"/>
    <w:rsid w:val="00FF3CCE"/>
    <w:rsid w:val="00FF6B96"/>
    <w:rsid w:val="01B52485"/>
    <w:rsid w:val="01DE06F4"/>
    <w:rsid w:val="02152F6A"/>
    <w:rsid w:val="04025BBA"/>
    <w:rsid w:val="041F6DE1"/>
    <w:rsid w:val="045B4AF9"/>
    <w:rsid w:val="04F741FE"/>
    <w:rsid w:val="082A6CD1"/>
    <w:rsid w:val="09F465F9"/>
    <w:rsid w:val="0A8D123D"/>
    <w:rsid w:val="0B5A2637"/>
    <w:rsid w:val="0D022D40"/>
    <w:rsid w:val="0E3D3EB8"/>
    <w:rsid w:val="0F00103E"/>
    <w:rsid w:val="12646ACF"/>
    <w:rsid w:val="13926AAC"/>
    <w:rsid w:val="13C9738C"/>
    <w:rsid w:val="14D953FC"/>
    <w:rsid w:val="166B01EA"/>
    <w:rsid w:val="16D05DD3"/>
    <w:rsid w:val="18476C46"/>
    <w:rsid w:val="19A0356C"/>
    <w:rsid w:val="19C5397D"/>
    <w:rsid w:val="1AD97A1C"/>
    <w:rsid w:val="1DC358CC"/>
    <w:rsid w:val="1F8937E3"/>
    <w:rsid w:val="2084553F"/>
    <w:rsid w:val="29615A47"/>
    <w:rsid w:val="29847663"/>
    <w:rsid w:val="2B03156B"/>
    <w:rsid w:val="2B7835BA"/>
    <w:rsid w:val="2D643E3E"/>
    <w:rsid w:val="2F6E5717"/>
    <w:rsid w:val="2FDD5D86"/>
    <w:rsid w:val="332C27BA"/>
    <w:rsid w:val="344318E3"/>
    <w:rsid w:val="356B3AB6"/>
    <w:rsid w:val="358E531E"/>
    <w:rsid w:val="36246C11"/>
    <w:rsid w:val="374076DC"/>
    <w:rsid w:val="382D458A"/>
    <w:rsid w:val="3ABF15A3"/>
    <w:rsid w:val="3ACA74B4"/>
    <w:rsid w:val="3D2E4057"/>
    <w:rsid w:val="3F19167E"/>
    <w:rsid w:val="3F1A6437"/>
    <w:rsid w:val="3FD32D8A"/>
    <w:rsid w:val="40231E3F"/>
    <w:rsid w:val="40386B87"/>
    <w:rsid w:val="42252B14"/>
    <w:rsid w:val="42FB5F46"/>
    <w:rsid w:val="43215CD2"/>
    <w:rsid w:val="439D63FD"/>
    <w:rsid w:val="43DC7680"/>
    <w:rsid w:val="48E46E7F"/>
    <w:rsid w:val="49996941"/>
    <w:rsid w:val="49C500FD"/>
    <w:rsid w:val="4C355219"/>
    <w:rsid w:val="4C8F0DFE"/>
    <w:rsid w:val="4FA82F7B"/>
    <w:rsid w:val="50820050"/>
    <w:rsid w:val="511E704C"/>
    <w:rsid w:val="513B2802"/>
    <w:rsid w:val="55366365"/>
    <w:rsid w:val="55F80713"/>
    <w:rsid w:val="569B7F62"/>
    <w:rsid w:val="581E40F6"/>
    <w:rsid w:val="5B8F5828"/>
    <w:rsid w:val="5C146A84"/>
    <w:rsid w:val="5C7E0B83"/>
    <w:rsid w:val="5C976E11"/>
    <w:rsid w:val="5E3D74A1"/>
    <w:rsid w:val="5EEE4688"/>
    <w:rsid w:val="61CD394F"/>
    <w:rsid w:val="625D6566"/>
    <w:rsid w:val="634772F8"/>
    <w:rsid w:val="64005F0C"/>
    <w:rsid w:val="64B61DEF"/>
    <w:rsid w:val="665E1372"/>
    <w:rsid w:val="66EB5DC1"/>
    <w:rsid w:val="66F551FE"/>
    <w:rsid w:val="693B2102"/>
    <w:rsid w:val="6C9D335B"/>
    <w:rsid w:val="6DCE2C5E"/>
    <w:rsid w:val="6F041B81"/>
    <w:rsid w:val="716761AE"/>
    <w:rsid w:val="72524A91"/>
    <w:rsid w:val="743441A5"/>
    <w:rsid w:val="77CD6B2D"/>
    <w:rsid w:val="78D4653A"/>
    <w:rsid w:val="7B0A16A5"/>
    <w:rsid w:val="7B181FC6"/>
    <w:rsid w:val="7C67765C"/>
    <w:rsid w:val="7CE46A8A"/>
    <w:rsid w:val="7F472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F2E9EF"/>
  <w15:docId w15:val="{A28F6042-F9E5-467C-8046-66EFF0133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Default"/>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spacing w:line="520" w:lineRule="exact"/>
      <w:ind w:firstLineChars="200" w:firstLine="880"/>
    </w:pPr>
    <w:rPr>
      <w:rFonts w:ascii="宋体" w:hAnsi="宋体" w:cs="宋体"/>
      <w:color w:val="000000"/>
      <w:sz w:val="24"/>
      <w:szCs w:val="24"/>
    </w:rPr>
  </w:style>
  <w:style w:type="paragraph" w:styleId="a3">
    <w:name w:val="annotation subject"/>
    <w:basedOn w:val="a4"/>
    <w:next w:val="a4"/>
    <w:link w:val="a5"/>
    <w:uiPriority w:val="99"/>
    <w:semiHidden/>
    <w:qFormat/>
    <w:rPr>
      <w:b/>
      <w:bCs/>
    </w:rPr>
  </w:style>
  <w:style w:type="paragraph" w:styleId="a4">
    <w:name w:val="annotation text"/>
    <w:basedOn w:val="a"/>
    <w:link w:val="a6"/>
    <w:uiPriority w:val="99"/>
    <w:qFormat/>
    <w:pPr>
      <w:jc w:val="left"/>
    </w:pPr>
  </w:style>
  <w:style w:type="paragraph" w:styleId="a7">
    <w:name w:val="Body Text First Indent"/>
    <w:basedOn w:val="a8"/>
    <w:uiPriority w:val="99"/>
    <w:unhideWhenUsed/>
    <w:qFormat/>
    <w:pPr>
      <w:ind w:firstLineChars="100" w:firstLine="420"/>
    </w:pPr>
  </w:style>
  <w:style w:type="paragraph" w:styleId="a8">
    <w:name w:val="Body Text"/>
    <w:basedOn w:val="a"/>
    <w:uiPriority w:val="99"/>
    <w:unhideWhenUsed/>
    <w:qFormat/>
    <w:pPr>
      <w:spacing w:after="120"/>
    </w:pPr>
  </w:style>
  <w:style w:type="paragraph" w:styleId="2">
    <w:name w:val="Body Text Indent 2"/>
    <w:basedOn w:val="a"/>
    <w:link w:val="20"/>
    <w:qFormat/>
    <w:pPr>
      <w:spacing w:after="120" w:line="480" w:lineRule="auto"/>
      <w:ind w:leftChars="200" w:left="420"/>
    </w:pPr>
  </w:style>
  <w:style w:type="paragraph" w:styleId="a9">
    <w:name w:val="Balloon Text"/>
    <w:basedOn w:val="a"/>
    <w:link w:val="aa"/>
    <w:uiPriority w:val="99"/>
    <w:semiHidden/>
    <w:qFormat/>
    <w:rPr>
      <w:sz w:val="18"/>
      <w:szCs w:val="18"/>
    </w:rPr>
  </w:style>
  <w:style w:type="paragraph" w:styleId="ab">
    <w:name w:val="footer"/>
    <w:basedOn w:val="a"/>
    <w:link w:val="ac"/>
    <w:uiPriority w:val="99"/>
    <w:qFormat/>
    <w:pPr>
      <w:tabs>
        <w:tab w:val="center" w:pos="4153"/>
        <w:tab w:val="right" w:pos="8306"/>
      </w:tabs>
      <w:snapToGrid w:val="0"/>
      <w:jc w:val="left"/>
    </w:pPr>
    <w:rPr>
      <w:sz w:val="18"/>
      <w:szCs w:val="18"/>
    </w:rPr>
  </w:style>
  <w:style w:type="paragraph" w:styleId="ad">
    <w:name w:val="header"/>
    <w:basedOn w:val="a"/>
    <w:link w:val="ae"/>
    <w:uiPriority w:val="99"/>
    <w:qFormat/>
    <w:pPr>
      <w:pBdr>
        <w:bottom w:val="single" w:sz="6" w:space="1" w:color="auto"/>
      </w:pBdr>
      <w:tabs>
        <w:tab w:val="center" w:pos="4153"/>
        <w:tab w:val="right" w:pos="8306"/>
      </w:tabs>
      <w:snapToGrid w:val="0"/>
      <w:jc w:val="center"/>
    </w:pPr>
    <w:rPr>
      <w:sz w:val="18"/>
      <w:szCs w:val="18"/>
    </w:rPr>
  </w:style>
  <w:style w:type="character" w:styleId="af">
    <w:name w:val="annotation reference"/>
    <w:uiPriority w:val="99"/>
    <w:qFormat/>
    <w:rPr>
      <w:rFonts w:cs="Times New Roman"/>
      <w:sz w:val="21"/>
      <w:szCs w:val="21"/>
    </w:rPr>
  </w:style>
  <w:style w:type="paragraph" w:customStyle="1" w:styleId="1">
    <w:name w:val="正缩1"/>
    <w:basedOn w:val="a"/>
    <w:uiPriority w:val="99"/>
    <w:qFormat/>
    <w:pPr>
      <w:snapToGrid w:val="0"/>
      <w:spacing w:line="500" w:lineRule="exact"/>
      <w:ind w:firstLine="567"/>
    </w:pPr>
    <w:rPr>
      <w:rFonts w:eastAsia="仿宋_GB2312"/>
      <w:color w:val="000000"/>
      <w:kern w:val="0"/>
      <w:sz w:val="28"/>
      <w:szCs w:val="20"/>
    </w:rPr>
  </w:style>
  <w:style w:type="character" w:customStyle="1" w:styleId="ae">
    <w:name w:val="页眉 字符"/>
    <w:link w:val="ad"/>
    <w:uiPriority w:val="99"/>
    <w:qFormat/>
    <w:locked/>
    <w:rPr>
      <w:rFonts w:ascii="Times New Roman" w:eastAsia="宋体" w:hAnsi="Times New Roman" w:cs="Times New Roman"/>
      <w:sz w:val="18"/>
      <w:szCs w:val="18"/>
    </w:rPr>
  </w:style>
  <w:style w:type="character" w:customStyle="1" w:styleId="ac">
    <w:name w:val="页脚 字符"/>
    <w:link w:val="ab"/>
    <w:uiPriority w:val="99"/>
    <w:qFormat/>
    <w:locked/>
    <w:rPr>
      <w:rFonts w:ascii="Times New Roman" w:eastAsia="宋体" w:hAnsi="Times New Roman" w:cs="Times New Roman"/>
      <w:sz w:val="18"/>
      <w:szCs w:val="18"/>
    </w:rPr>
  </w:style>
  <w:style w:type="paragraph" w:styleId="af0">
    <w:name w:val="List Paragraph"/>
    <w:basedOn w:val="a"/>
    <w:uiPriority w:val="99"/>
    <w:qFormat/>
    <w:pPr>
      <w:ind w:firstLineChars="200" w:firstLine="420"/>
    </w:pPr>
  </w:style>
  <w:style w:type="character" w:customStyle="1" w:styleId="a6">
    <w:name w:val="批注文字 字符"/>
    <w:link w:val="a4"/>
    <w:uiPriority w:val="99"/>
    <w:qFormat/>
    <w:locked/>
    <w:rPr>
      <w:rFonts w:ascii="Times New Roman" w:eastAsia="宋体" w:hAnsi="Times New Roman" w:cs="Times New Roman"/>
      <w:sz w:val="24"/>
      <w:szCs w:val="24"/>
    </w:rPr>
  </w:style>
  <w:style w:type="character" w:customStyle="1" w:styleId="a5">
    <w:name w:val="批注主题 字符"/>
    <w:link w:val="a3"/>
    <w:uiPriority w:val="99"/>
    <w:semiHidden/>
    <w:qFormat/>
    <w:locked/>
    <w:rPr>
      <w:rFonts w:ascii="Times New Roman" w:eastAsia="宋体" w:hAnsi="Times New Roman" w:cs="Times New Roman"/>
      <w:b/>
      <w:bCs/>
      <w:sz w:val="24"/>
      <w:szCs w:val="24"/>
    </w:rPr>
  </w:style>
  <w:style w:type="character" w:customStyle="1" w:styleId="aa">
    <w:name w:val="批注框文本 字符"/>
    <w:link w:val="a9"/>
    <w:uiPriority w:val="99"/>
    <w:semiHidden/>
    <w:qFormat/>
    <w:locked/>
    <w:rPr>
      <w:rFonts w:ascii="Times New Roman" w:eastAsia="宋体" w:hAnsi="Times New Roman" w:cs="Times New Roman"/>
      <w:sz w:val="18"/>
      <w:szCs w:val="18"/>
    </w:rPr>
  </w:style>
  <w:style w:type="paragraph" w:customStyle="1" w:styleId="10">
    <w:name w:val="列出段落1"/>
    <w:basedOn w:val="a"/>
    <w:uiPriority w:val="99"/>
    <w:qFormat/>
    <w:pPr>
      <w:ind w:firstLineChars="200" w:firstLine="420"/>
    </w:pPr>
    <w:rPr>
      <w:rFonts w:ascii="Calibri" w:hAnsi="Calibri"/>
      <w:szCs w:val="22"/>
    </w:rPr>
  </w:style>
  <w:style w:type="character" w:customStyle="1" w:styleId="20">
    <w:name w:val="正文文本缩进 2 字符"/>
    <w:link w:val="2"/>
    <w:qFormat/>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92</Words>
  <Characters>525</Characters>
  <Application>Microsoft Office Word</Application>
  <DocSecurity>0</DocSecurity>
  <Lines>4</Lines>
  <Paragraphs>1</Paragraphs>
  <ScaleCrop>false</ScaleCrop>
  <Company>Lenovo</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songxufeng</dc:creator>
  <cp:lastModifiedBy>王 永杰</cp:lastModifiedBy>
  <cp:revision>215</cp:revision>
  <cp:lastPrinted>2017-08-14T04:33:00Z</cp:lastPrinted>
  <dcterms:created xsi:type="dcterms:W3CDTF">2016-03-03T09:02:00Z</dcterms:created>
  <dcterms:modified xsi:type="dcterms:W3CDTF">2021-04-13T07:36:00Z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