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  <w:lang w:val="en-US" w:eastAsia="zh-CN"/>
        </w:rPr>
        <w:t>河南大利实业有限公司鲁山大利铁矿年处理160万吨废矿石综合利用项目</w:t>
      </w:r>
      <w:r>
        <w:rPr>
          <w:rFonts w:hint="eastAsia" w:asciiTheme="majorEastAsia" w:hAnsiTheme="majorEastAsia" w:eastAsiaTheme="majorEastAsia" w:cstheme="majorEastAsia"/>
          <w:b/>
          <w:bCs/>
          <w:color w:val="auto"/>
          <w:sz w:val="28"/>
          <w:szCs w:val="28"/>
          <w:highlight w:val="none"/>
          <w:lang w:eastAsia="zh-CN"/>
        </w:rPr>
        <w:t>修改说明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9"/>
        <w:gridCol w:w="4215"/>
        <w:gridCol w:w="38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21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专家意见</w:t>
            </w:r>
          </w:p>
        </w:tc>
        <w:tc>
          <w:tcPr>
            <w:tcW w:w="386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  <w:t>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9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细化项目由来及原料来源分析；进一步完善环境现状调查，细化环境敏感点、项目建设情况及原料堆存情况；核实厂区厂界。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P1、P5已细化项目由来及原料来源分析；P1</w:t>
            </w:r>
            <w:bookmarkStart w:id="0" w:name="_GoBack"/>
            <w:bookmarkEnd w:id="0"/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5、P55已进一步完善环境现状调查，细化环境敏感点、项目建设情况及原料堆存情况；P3已核实厂区厂界。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结合当地大气污染防治攻坚战要求，完善施工期颗粒物防控措施；明确物料运输路线与运输车辆环保要求。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P19、P20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结合当地大气污染防治攻坚战要求，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已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完善施工期颗粒物防控措施；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P29、P35、P36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明确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了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物料运输路线与运输车辆环保要求。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6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细化工程分析，核实工艺流程、设备台套数。完善物料平衡、水平衡；核实每个设备单元颗粒物产生环节及源强，论证颗粒物收集及污染处理设施的可行性。细化废矿石取用方式及相应环保措施，原料利用后生态恢复措施及效果。细化洗砂废水底泥储存方式，明确处置去向；进一步完善项目环境风险分析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/>
                <w:bCs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P23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细化工程分析，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已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核实工艺流程、设备台套数。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P24、P31已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完善物料平衡、水平衡；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P24、P25已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核实每个设备单元颗粒物产生环节及源强，论证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了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颗粒物收集及污染处理设施的可行性。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P34、P35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细化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了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废矿石取用方式及相应环保措施，原料利用后生态恢复措施及效果。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P50、P34已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细化洗砂废水底泥储存方式，明确处置去向；</w:t>
            </w: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P52、P53</w:t>
            </w:r>
            <w:r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进一步完善项目环境风险分析。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215" w:type="dxa"/>
            <w:vAlign w:val="center"/>
          </w:tcPr>
          <w:p>
            <w:pPr>
              <w:jc w:val="both"/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完善平面布置图，明确环保设施位置分布；校核项目环保投资及验收一览表，完善项目相关附图、附件。</w:t>
            </w:r>
          </w:p>
        </w:tc>
        <w:tc>
          <w:tcPr>
            <w:tcW w:w="3864" w:type="dxa"/>
            <w:vAlign w:val="center"/>
          </w:tcPr>
          <w:p>
            <w:pPr>
              <w:jc w:val="both"/>
              <w:rPr>
                <w:rFonts w:hint="default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宋体"/>
                <w:b w:val="0"/>
                <w:bCs w:val="0"/>
                <w:color w:val="auto"/>
                <w:sz w:val="24"/>
                <w:szCs w:val="24"/>
                <w:vertAlign w:val="baseline"/>
                <w:lang w:val="en-US" w:eastAsia="zh-CN"/>
              </w:rPr>
              <w:t>附图四已完善平面布置图，明确标注了环保设施位置的分布；P57、P58已校核项目环保投资及验收一览表，完善了项目相关附图、附件。</w:t>
            </w:r>
          </w:p>
        </w:tc>
      </w:tr>
    </w:tbl>
    <w:p>
      <w:pPr>
        <w:jc w:val="center"/>
        <w:rPr>
          <w:rFonts w:hint="eastAsia" w:ascii="Times New Roman" w:hAnsi="Times New Roman" w:cs="宋体"/>
          <w:b/>
          <w:bCs/>
          <w:color w:val="auto"/>
          <w:sz w:val="28"/>
          <w:szCs w:val="28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14B0"/>
    <w:rsid w:val="2B1A4F17"/>
    <w:rsid w:val="47353079"/>
    <w:rsid w:val="6F1514B0"/>
    <w:rsid w:val="70F0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2020-12-08T01:55:00Z</dcterms:created>
  <dc:creator>Vision</dc:creator>
  <cp:lastModifiedBy>Vision</cp:lastModifiedBy>
  <dcterms:modified xsi:type="dcterms:W3CDTF">2021-03-28T11:28:56Z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AA29583C55CB4231BF7CB2E6DDD433DE</vt:lpwstr>
  </property>
</Properties>
</file>