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b/>
          <w:bCs/>
          <w:color w:val="262626"/>
          <w:sz w:val="32"/>
          <w:szCs w:val="32"/>
          <w:lang w:val="en-US" w:eastAsia="zh-CN"/>
        </w:rPr>
        <w:t>[2021] 08号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关于河南大利实业有限公司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鲁山大利铁矿年处理160万吨废矿石综合利用项目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</w:rPr>
        <w:t>的批复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/>
        </w:rPr>
        <w:t>河南大利实业有限公司鲁山大利铁矿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你公司（统一社会信用代码：914104236987123407）上报的由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河南双辰环保工程有限公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年处理1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0万吨废矿石综合利用项目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u w:val="none"/>
          <w:lang w:eastAsia="zh-CN"/>
        </w:rPr>
        <w:t>一、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本项目位于平顶山市鲁山县下汤镇竹园沟村，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利用公司现有的铁选厂内进行建设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vertAlign w:val="baseline"/>
          <w:lang w:val="en-US" w:eastAsia="zh-CN"/>
        </w:rPr>
        <w:t>，总利用面积为5562m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vertAlign w:val="baseli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建设一条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年处理废矿石160万吨生产线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，主要生产工艺为：废石-破碎-筛分-制砂-产品（石子、砂），生产厂房采用全封闭钢结构，地面硬化，占地面积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1200m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主要生产设备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按工艺流程从北向南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大致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布置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为给料机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、颚式破碎机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none"/>
          <w:lang w:eastAsia="zh-CN"/>
        </w:rPr>
        <w:t>多缸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none"/>
        </w:rPr>
        <w:t>圆锥破碎机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台、振动筛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1台、制砂机1台、洗砂机1台。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项目总投资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万元，年处理废矿石1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</w:rPr>
        <w:t>0万吨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、你公司应全面落实《报告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废气防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治</w:t>
      </w:r>
      <w:r>
        <w:rPr>
          <w:rFonts w:hint="eastAsia" w:ascii="仿宋" w:hAnsi="仿宋" w:eastAsia="仿宋" w:cs="仿宋"/>
          <w:sz w:val="28"/>
          <w:szCs w:val="28"/>
        </w:rPr>
        <w:t>措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施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color="auto" w:fill="FFFFFF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施工现场全封闭围挡墙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施工现场道路、作业区地面硬化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物料堆遮盖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</w:rPr>
        <w:t>配备一辆洒水车，对道路场区进行洒水降尘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，满足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《大气污染物综合排放标准》无组织排放要求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kern w:val="0"/>
          <w:sz w:val="28"/>
          <w:szCs w:val="28"/>
          <w:highlight w:val="none"/>
          <w:u w:val="none"/>
          <w:lang w:eastAsia="zh-CN"/>
        </w:rPr>
        <w:t>运营期：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投料口上方设置集气罩，收集的粉尘通过一座布袋除尘器处理；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鄂式破碎机、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多缸圆锥破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val="zh-CN"/>
        </w:rPr>
        <w:t>中转料仓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制砂机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eastAsia="zh-CN"/>
        </w:rPr>
        <w:t>产尘点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设置集气罩，收集后废气通过一座布袋除尘器处理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；两座布袋除尘器处理后共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</w:rPr>
        <w:t>由一座15m高排气筒排放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</w:rPr>
        <w:t>满足大气污染物综合排放标准》（GB16297-1996）表2要求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废水防治措施：生活污水排入厂区现有化粪池收集后由定期掏取用于农田施肥，不外排。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生产废水、洗砂废水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经浓缩罐沉淀后上清液回用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、车辆冲洗废水经沉淀后循环使用，不外排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固体废物防治措施：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营运期产生的固体废物、除尘器收尘和车间沉降颗粒物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收集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及洗砂过程中产生的底泥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经压滤机处理后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通过全封闭的皮带输送廊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</w:rPr>
        <w:t>运至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滤渣暂存池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进行暂存，评价要求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eastAsia="zh-CN"/>
        </w:rPr>
        <w:t>滤渣暂存池上方建设罩棚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；洗砂废水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u w:val="none"/>
          <w:lang w:eastAsia="zh-CN"/>
        </w:rPr>
        <w:t>底泥经带式压滤机压滤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后在污泥堆棚临时储存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，用于现有尾矿库及矿山的生态恢复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28"/>
          <w:szCs w:val="28"/>
          <w:u w:val="none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生活垃圾运至垃圾中转站统一处理。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噪声防治措施：对产生高噪声的主要设备采取基础减震、隔音等措施后，噪声达标排放。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</w:rPr>
        <w:t>满足《工业企业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lang w:eastAsia="zh-CN"/>
        </w:rPr>
        <w:t>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</w:rPr>
        <w:t>界环境噪声排放标准》2类标准限值。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5、生态影响：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采用边清运边生态恢复措施，上层台阶清运结束后，及时对清运后的地表覆土，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</w:rPr>
        <w:t>种植树木，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恢复为林草地，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总面积为16203.4m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none"/>
          <w:vertAlign w:val="superscript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经办人：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2021年  月  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0DA0190F"/>
    <w:rsid w:val="120D4FC1"/>
    <w:rsid w:val="167F79AC"/>
    <w:rsid w:val="22DD0CF4"/>
    <w:rsid w:val="2E5F5FD2"/>
    <w:rsid w:val="2EEF07E6"/>
    <w:rsid w:val="36862BBF"/>
    <w:rsid w:val="3873007D"/>
    <w:rsid w:val="39D72FF5"/>
    <w:rsid w:val="3DA43D88"/>
    <w:rsid w:val="42BA1757"/>
    <w:rsid w:val="43955271"/>
    <w:rsid w:val="505133C3"/>
    <w:rsid w:val="522D29E5"/>
    <w:rsid w:val="55890C11"/>
    <w:rsid w:val="576C4F75"/>
    <w:rsid w:val="5A6222C7"/>
    <w:rsid w:val="61D53C35"/>
    <w:rsid w:val="671B6183"/>
    <w:rsid w:val="6D535020"/>
    <w:rsid w:val="74A5498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u w:val="none"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first-child"/>
    <w:basedOn w:val="10"/>
    <w:qFormat/>
    <w:uiPriority w:val="0"/>
    <w:rPr>
      <w:shd w:val="clear" w:fill="E0F0FF"/>
    </w:rPr>
  </w:style>
  <w:style w:type="character" w:customStyle="1" w:styleId="21">
    <w:name w:val="nth-child(2)"/>
    <w:basedOn w:val="10"/>
    <w:qFormat/>
    <w:uiPriority w:val="0"/>
  </w:style>
  <w:style w:type="character" w:customStyle="1" w:styleId="22">
    <w:name w:val="nth-child(3)"/>
    <w:basedOn w:val="10"/>
    <w:qFormat/>
    <w:uiPriority w:val="0"/>
  </w:style>
  <w:style w:type="character" w:customStyle="1" w:styleId="23">
    <w:name w:val="hover29"/>
    <w:basedOn w:val="10"/>
    <w:qFormat/>
    <w:uiPriority w:val="0"/>
    <w:rPr>
      <w:u w:val="single"/>
    </w:rPr>
  </w:style>
  <w:style w:type="paragraph" w:customStyle="1" w:styleId="24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5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2020-05-14T00:12:00Z</cp:lastPrinted>
  <dcterms:modified xsi:type="dcterms:W3CDTF">2021-07-14T08:10:31Z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14AF761E845A4681B0FA68443A0A331F</vt:lpwstr>
  </property>
</Properties>
</file>