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>[2021]10号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关于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平顶山兴鲁建设工程有限公司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年生产加工300万吨河卵石综合利用项目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环境影响报告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的批复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both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平顶山兴鲁建设工程有限公司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40"/>
        <w:jc w:val="both"/>
        <w:textAlignment w:val="auto"/>
        <w:outlineLvl w:val="0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你公司（统一社会信用代码：91410423MA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val="en-US" w:eastAsia="zh-CN"/>
        </w:rPr>
        <w:t>GCFXH3E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）上报的由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河南艺昴环保科技有限公司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年生产加工300万吨河卵石综合利用项目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位于</w:t>
      </w:r>
      <w:r>
        <w:rPr>
          <w:rFonts w:hint="eastAsia" w:ascii="宋体" w:hAnsi="宋体" w:eastAsia="宋体" w:cs="宋体"/>
          <w:sz w:val="28"/>
          <w:szCs w:val="28"/>
        </w:rPr>
        <w:t>位于鲁山县瓦屋镇孙家庄马停村，占地面积20398m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（30.597亩）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项目总投资12000万元，其中环保投资308.2万元，占总投资的2.57%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主体工程：一栋一层钢结构生产车间，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建筑面积6262.06m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生产规模：年生产加工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300万吨河卵石，</w:t>
      </w:r>
      <w:r>
        <w:rPr>
          <w:rFonts w:hint="eastAsia" w:ascii="宋体" w:hAnsi="宋体" w:eastAsia="宋体" w:cs="宋体"/>
          <w:bCs/>
          <w:sz w:val="28"/>
          <w:szCs w:val="28"/>
        </w:rPr>
        <w:t>产品为石子和砂子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》内容符合国家有关法律法规要求和建设项目环境管理规定，评价结论可信。我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局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批准该《报告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》，原则同意你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按照《报告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》所列项目的性质、规模、地点、环境保护对策进行项目建设。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三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应做好建设项目环境信息公开工作，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向社会公众主动公开已批准的《报告表》内容，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并接受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利害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相关方的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垂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四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单位要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全面落实《报告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》提出的各项环境保护措施，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并落实相应环保投资，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确保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项目在施工期产生的环境影响得到有效控制，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各项污染物达标排放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</w:rPr>
        <w:t>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大气污染防治措施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建筑施工工地扬尘管理措施为主，减少施工过程中扬尘的产生，严格落实工程建设工地扬尘管理“六个百分百”措施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施工现场全封闭围挡墙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施工现场道路、作业区地面硬化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物料堆遮盖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对道路场区进行洒水降尘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，满足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《大气污染物综合排放标准》无组织排放要求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运营期：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原料在上料平台堆存，产品在全封闭车间堆存，厂区内无露天堆放物料，车间上方安装喷雾抑尘装置，喷洒半径覆盖整个车间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 w:bidi="ar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投料口上方设置集气罩，收集的粉尘通过一座布袋除尘器处理；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鄂式破碎机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在车间内进行二次封闭，并安装集尘设施，产尘采用1套袋式除尘器处理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；两座布袋除尘器处理后共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由一座15m高排气筒排放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</w:rPr>
        <w:t>满足大气污染物综合排放标准》（GB16297-1996）表2要求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水污染防治措施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生活污水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bidi="ar"/>
        </w:rPr>
        <w:t>经化粪池收集处理暂存后定期清掏肥田，不外排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；生产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废水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采用污水处理系统处理后循环利用，不外排。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车辆冲洗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bidi="ar"/>
        </w:rPr>
        <w:t>废水经车辆冲洗装置配套沉淀池沉淀后循环使用，不外排，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噪声污染防治措施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施工单位必须严格执行《建筑施工场界环境噪声排放标准》（GB12523-2011），采用低噪音设备，采取各种机械消声减振、设立隔声屏障。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合理施工布局，</w:t>
      </w:r>
      <w:r>
        <w:rPr>
          <w:rFonts w:hint="eastAsia" w:ascii="宋体" w:hAnsi="宋体" w:eastAsia="宋体" w:cs="宋体"/>
          <w:sz w:val="28"/>
          <w:szCs w:val="28"/>
        </w:rPr>
        <w:t>同时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禁止夜间施工、运输</w:t>
      </w:r>
      <w:r>
        <w:rPr>
          <w:rFonts w:hint="eastAsia" w:ascii="宋体" w:hAnsi="宋体" w:eastAsia="宋体" w:cs="宋体"/>
          <w:sz w:val="28"/>
          <w:szCs w:val="28"/>
        </w:rPr>
        <w:t>，最大程度地减少对周围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及运输路线沿线</w:t>
      </w:r>
      <w:r>
        <w:rPr>
          <w:rFonts w:hint="eastAsia" w:ascii="宋体" w:hAnsi="宋体" w:eastAsia="宋体" w:cs="宋体"/>
          <w:sz w:val="28"/>
          <w:szCs w:val="28"/>
        </w:rPr>
        <w:t>居民的影响。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bidi="ar"/>
        </w:rPr>
        <w:t>生产设备均设置在车间内，对高噪声设备安装减振基础，并定期对各类设备进行日常检修，确保其处于良好的运行状态，</w:t>
      </w:r>
      <w:r>
        <w:rPr>
          <w:rFonts w:hint="eastAsia" w:ascii="宋体" w:hAnsi="宋体" w:eastAsia="宋体" w:cs="宋体"/>
          <w:sz w:val="28"/>
          <w:szCs w:val="28"/>
        </w:rPr>
        <w:t>经过采取隔声降噪、基础减震及距离衰减后，项目厂界噪声贡献值均满足《工业企业厂界环境噪声排放标准》（GB12348-2008）中的2类标准要求；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固体废弃物污染防治措施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袋式除尘器收集尘、生产废水沉淀底泥、洗车废水沉淀底泥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</w:rPr>
        <w:t>经压滤机脱水压滤后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用于荡泽河河道生态恢复覆土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生活垃圾经收集后定期由当地环卫部门清运处理；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土壤污染防治措施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项目厂区周边加强绿化，种植具有较强吸附能力的植物；各污水储存池（包括污水池、沉淀池、雨水池、化粪池等）周边地面应进行硬化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bCs/>
          <w:sz w:val="28"/>
          <w:szCs w:val="28"/>
        </w:rPr>
        <w:t>采取分区防渗措施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、如果今后国家或我省颁布新的标准，你公司应按新标准执行。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六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经办人：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3352A7E"/>
    <w:rsid w:val="08631AA8"/>
    <w:rsid w:val="0A7926B8"/>
    <w:rsid w:val="120D4FC1"/>
    <w:rsid w:val="12876D03"/>
    <w:rsid w:val="167F79AC"/>
    <w:rsid w:val="240576CD"/>
    <w:rsid w:val="2E5F5FD2"/>
    <w:rsid w:val="308C40EC"/>
    <w:rsid w:val="36862BBF"/>
    <w:rsid w:val="39D72FF5"/>
    <w:rsid w:val="3DA43D88"/>
    <w:rsid w:val="43955271"/>
    <w:rsid w:val="4FB93D47"/>
    <w:rsid w:val="505133C3"/>
    <w:rsid w:val="522D29E5"/>
    <w:rsid w:val="55890C11"/>
    <w:rsid w:val="5A6222C7"/>
    <w:rsid w:val="671B6183"/>
    <w:rsid w:val="6D535020"/>
    <w:rsid w:val="74A5498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rPr>
      <w:kern w:val="0"/>
      <w:sz w:val="28"/>
      <w:szCs w:val="20"/>
    </w:rPr>
  </w:style>
  <w:style w:type="paragraph" w:styleId="7">
    <w:name w:val="Body Text"/>
    <w:basedOn w:val="1"/>
    <w:qFormat/>
    <w:uiPriority w:val="0"/>
    <w:pPr>
      <w:spacing w:before="20" w:after="20"/>
      <w:jc w:val="center"/>
    </w:pPr>
    <w:rPr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u w:val="none"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333333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character" w:customStyle="1" w:styleId="20">
    <w:name w:val="bsharetext"/>
    <w:basedOn w:val="11"/>
    <w:qFormat/>
    <w:uiPriority w:val="0"/>
  </w:style>
  <w:style w:type="character" w:customStyle="1" w:styleId="21">
    <w:name w:val="first-child"/>
    <w:basedOn w:val="11"/>
    <w:qFormat/>
    <w:uiPriority w:val="0"/>
    <w:rPr>
      <w:shd w:val="clear" w:fill="E0F0FF"/>
    </w:rPr>
  </w:style>
  <w:style w:type="character" w:customStyle="1" w:styleId="22">
    <w:name w:val="nth-child(2)"/>
    <w:basedOn w:val="11"/>
    <w:qFormat/>
    <w:uiPriority w:val="0"/>
  </w:style>
  <w:style w:type="character" w:customStyle="1" w:styleId="23">
    <w:name w:val="nth-child(3)"/>
    <w:basedOn w:val="11"/>
    <w:qFormat/>
    <w:uiPriority w:val="0"/>
  </w:style>
  <w:style w:type="character" w:customStyle="1" w:styleId="24">
    <w:name w:val="hover29"/>
    <w:basedOn w:val="11"/>
    <w:qFormat/>
    <w:uiPriority w:val="0"/>
    <w:rPr>
      <w:u w:val="single"/>
    </w:rPr>
  </w:style>
  <w:style w:type="paragraph" w:customStyle="1" w:styleId="25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6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2021-09-23T01:38:11Z</cp:lastPrinted>
  <dcterms:modified xsi:type="dcterms:W3CDTF">2021-09-23T01:39:19Z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45E950B72B3549448D85E5B352CD9EDF</vt:lpwstr>
  </property>
</Properties>
</file>