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宋体" w:hAnsi="宋体" w:eastAsia="宋体" w:cs="宋体"/>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宋体" w:hAnsi="宋体" w:eastAsia="宋体" w:cs="宋体"/>
          <w:b/>
          <w:bCs/>
          <w:sz w:val="44"/>
          <w:szCs w:val="44"/>
          <w:lang w:eastAsia="zh-CN"/>
        </w:rPr>
      </w:pPr>
    </w:p>
    <w:p>
      <w:pPr>
        <w:pStyle w:val="2"/>
        <w:ind w:left="0" w:leftChars="0" w:firstLine="0" w:firstLineChars="0"/>
        <w:rPr>
          <w:rFonts w:hint="eastAsia" w:ascii="宋体" w:hAnsi="宋体" w:eastAsia="宋体" w:cs="宋体"/>
          <w:b/>
          <w:bCs/>
          <w:sz w:val="44"/>
          <w:szCs w:val="44"/>
          <w:lang w:eastAsia="zh-CN"/>
        </w:rPr>
      </w:pPr>
    </w:p>
    <w:p>
      <w:pPr>
        <w:pStyle w:val="2"/>
        <w:ind w:left="0" w:leftChars="0" w:firstLine="0" w:firstLineChars="0"/>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313" w:beforeLines="100" w:line="560" w:lineRule="exact"/>
        <w:jc w:val="center"/>
        <w:textAlignment w:val="auto"/>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鲁法政办〔2022〕1号</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pacing w:val="34"/>
          <w:sz w:val="44"/>
          <w:szCs w:val="44"/>
          <w:lang w:eastAsia="zh-CN"/>
        </w:rPr>
      </w:pPr>
      <w:r>
        <w:rPr>
          <w:rFonts w:hint="eastAsia" w:ascii="方正小标宋_GBK" w:hAnsi="方正小标宋_GBK" w:eastAsia="方正小标宋_GBK" w:cs="方正小标宋_GBK"/>
          <w:spacing w:val="34"/>
          <w:sz w:val="44"/>
          <w:szCs w:val="44"/>
          <w:lang w:eastAsia="zh-CN"/>
        </w:rPr>
        <w:t>鲁山县法治政府建设领导小组办公室</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pacing w:val="6"/>
          <w:sz w:val="44"/>
          <w:szCs w:val="44"/>
          <w:lang w:eastAsia="zh-CN"/>
        </w:rPr>
      </w:pPr>
      <w:r>
        <w:rPr>
          <w:rFonts w:hint="eastAsia" w:ascii="方正小标宋_GBK" w:hAnsi="方正小标宋_GBK" w:eastAsia="方正小标宋_GBK" w:cs="方正小标宋_GBK"/>
          <w:spacing w:val="-11"/>
          <w:sz w:val="44"/>
          <w:szCs w:val="44"/>
          <w:lang w:eastAsia="zh-CN"/>
        </w:rPr>
        <w:t>关于印发《鲁山县迎接平顶山市创建全国</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w w:val="95"/>
          <w:sz w:val="44"/>
          <w:szCs w:val="44"/>
          <w:lang w:eastAsia="zh-CN"/>
        </w:rPr>
        <w:t>法治政府建设示范市检查工作方案》的</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通</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lang w:eastAsia="zh-CN"/>
        </w:rPr>
        <w:t>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sz w:val="32"/>
          <w:szCs w:val="32"/>
        </w:rPr>
      </w:pPr>
      <w:r>
        <w:rPr>
          <w:rFonts w:hint="eastAsia" w:ascii="仿宋" w:hAnsi="仿宋" w:eastAsia="仿宋" w:cs="仿宋"/>
          <w:sz w:val="32"/>
          <w:szCs w:val="32"/>
          <w:lang w:eastAsia="zh-CN"/>
        </w:rPr>
        <w:t>各乡（镇、街道），县委各部委、县直各单位，产业集聚区管委会、城南特色商业管理服务中心、江河社会事务综合服务中心、土门社会事务综合服务中心</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现将《鲁山县迎接平顶山市创建全国法治政府建设示范市检查工作方案》印发给你们，望认真贯彻落实。</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4800" w:firstLineChars="1500"/>
        <w:textAlignment w:val="auto"/>
        <w:rPr>
          <w:rFonts w:hint="eastAsia"/>
          <w:lang w:eastAsia="zh-CN"/>
        </w:rPr>
      </w:pPr>
      <w:r>
        <w:rPr>
          <w:rFonts w:hint="eastAsia" w:ascii="仿宋" w:hAnsi="仿宋" w:eastAsia="仿宋" w:cs="仿宋"/>
          <w:sz w:val="32"/>
          <w:szCs w:val="32"/>
          <w:lang w:val="en-US" w:eastAsia="zh-CN"/>
        </w:rPr>
        <w:t>2022年3月18日</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鲁山县迎接平顶山市创建全国</w:t>
      </w:r>
    </w:p>
    <w:p>
      <w:pPr>
        <w:keepNext w:val="0"/>
        <w:keepLines w:val="0"/>
        <w:pageBreakBefore w:val="0"/>
        <w:widowControl w:val="0"/>
        <w:kinsoku/>
        <w:wordWrap/>
        <w:overflowPunct/>
        <w:topLinePunct w:val="0"/>
        <w:autoSpaceDE/>
        <w:autoSpaceDN/>
        <w:bidi w:val="0"/>
        <w:adjustRightInd/>
        <w:snapToGrid/>
        <w:spacing w:before="313" w:beforeLines="100" w:line="500" w:lineRule="exact"/>
        <w:ind w:firstLine="880" w:firstLineChars="200"/>
        <w:jc w:val="both"/>
        <w:textAlignment w:val="auto"/>
        <w:rPr>
          <w:rFonts w:hint="eastAsia" w:ascii="仿宋" w:hAnsi="仿宋" w:eastAsia="仿宋" w:cs="仿宋"/>
          <w:sz w:val="32"/>
          <w:szCs w:val="32"/>
          <w:lang w:val="en-US" w:eastAsia="zh-CN"/>
        </w:rPr>
      </w:pPr>
      <w:r>
        <w:rPr>
          <w:rFonts w:hint="eastAsia" w:ascii="方正小标宋简体" w:hAnsi="方正小标宋简体" w:eastAsia="方正小标宋简体" w:cs="方正小标宋简体"/>
          <w:b w:val="0"/>
          <w:bCs w:val="0"/>
          <w:sz w:val="44"/>
          <w:szCs w:val="44"/>
          <w:lang w:eastAsia="zh-CN"/>
        </w:rPr>
        <w:t>法治政府建设示范市检查工作方案</w:t>
      </w:r>
    </w:p>
    <w:p>
      <w:pPr>
        <w:keepNext w:val="0"/>
        <w:keepLines w:val="0"/>
        <w:pageBreakBefore w:val="0"/>
        <w:widowControl w:val="0"/>
        <w:kinsoku/>
        <w:wordWrap/>
        <w:overflowPunct/>
        <w:topLinePunct w:val="0"/>
        <w:autoSpaceDE/>
        <w:autoSpaceDN/>
        <w:bidi w:val="0"/>
        <w:adjustRightInd/>
        <w:snapToGrid/>
        <w:spacing w:before="313" w:beforeLines="100" w:line="560" w:lineRule="exact"/>
        <w:ind w:firstLine="640" w:firstLineChars="200"/>
        <w:jc w:val="both"/>
        <w:textAlignment w:val="auto"/>
        <w:rPr>
          <w:rFonts w:hint="eastAsia" w:ascii="仿宋_GB2312" w:hAnsi="仿宋" w:eastAsia="仿宋_GB2312"/>
          <w:sz w:val="32"/>
          <w:szCs w:val="32"/>
          <w:lang w:eastAsia="zh-CN"/>
        </w:rPr>
      </w:pPr>
      <w:r>
        <w:rPr>
          <w:rFonts w:hint="eastAsia" w:ascii="仿宋_GB2312" w:hAnsi="仿宋" w:eastAsia="仿宋_GB2312"/>
          <w:sz w:val="32"/>
          <w:szCs w:val="32"/>
          <w:lang w:eastAsia="zh-CN"/>
        </w:rPr>
        <w:t>根据市</w:t>
      </w:r>
      <w:r>
        <w:rPr>
          <w:rFonts w:hint="eastAsia" w:ascii="仿宋_GB2312" w:hAnsi="仿宋" w:eastAsia="仿宋_GB2312"/>
          <w:sz w:val="32"/>
          <w:szCs w:val="32"/>
          <w:lang w:val="en-US" w:eastAsia="zh-CN"/>
        </w:rPr>
        <w:t>法治政府建设领导小组办《平顶山市创建全国法治政府建设示范市迎检工作方案》（平法政办  号）文件精神，</w:t>
      </w:r>
      <w:r>
        <w:rPr>
          <w:rFonts w:hint="eastAsia" w:ascii="仿宋_GB2312" w:hAnsi="仿宋" w:eastAsia="仿宋_GB2312"/>
          <w:sz w:val="32"/>
          <w:szCs w:val="32"/>
          <w:lang w:eastAsia="zh-CN"/>
        </w:rPr>
        <w:t>经过中央依法治国办第三方专家书面评审，</w:t>
      </w:r>
      <w:r>
        <w:rPr>
          <w:rFonts w:hint="eastAsia" w:ascii="仿宋_GB2312" w:hAnsi="仿宋" w:eastAsia="仿宋_GB2312"/>
          <w:sz w:val="32"/>
          <w:szCs w:val="32"/>
          <w:lang w:val="en-US" w:eastAsia="zh-CN"/>
        </w:rPr>
        <w:t>2022年3月，平顶山市</w:t>
      </w:r>
      <w:r>
        <w:rPr>
          <w:rFonts w:hint="eastAsia" w:ascii="仿宋_GB2312" w:hAnsi="仿宋" w:eastAsia="仿宋_GB2312"/>
          <w:sz w:val="32"/>
          <w:szCs w:val="32"/>
          <w:lang w:eastAsia="zh-CN"/>
        </w:rPr>
        <w:t>申报的全国法治政府建设综合示范地区已进入国家第二轮评估示范候选名单。中央依法治国办委托第三方进行的人民满意度测评计划在4月底前完成,实地评估将结合疫情防控要求拟于5月底前完成，届时实地评估工作将下沉一级深入到各县（市、区），每个县（市、区）将随机选取</w:t>
      </w:r>
      <w:r>
        <w:rPr>
          <w:rFonts w:hint="eastAsia" w:ascii="仿宋_GB2312" w:hAnsi="仿宋" w:eastAsia="仿宋_GB2312"/>
          <w:sz w:val="32"/>
          <w:szCs w:val="32"/>
          <w:lang w:val="en-US" w:eastAsia="zh-CN"/>
        </w:rPr>
        <w:t>3—5个县直部门和3—5个乡（镇、街道）进行实地核查。</w:t>
      </w:r>
      <w:r>
        <w:rPr>
          <w:rFonts w:hint="eastAsia" w:ascii="仿宋_GB2312" w:hAnsi="仿宋" w:eastAsia="仿宋_GB2312"/>
          <w:sz w:val="32"/>
          <w:szCs w:val="32"/>
          <w:lang w:eastAsia="zh-CN"/>
        </w:rPr>
        <w:t>为进一步提升我县法治政府建设水平，全面落实各项任务，扎实做好迎检工作，特制定本方案。</w:t>
      </w:r>
    </w:p>
    <w:p>
      <w:pPr>
        <w:pStyle w:val="12"/>
        <w:keepNext w:val="0"/>
        <w:keepLines w:val="0"/>
        <w:pageBreakBefore w:val="0"/>
        <w:widowControl w:val="0"/>
        <w:tabs>
          <w:tab w:val="left" w:pos="1281"/>
        </w:tabs>
        <w:kinsoku/>
        <w:wordWrap/>
        <w:overflowPunct/>
        <w:topLinePunct w:val="0"/>
        <w:autoSpaceDE/>
        <w:autoSpaceDN/>
        <w:bidi w:val="0"/>
        <w:adjustRightInd/>
        <w:snapToGrid/>
        <w:spacing w:after="0" w:line="560" w:lineRule="exact"/>
        <w:ind w:firstLine="640"/>
        <w:jc w:val="both"/>
        <w:textAlignment w:val="auto"/>
        <w:rPr>
          <w:rFonts w:hint="eastAsia" w:ascii="黑体" w:hAnsi="黑体" w:eastAsia="黑体" w:cs="黑体"/>
        </w:rPr>
      </w:pPr>
      <w:bookmarkStart w:id="0" w:name="bookmark9"/>
      <w:r>
        <w:rPr>
          <w:rFonts w:hint="eastAsia" w:ascii="黑体" w:hAnsi="黑体" w:eastAsia="黑体" w:cs="黑体"/>
          <w:color w:val="000000"/>
        </w:rPr>
        <w:t>一</w:t>
      </w:r>
      <w:bookmarkEnd w:id="0"/>
      <w:r>
        <w:rPr>
          <w:rFonts w:hint="eastAsia" w:ascii="黑体" w:hAnsi="黑体" w:eastAsia="黑体" w:cs="黑体"/>
          <w:color w:val="000000"/>
          <w:lang w:eastAsia="zh-CN"/>
        </w:rPr>
        <w:t>、</w:t>
      </w:r>
      <w:r>
        <w:rPr>
          <w:rFonts w:hint="eastAsia" w:ascii="黑体" w:hAnsi="黑体" w:eastAsia="黑体" w:cs="黑体"/>
          <w:color w:val="000000"/>
        </w:rPr>
        <w:t>指导思想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val="0"/>
          <w:bCs w:val="0"/>
          <w:color w:val="auto"/>
          <w:sz w:val="32"/>
          <w:szCs w:val="32"/>
        </w:rPr>
        <w:t>坚持以习近平法治思想</w:t>
      </w:r>
      <w:r>
        <w:rPr>
          <w:rFonts w:hint="eastAsia" w:ascii="仿宋_GB2312" w:hAnsi="仿宋_GB2312" w:eastAsia="仿宋_GB2312" w:cs="仿宋_GB2312"/>
          <w:b w:val="0"/>
          <w:bCs w:val="0"/>
          <w:color w:val="auto"/>
          <w:sz w:val="32"/>
          <w:szCs w:val="32"/>
          <w:lang w:eastAsia="zh-CN"/>
        </w:rPr>
        <w:t>为指导</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eastAsia="zh-CN"/>
        </w:rPr>
        <w:t>认真贯彻落实中共中央、国务院《法治政府建设实施纲要（</w:t>
      </w:r>
      <w:r>
        <w:rPr>
          <w:rFonts w:hint="eastAsia" w:ascii="仿宋_GB2312" w:hAnsi="仿宋_GB2312" w:eastAsia="仿宋_GB2312" w:cs="仿宋_GB2312"/>
          <w:b w:val="0"/>
          <w:bCs w:val="0"/>
          <w:color w:val="auto"/>
          <w:sz w:val="32"/>
          <w:szCs w:val="32"/>
          <w:lang w:val="en-US" w:eastAsia="zh-CN"/>
        </w:rPr>
        <w:t>2021—2025年）》和中央依法治国办、省法治政府建设领导小组办和市创建办关于开展法治政府建设示范创建的统一部署和要求，</w:t>
      </w:r>
      <w:r>
        <w:rPr>
          <w:rFonts w:hint="eastAsia" w:ascii="仿宋_GB2312" w:hAnsi="仿宋_GB2312" w:eastAsia="仿宋_GB2312" w:cs="仿宋_GB2312"/>
          <w:color w:val="000000"/>
          <w:sz w:val="32"/>
          <w:szCs w:val="32"/>
        </w:rPr>
        <w:t>紧紧围绕</w:t>
      </w:r>
      <w:r>
        <w:rPr>
          <w:rFonts w:hint="eastAsia" w:ascii="仿宋_GB2312" w:hAnsi="仿宋_GB2312" w:eastAsia="仿宋_GB2312" w:cs="仿宋_GB2312"/>
          <w:color w:val="000000"/>
          <w:sz w:val="32"/>
          <w:szCs w:val="32"/>
          <w:lang w:eastAsia="zh-CN"/>
        </w:rPr>
        <w:t>平顶山市创建全国法治政府建设示范市、鲁山县创建全省法治政府建设示范县工作目标，坚持市、县、乡三级同创，紧盯实地评估、测评指标，准确把握测评方法，进一步对标对表，全力做好各项迎检工作，全面提升创建水平，以优异成绩确保创建成功，为推进法治鲁山、法治政府、法治社会一体建设，打造一流法治化营商环境，为</w:t>
      </w:r>
      <w:r>
        <w:rPr>
          <w:rFonts w:hint="eastAsia" w:ascii="仿宋_GB2312" w:hAnsi="仿宋_GB2312" w:eastAsia="仿宋_GB2312" w:cs="仿宋_GB2312"/>
          <w:color w:val="000000"/>
          <w:sz w:val="32"/>
          <w:szCs w:val="32"/>
          <w:lang w:val="en-US" w:eastAsia="zh-CN"/>
        </w:rPr>
        <w:t>全面建设生态文化美丽富强新鲁山提供有力的法治保障。</w:t>
      </w:r>
    </w:p>
    <w:p>
      <w:pPr>
        <w:pStyle w:val="2"/>
        <w:keepNext w:val="0"/>
        <w:keepLines w:val="0"/>
        <w:pageBreakBefore w:val="0"/>
        <w:numPr>
          <w:ilvl w:val="0"/>
          <w:numId w:val="1"/>
        </w:numPr>
        <w:kinsoku/>
        <w:wordWrap/>
        <w:overflowPunct/>
        <w:topLinePunct w:val="0"/>
        <w:autoSpaceDE/>
        <w:autoSpaceDN/>
        <w:bidi w:val="0"/>
        <w:adjustRightInd/>
        <w:snapToGrid/>
        <w:spacing w:line="560" w:lineRule="exact"/>
        <w:ind w:firstLine="320" w:firstLineChars="100"/>
        <w:textAlignment w:val="auto"/>
        <w:rPr>
          <w:rFonts w:hint="eastAsia" w:ascii="黑体" w:hAnsi="黑体" w:eastAsia="黑体" w:cs="黑体"/>
          <w:b w:val="0"/>
          <w:bCs w:val="0"/>
          <w:color w:val="000000"/>
          <w:kern w:val="2"/>
          <w:sz w:val="32"/>
          <w:szCs w:val="32"/>
          <w:lang w:val="en-US" w:eastAsia="zh-CN" w:bidi="zh-TW"/>
        </w:rPr>
      </w:pPr>
      <w:r>
        <w:rPr>
          <w:rFonts w:hint="eastAsia" w:ascii="黑体" w:hAnsi="黑体" w:eastAsia="黑体" w:cs="黑体"/>
          <w:b w:val="0"/>
          <w:bCs w:val="0"/>
          <w:color w:val="000000"/>
          <w:kern w:val="2"/>
          <w:sz w:val="32"/>
          <w:szCs w:val="32"/>
          <w:lang w:val="en-US" w:eastAsia="zh-CN" w:bidi="zh-TW"/>
        </w:rPr>
        <w:t>时间安排</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lang w:val="en-US" w:eastAsia="zh-CN"/>
        </w:rPr>
      </w:pPr>
      <w:r>
        <w:rPr>
          <w:rFonts w:hint="eastAsia"/>
          <w:lang w:val="en-US" w:eastAsia="zh-CN"/>
        </w:rPr>
        <w:t xml:space="preserve">      </w:t>
      </w:r>
      <w:r>
        <w:rPr>
          <w:rFonts w:hint="eastAsia" w:ascii="仿宋_GB2312" w:hAnsi="仿宋_GB2312" w:eastAsia="仿宋_GB2312" w:cs="仿宋_GB2312"/>
          <w:color w:val="000000"/>
          <w:sz w:val="32"/>
          <w:szCs w:val="32"/>
          <w:lang w:val="en-US" w:eastAsia="zh-CN"/>
        </w:rPr>
        <w:t>迎检工作从本方案印发之日起至</w:t>
      </w:r>
      <w:r>
        <w:rPr>
          <w:rFonts w:hint="eastAsia" w:ascii="仿宋_GB2312" w:hAnsi="仿宋_GB2312" w:eastAsia="仿宋_GB2312" w:cs="仿宋_GB2312"/>
          <w:b w:val="0"/>
          <w:i w:val="0"/>
          <w:caps w:val="0"/>
          <w:color w:val="000000"/>
          <w:spacing w:val="0"/>
          <w:sz w:val="32"/>
          <w:szCs w:val="32"/>
          <w:shd w:val="clear" w:color="auto" w:fill="FFFFFF"/>
          <w:lang w:eastAsia="zh-CN"/>
        </w:rPr>
        <w:t>中央依法治国办</w:t>
      </w:r>
      <w:r>
        <w:rPr>
          <w:rFonts w:hint="eastAsia" w:ascii="仿宋_GB2312" w:hAnsi="仿宋_GB2312" w:eastAsia="仿宋_GB2312" w:cs="仿宋_GB2312"/>
          <w:color w:val="000000"/>
          <w:sz w:val="32"/>
          <w:szCs w:val="32"/>
          <w:lang w:val="en-US" w:eastAsia="zh-CN"/>
        </w:rPr>
        <w:t>实地评估测评验收结束。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color w:val="000000"/>
          <w:kern w:val="2"/>
          <w:sz w:val="32"/>
          <w:szCs w:val="32"/>
          <w:lang w:val="en-US" w:eastAsia="zh-CN" w:bidi="zh-TW"/>
        </w:rPr>
      </w:pPr>
      <w:r>
        <w:rPr>
          <w:rFonts w:hint="eastAsia" w:ascii="黑体" w:hAnsi="黑体" w:eastAsia="黑体" w:cs="黑体"/>
          <w:color w:val="000000"/>
          <w:kern w:val="2"/>
          <w:sz w:val="32"/>
          <w:szCs w:val="32"/>
          <w:lang w:val="en-US" w:eastAsia="zh-CN" w:bidi="zh-TW"/>
        </w:rPr>
        <w:t>三、主要任务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按照中央依法治国办发布的</w:t>
      </w:r>
      <w:r>
        <w:rPr>
          <w:rFonts w:hint="eastAsia" w:ascii="仿宋_GB2312" w:hAnsi="仿宋_GB2312" w:eastAsia="仿宋_GB2312" w:cs="仿宋_GB2312"/>
          <w:b w:val="0"/>
          <w:bCs w:val="0"/>
          <w:color w:val="auto"/>
          <w:sz w:val="32"/>
          <w:szCs w:val="32"/>
          <w:lang w:eastAsia="zh-CN"/>
        </w:rPr>
        <w:t>《市县法治政府建设示范指标体系（2021年版）》和有关要求，迎接实地评估测评的主要任务包括：实地核验、实地核查、案卷评查、随机抽考、座谈访谈、人民群众满意度调查等。各相关单位要对照三级指标和相应测评方法，结合各自实际，切实抓好各项工作落实。</w:t>
      </w:r>
    </w:p>
    <w:p>
      <w:pPr>
        <w:pStyle w:val="2"/>
        <w:keepNext w:val="0"/>
        <w:keepLines w:val="0"/>
        <w:pageBreakBefore w:val="0"/>
        <w:numPr>
          <w:ilvl w:val="0"/>
          <w:numId w:val="2"/>
        </w:numPr>
        <w:kinsoku/>
        <w:wordWrap/>
        <w:overflowPunct/>
        <w:topLinePunct w:val="0"/>
        <w:autoSpaceDE/>
        <w:autoSpaceDN/>
        <w:bidi w:val="0"/>
        <w:adjustRightInd/>
        <w:snapToGrid/>
        <w:spacing w:line="560" w:lineRule="exact"/>
        <w:textAlignment w:val="auto"/>
        <w:rPr>
          <w:rFonts w:hint="eastAsia" w:ascii="楷体" w:hAnsi="楷体" w:eastAsia="楷体" w:cs="楷体"/>
          <w:b w:val="0"/>
          <w:bCs w:val="0"/>
          <w:color w:val="auto"/>
          <w:sz w:val="32"/>
          <w:szCs w:val="32"/>
          <w:lang w:eastAsia="zh-CN"/>
        </w:rPr>
      </w:pPr>
      <w:r>
        <w:rPr>
          <w:rFonts w:hint="eastAsia" w:ascii="楷体" w:hAnsi="楷体" w:eastAsia="楷体" w:cs="楷体"/>
          <w:b w:val="0"/>
          <w:bCs w:val="0"/>
          <w:color w:val="auto"/>
          <w:sz w:val="32"/>
          <w:szCs w:val="32"/>
          <w:lang w:eastAsia="zh-CN"/>
        </w:rPr>
        <w:t>实地核验</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lang w:val="en-US" w:eastAsia="zh-CN"/>
        </w:rPr>
        <w:t xml:space="preserve">    </w:t>
      </w:r>
      <w:r>
        <w:rPr>
          <w:rFonts w:hint="eastAsia" w:ascii="仿宋_GB2312" w:hAnsi="仿宋_GB2312" w:eastAsia="仿宋_GB2312" w:cs="仿宋_GB2312"/>
          <w:b w:val="0"/>
          <w:bCs w:val="0"/>
          <w:color w:val="auto"/>
          <w:sz w:val="32"/>
          <w:szCs w:val="32"/>
          <w:lang w:val="en-US" w:eastAsia="zh-CN"/>
        </w:rPr>
        <w:t xml:space="preserve"> 实地核验主要通过走访、察看、座谈、询问等方式，对三级指标要求提供的网络检索、材料查证、具体案例、联系人、联系方式等内容进行实地验证。凡涉及实地核验的三级指标，必须做到：上传上报材料内容、数据与实地核验材料内容、数据一致，符合逻辑；主要领导、有关领导、部门业务科室、窗口岗位人员及相关单位人员等要熟悉掌握上传上报有关材料内容；上传上报材料、具体案例等涉及行政相对人、联系人和联系方式的，要确保相关人员回答问题符合指标要求，联系方式畅通。</w:t>
      </w:r>
    </w:p>
    <w:p>
      <w:pPr>
        <w:pStyle w:val="2"/>
        <w:keepNext w:val="0"/>
        <w:keepLines w:val="0"/>
        <w:pageBreakBefore w:val="0"/>
        <w:numPr>
          <w:ilvl w:val="0"/>
          <w:numId w:val="2"/>
        </w:numPr>
        <w:kinsoku/>
        <w:wordWrap/>
        <w:overflowPunct/>
        <w:topLinePunct w:val="0"/>
        <w:autoSpaceDE/>
        <w:autoSpaceDN/>
        <w:bidi w:val="0"/>
        <w:adjustRightInd/>
        <w:snapToGrid/>
        <w:spacing w:line="560" w:lineRule="exact"/>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实地核查</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sz w:val="32"/>
          <w:szCs w:val="32"/>
          <w:lang w:val="en-US" w:eastAsia="zh-CN"/>
        </w:rPr>
      </w:pPr>
      <w:r>
        <w:rPr>
          <w:rFonts w:hint="eastAsia"/>
          <w:lang w:val="en-US" w:eastAsia="zh-CN"/>
        </w:rPr>
        <w:t xml:space="preserve">     </w:t>
      </w:r>
      <w:r>
        <w:rPr>
          <w:rFonts w:hint="eastAsia" w:ascii="仿宋_GB2312" w:hAnsi="仿宋_GB2312" w:eastAsia="仿宋_GB2312" w:cs="仿宋_GB2312"/>
          <w:b w:val="0"/>
          <w:bCs w:val="0"/>
          <w:color w:val="auto"/>
          <w:sz w:val="32"/>
          <w:szCs w:val="32"/>
          <w:lang w:val="en-US" w:eastAsia="zh-CN"/>
        </w:rPr>
        <w:t>实地核查主要是通过随访、抽查、座谈、问卷等方式，对三级指标要求落实的相关政策规定和开展相关工作等情况进行实地调查。凡涉及实地核查的三级指标，必须做到：相关文件及佐证材料完备，归档整理规范；开展相关工作经验、做法、成效等资料系统完整；主要领导、有关领导、业务科室、窗口岗位及相关单位人员要熟悉掌握该指标相关内容；行政执法部门要对监管的企事业单位、商户等分层次开展教育培训，使其了解法治政府建设示范创建的重大意义，积极配合做好迎检相关工作。</w:t>
      </w:r>
    </w:p>
    <w:p>
      <w:pPr>
        <w:pStyle w:val="2"/>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楷体" w:hAnsi="楷体" w:eastAsia="楷体" w:cs="楷体"/>
          <w:b w:val="0"/>
          <w:bCs w:val="0"/>
          <w:color w:val="auto"/>
          <w:sz w:val="32"/>
          <w:szCs w:val="32"/>
          <w:lang w:val="en-US" w:eastAsia="zh-CN"/>
        </w:rPr>
        <w:t>（三）案卷评查</w:t>
      </w:r>
    </w:p>
    <w:p>
      <w:pPr>
        <w:keepNext w:val="0"/>
        <w:keepLines w:val="0"/>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 xml:space="preserve">  案卷评查主要是通过案卷评查规定程序，对行政执法案</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卷、行政复议案卷、法制审核案卷（包括重大行政决策、行政规范性文件、一般性文件、合同等）采取随机抽查、评查、询问（包括电话询问）等方式进行客观评价。凡涉及案卷评查的三级指标，必须做到：案卷内容不缺项、不漏项，合法合规，案卷目录与案卷内容相符；涉及案卷评查部门的分管领导、相关工作人员要全面做好评查准备工作；行政执法部门的分管领导、行政执法人员要熟练掌握行政执法三项制度；行政执法决定、行政许可和行政处罚决定公示必须符合有关规定。</w:t>
      </w:r>
    </w:p>
    <w:p>
      <w:pPr>
        <w:pStyle w:val="2"/>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（四）随机抽考</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lang w:val="en-US" w:eastAsia="zh-CN"/>
        </w:rPr>
        <w:t xml:space="preserve">       </w:t>
      </w:r>
      <w:r>
        <w:rPr>
          <w:rFonts w:hint="eastAsia" w:ascii="仿宋_GB2312" w:hAnsi="仿宋_GB2312" w:eastAsia="仿宋_GB2312" w:cs="仿宋_GB2312"/>
          <w:b w:val="0"/>
          <w:bCs w:val="0"/>
          <w:color w:val="auto"/>
          <w:kern w:val="2"/>
          <w:sz w:val="32"/>
          <w:szCs w:val="32"/>
          <w:lang w:val="en-US" w:eastAsia="zh-CN" w:bidi="ar-SA"/>
        </w:rPr>
        <w:t>随机抽考主要是通过现场测试方式，对三级指标要求相关人员（重点对象：行政执法部门近两年新提拔领导干部、行政执法人员、初任公务员）应掌握的基本法律知识（主要包括：宪法、民法典、行政许可法、行政处罚法、行政强制法、行政复议法、行政诉讼法等法律和《法治政府建设实施纲要（2021—2025年）》等法治政府建设相关知识）进行随机抽考。</w:t>
      </w:r>
      <w:r>
        <w:rPr>
          <w:rFonts w:hint="eastAsia" w:ascii="仿宋" w:hAnsi="仿宋" w:eastAsia="仿宋" w:cs="仿宋"/>
          <w:b/>
          <w:bCs/>
          <w:sz w:val="32"/>
          <w:szCs w:val="32"/>
          <w:lang w:val="en-US" w:eastAsia="zh-CN"/>
        </w:rPr>
        <w:t>县直部门抽考人员：</w:t>
      </w:r>
      <w:r>
        <w:rPr>
          <w:rFonts w:hint="eastAsia" w:ascii="仿宋_GB2312" w:hAnsi="仿宋_GB2312" w:eastAsia="仿宋_GB2312" w:cs="仿宋_GB2312"/>
          <w:b w:val="0"/>
          <w:bCs w:val="0"/>
          <w:color w:val="auto"/>
          <w:kern w:val="2"/>
          <w:sz w:val="32"/>
          <w:szCs w:val="32"/>
          <w:lang w:val="en-US" w:eastAsia="zh-CN" w:bidi="ar-SA"/>
        </w:rPr>
        <w:t>具有行政执法资格的人员15名，其中中层干部不少于50%，即8名。单位数3个，各5人。其中，党委口部门至少1个，党委口人员可无行政执法证；</w:t>
      </w:r>
      <w:r>
        <w:rPr>
          <w:rFonts w:hint="eastAsia" w:ascii="仿宋" w:hAnsi="仿宋" w:eastAsia="仿宋" w:cs="仿宋"/>
          <w:b/>
          <w:bCs/>
          <w:sz w:val="32"/>
          <w:szCs w:val="32"/>
          <w:lang w:val="en-US" w:eastAsia="zh-CN"/>
        </w:rPr>
        <w:t>乡镇抽考人员：</w:t>
      </w:r>
      <w:r>
        <w:rPr>
          <w:rFonts w:hint="eastAsia" w:ascii="仿宋_GB2312" w:hAnsi="仿宋_GB2312" w:eastAsia="仿宋_GB2312" w:cs="仿宋_GB2312"/>
          <w:b w:val="0"/>
          <w:bCs w:val="0"/>
          <w:color w:val="auto"/>
          <w:kern w:val="2"/>
          <w:sz w:val="32"/>
          <w:szCs w:val="32"/>
          <w:lang w:val="en-US" w:eastAsia="zh-CN" w:bidi="ar-SA"/>
        </w:rPr>
        <w:t>抽考乡镇一个，人员15人，重点为乡镇综合行政执法队伍人员，中层干部不少于50%，不足的按实有工作人员参考。题型包括填空、选择、判断、简答、论述等。凡涉及随机抽考的三级指标，必须做到：整理准备近两年新提拔领导干部、行政执法人员、初任公务员基本情况名单；组织相关人员采取集中培训、个人自学等形式，学习应掌握的公共法律知识、专门法，做好应考准备。</w:t>
      </w:r>
    </w:p>
    <w:p>
      <w:pPr>
        <w:pStyle w:val="2"/>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（五）座谈访谈</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lang w:val="en-US" w:eastAsia="zh-CN"/>
        </w:rPr>
        <w:t xml:space="preserve">    </w:t>
      </w:r>
      <w:r>
        <w:rPr>
          <w:rFonts w:hint="eastAsia" w:ascii="仿宋_GB2312" w:hAnsi="仿宋_GB2312" w:eastAsia="仿宋_GB2312" w:cs="仿宋_GB2312"/>
          <w:b w:val="0"/>
          <w:bCs w:val="0"/>
          <w:color w:val="auto"/>
          <w:kern w:val="2"/>
          <w:sz w:val="32"/>
          <w:szCs w:val="32"/>
          <w:lang w:val="en-US" w:eastAsia="zh-CN" w:bidi="ar-SA"/>
        </w:rPr>
        <w:t xml:space="preserve">  座谈访谈主要是通过提问、询问等方式，对三级指标要求的相关内容进行面对面提问或询问。座谈访谈主要对象：各相关单位主要领导、分管法治工作的领导，相关部门负责人，各单位业务科室长、行政执法人员、窗口人员、有关行政相对人等。凡涉及座谈访谈的三级指标，必须做到：按照指标内容认真准备座谈访谈提纲；各相关单位要组织座谈访谈对象开展相关培训，熟练掌握相关内容，回答问题要抓住重点、层次分明、突出成效。</w:t>
      </w:r>
    </w:p>
    <w:p>
      <w:pPr>
        <w:pStyle w:val="2"/>
        <w:keepNext w:val="0"/>
        <w:keepLines w:val="0"/>
        <w:pageBreakBefore w:val="0"/>
        <w:kinsoku/>
        <w:wordWrap/>
        <w:overflowPunct/>
        <w:topLinePunct w:val="0"/>
        <w:autoSpaceDE/>
        <w:autoSpaceDN/>
        <w:bidi w:val="0"/>
        <w:adjustRightInd/>
        <w:snapToGrid/>
        <w:spacing w:line="560" w:lineRule="exact"/>
        <w:ind w:firstLine="320" w:firstLineChars="1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以上五项实地评估测评指标凡涉及网络检索、材料查证</w:t>
      </w:r>
    </w:p>
    <w:p>
      <w:pPr>
        <w:pStyle w:val="2"/>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的，其内容、数据要确保与网络检索、材料查证保持一致。</w:t>
      </w:r>
    </w:p>
    <w:p>
      <w:pPr>
        <w:pStyle w:val="2"/>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auto"/>
          <w:sz w:val="32"/>
          <w:szCs w:val="32"/>
          <w:lang w:val="en-US" w:eastAsia="zh-CN"/>
        </w:rPr>
      </w:pPr>
      <w:r>
        <w:rPr>
          <w:rFonts w:hint="eastAsia" w:ascii="楷体" w:hAnsi="楷体" w:eastAsia="楷体" w:cs="楷体"/>
          <w:b w:val="0"/>
          <w:bCs w:val="0"/>
          <w:color w:val="auto"/>
          <w:sz w:val="32"/>
          <w:szCs w:val="32"/>
          <w:lang w:val="en-US" w:eastAsia="zh-CN"/>
        </w:rPr>
        <w:t>（六）满意度调查</w:t>
      </w:r>
    </w:p>
    <w:p>
      <w:pPr>
        <w:pStyle w:val="2"/>
        <w:keepNext w:val="0"/>
        <w:keepLines w:val="0"/>
        <w:pageBreakBefore w:val="0"/>
        <w:numPr>
          <w:ilvl w:val="0"/>
          <w:numId w:val="0"/>
        </w:numPr>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满意度调查主要由第三方调查机构通过电话询问、暗访等方式，对平顶山市和鲁山县开展法治政府建设示范创建和重大行政决策、依法行政、行政执法、行政审批、政务服务、营商环境、治安环境等情况进行调查评分。各相关单位要按照县法治政府建设示范创建指挥部办公室(以下简称县创建办）统一部署，围绕各自管辖区域（乡镇、街道、社区、行政服务大厅等），监管、服务领域（企业、商户、服务窗口等）配合做好满意度调查工作。</w:t>
      </w:r>
    </w:p>
    <w:p>
      <w:pPr>
        <w:keepNext w:val="0"/>
        <w:keepLines w:val="0"/>
        <w:pageBreakBefore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ascii="仿宋_GB2312" w:hAnsi="仿宋_GB2312" w:eastAsia="仿宋_GB2312" w:cs="仿宋_GB2312"/>
          <w:b w:val="0"/>
          <w:bCs w:val="0"/>
          <w:color w:val="auto"/>
          <w:kern w:val="2"/>
          <w:sz w:val="32"/>
          <w:szCs w:val="32"/>
          <w:lang w:val="en-US" w:eastAsia="zh-CN" w:bidi="ar-SA"/>
        </w:rPr>
        <w:t xml:space="preserve">     </w:t>
      </w:r>
      <w:r>
        <w:rPr>
          <w:rFonts w:hint="eastAsia" w:ascii="黑体" w:hAnsi="黑体" w:eastAsia="黑体" w:cs="黑体"/>
          <w:b w:val="0"/>
          <w:bCs w:val="0"/>
          <w:color w:val="auto"/>
          <w:kern w:val="2"/>
          <w:sz w:val="32"/>
          <w:szCs w:val="32"/>
          <w:lang w:val="en-US" w:eastAsia="zh-CN" w:bidi="ar-SA"/>
        </w:rPr>
        <w:t>五、工作要求</w:t>
      </w:r>
    </w:p>
    <w:p>
      <w:pPr>
        <w:pStyle w:val="5"/>
        <w:keepNext w:val="0"/>
        <w:keepLines w:val="0"/>
        <w:pageBreakBefore w:val="0"/>
        <w:widowControl w:val="0"/>
        <w:kinsoku/>
        <w:wordWrap/>
        <w:overflowPunct/>
        <w:topLinePunct w:val="0"/>
        <w:autoSpaceDE/>
        <w:autoSpaceDN/>
        <w:bidi w:val="0"/>
        <w:adjustRightInd/>
        <w:snapToGrid/>
        <w:spacing w:before="0" w:beforeAutospacing="0" w:line="560" w:lineRule="exact"/>
        <w:ind w:firstLine="640"/>
        <w:jc w:val="both"/>
        <w:textAlignment w:val="auto"/>
        <w:rPr>
          <w:rFonts w:hint="default" w:ascii="仿宋_GB2312" w:hAnsi="仿宋_GB2312" w:eastAsia="仿宋_GB2312" w:cs="仿宋_GB2312"/>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（一）加强组织领导。</w:t>
      </w:r>
      <w:r>
        <w:rPr>
          <w:rFonts w:hint="eastAsia" w:ascii="仿宋_GB2312" w:hAnsi="仿宋_GB2312" w:eastAsia="仿宋_GB2312" w:cs="仿宋_GB2312"/>
          <w:b w:val="0"/>
          <w:bCs w:val="0"/>
          <w:color w:val="auto"/>
          <w:kern w:val="2"/>
          <w:sz w:val="32"/>
          <w:szCs w:val="32"/>
          <w:lang w:val="en-US" w:eastAsia="zh-CN" w:bidi="ar-SA"/>
        </w:rPr>
        <w:t>鲁山县迎接平顶山市创建全国法治政府建设示范市检查工作，在县委县政府的统一领导下，由县创建办具体组织实施。各单位要加强组织领导，细化分解工作方案，统筹安排部署迎检工作。要做到统一指挥、统一步调，层层动员、广泛发动，一级抓一级，层层抓落实，形成工作合力。各单位迎检方案和抽考人员名单（近两年新提拔领导干部、行政执法人员、初任公务员基本情况名单）由各单位一把手签字并加盖公章，请于3月28日前报送县创建办（县南环路司法大楼5楼502室，电话：7653020，电子邮箱：</w:t>
      </w:r>
      <w:r>
        <w:rPr>
          <w:rFonts w:hint="eastAsia" w:ascii="仿宋_GB2312" w:hAnsi="仿宋_GB2312" w:eastAsia="仿宋_GB2312" w:cs="仿宋_GB2312"/>
          <w:b w:val="0"/>
          <w:bCs w:val="0"/>
          <w:sz w:val="32"/>
          <w:szCs w:val="32"/>
          <w:lang w:val="en-US" w:eastAsia="zh-CN"/>
        </w:rPr>
        <w:t>lsxyfzxbgs@126</w:t>
      </w:r>
      <w:r>
        <w:rPr>
          <w:rFonts w:hint="eastAsia" w:ascii="仿宋_GB2312" w:hAnsi="仿宋_GB2312" w:eastAsia="仿宋_GB2312" w:cs="仿宋_GB2312"/>
          <w:b w:val="0"/>
          <w:bCs w:val="0"/>
          <w:color w:val="auto"/>
          <w:kern w:val="2"/>
          <w:sz w:val="32"/>
          <w:szCs w:val="32"/>
          <w:lang w:val="en-US" w:eastAsia="zh-CN" w:bidi="ar-SA"/>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（二）压实工作责任。</w:t>
      </w:r>
      <w:r>
        <w:rPr>
          <w:rFonts w:hint="eastAsia" w:ascii="仿宋_GB2312" w:hAnsi="仿宋_GB2312" w:eastAsia="仿宋_GB2312" w:cs="仿宋_GB2312"/>
          <w:b w:val="0"/>
          <w:bCs w:val="0"/>
          <w:color w:val="auto"/>
          <w:kern w:val="2"/>
          <w:sz w:val="32"/>
          <w:szCs w:val="32"/>
          <w:lang w:val="en-US" w:eastAsia="zh-CN" w:bidi="ar-SA"/>
        </w:rPr>
        <w:t>各单位党政主要领导是迎检工作第一责任人，分管领导是直接责任人。要把鲁山县迎接平顶山市创建全国法治政府建设示范市检查工作作为当前的一项重要工作来抓，主要领导要亲自部署、亲自过问、亲自协调、亲自督办；分管领导要靠前指挥，亲自谋划、亲自推进，抓好各项任务落实，共同做好迎检工作。</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（三）营造浓厚氛围。</w:t>
      </w:r>
      <w:r>
        <w:rPr>
          <w:rFonts w:hint="eastAsia" w:ascii="仿宋" w:hAnsi="仿宋" w:eastAsia="仿宋" w:cs="仿宋"/>
          <w:sz w:val="32"/>
          <w:szCs w:val="32"/>
          <w:lang w:eastAsia="zh-CN"/>
        </w:rPr>
        <w:t>各乡（镇、街道）、</w:t>
      </w:r>
      <w:r>
        <w:rPr>
          <w:rFonts w:hint="eastAsia" w:ascii="仿宋_GB2312" w:hAnsi="仿宋_GB2312" w:eastAsia="仿宋_GB2312" w:cs="仿宋_GB2312"/>
          <w:b w:val="0"/>
          <w:bCs w:val="0"/>
          <w:color w:val="auto"/>
          <w:kern w:val="2"/>
          <w:sz w:val="32"/>
          <w:szCs w:val="32"/>
          <w:lang w:val="en-US" w:eastAsia="zh-CN" w:bidi="ar-SA"/>
        </w:rPr>
        <w:t>各单位、行业要按照示范创建宣传工作统一部署，共同发力，</w:t>
      </w:r>
      <w:r>
        <w:rPr>
          <w:rFonts w:hint="eastAsia" w:ascii="仿宋_GB2312" w:hAnsi="仿宋_GB2312" w:eastAsia="仿宋_GB2312" w:cs="仿宋_GB2312"/>
          <w:b w:val="0"/>
          <w:i w:val="0"/>
          <w:caps w:val="0"/>
          <w:color w:val="000000"/>
          <w:spacing w:val="0"/>
          <w:kern w:val="0"/>
          <w:sz w:val="32"/>
          <w:szCs w:val="32"/>
          <w:shd w:val="clear" w:color="auto" w:fill="FFFFFF"/>
          <w:lang w:val="en-US" w:eastAsia="zh-CN" w:bidi="ar"/>
        </w:rPr>
        <w:t>组织动员方方面面的力量，开展全方位、精准化的系列宣传活动，动员</w:t>
      </w:r>
      <w:r>
        <w:rPr>
          <w:rFonts w:hint="eastAsia" w:ascii="仿宋_GB2312" w:hAnsi="仿宋_GB2312" w:eastAsia="仿宋_GB2312" w:cs="仿宋_GB2312"/>
          <w:b w:val="0"/>
          <w:bCs w:val="0"/>
          <w:color w:val="auto"/>
          <w:kern w:val="2"/>
          <w:sz w:val="32"/>
          <w:szCs w:val="32"/>
          <w:lang w:val="en-US" w:eastAsia="zh-CN" w:bidi="ar-SA"/>
        </w:rPr>
        <w:t>广大群众积极参与、支持示范创建活动，形成不漏一户一人的大水漫灌的全覆盖宣传声势，营造“我知晓、我支持、我参与、我满意”的浓厚宣传氛围。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60" w:lineRule="exact"/>
        <w:ind w:left="0" w:firstLine="640" w:firstLineChars="200"/>
        <w:jc w:val="both"/>
        <w:textAlignment w:val="auto"/>
        <w:rPr>
          <w:rFonts w:hint="eastAsia" w:ascii="楷体_GB2312" w:hAnsi="楷体_GB2312" w:eastAsia="楷体_GB2312" w:cs="楷体_GB2312"/>
          <w:b w:val="0"/>
          <w:bCs w:val="0"/>
          <w:color w:val="000000"/>
          <w:kern w:val="16"/>
          <w:sz w:val="32"/>
          <w:szCs w:val="32"/>
          <w:lang w:val="en-US" w:eastAsia="zh-CN"/>
        </w:rPr>
      </w:pPr>
      <w:r>
        <w:rPr>
          <w:rFonts w:hint="eastAsia" w:ascii="楷体" w:hAnsi="楷体" w:eastAsia="楷体" w:cs="楷体"/>
          <w:b w:val="0"/>
          <w:bCs w:val="0"/>
          <w:color w:val="auto"/>
          <w:kern w:val="2"/>
          <w:sz w:val="32"/>
          <w:szCs w:val="32"/>
          <w:lang w:val="en-US" w:eastAsia="zh-CN" w:bidi="ar-SA"/>
        </w:rPr>
        <w:t>（四）</w:t>
      </w:r>
      <w:r>
        <w:rPr>
          <w:rFonts w:hint="eastAsia" w:ascii="楷体_GB2312" w:hAnsi="楷体_GB2312" w:eastAsia="楷体_GB2312" w:cs="楷体_GB2312"/>
          <w:b w:val="0"/>
          <w:bCs w:val="0"/>
          <w:color w:val="000000"/>
          <w:kern w:val="16"/>
          <w:sz w:val="32"/>
          <w:szCs w:val="32"/>
          <w:lang w:val="en-US" w:eastAsia="zh-CN"/>
        </w:rPr>
        <w:t>强化督导检查。</w:t>
      </w:r>
      <w:r>
        <w:rPr>
          <w:rFonts w:hint="eastAsia" w:ascii="仿宋_GB2312" w:hAnsi="仿宋_GB2312" w:eastAsia="仿宋_GB2312" w:cs="仿宋_GB2312"/>
          <w:kern w:val="2"/>
          <w:sz w:val="32"/>
          <w:szCs w:val="32"/>
          <w:lang w:val="en-US" w:eastAsia="zh-CN" w:bidi="ar-SA"/>
        </w:rPr>
        <w:t>县委依法治县、县法治政府建设领导小组办公室将加强督导检查，各单位要把本部门法治建设工作纳入规范化、制度化轨道，</w:t>
      </w:r>
      <w:r>
        <w:rPr>
          <w:rFonts w:hint="eastAsia" w:ascii="仿宋_GB2312" w:hAnsi="仿宋_GB2312" w:eastAsia="仿宋_GB2312" w:cs="仿宋_GB2312"/>
          <w:b w:val="0"/>
          <w:bCs w:val="0"/>
          <w:color w:val="auto"/>
          <w:kern w:val="2"/>
          <w:sz w:val="32"/>
          <w:szCs w:val="32"/>
          <w:lang w:val="en-US" w:eastAsia="zh-CN" w:bidi="ar-SA"/>
        </w:rPr>
        <w:t>谋划好、推动好、落实好各项工作任务</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b w:val="0"/>
          <w:bCs w:val="0"/>
          <w:color w:val="auto"/>
          <w:kern w:val="2"/>
          <w:sz w:val="32"/>
          <w:szCs w:val="32"/>
          <w:lang w:val="en-US" w:eastAsia="zh-CN" w:bidi="ar-SA"/>
        </w:rPr>
        <w:t>对重视不够、工作不力造成不良影响的，</w:t>
      </w:r>
      <w:r>
        <w:rPr>
          <w:rFonts w:hint="eastAsia" w:ascii="仿宋_GB2312" w:hAnsi="仿宋_GB2312" w:eastAsia="仿宋_GB2312" w:cs="仿宋_GB2312"/>
          <w:kern w:val="2"/>
          <w:sz w:val="32"/>
          <w:szCs w:val="32"/>
          <w:lang w:val="en-US" w:eastAsia="zh-CN" w:bidi="ar-SA"/>
        </w:rPr>
        <w:t>将报请县委、县政府、县纪委监委严肃追责问效。</w:t>
      </w:r>
    </w:p>
    <w:p>
      <w:pPr>
        <w:widowControl/>
        <w:spacing w:line="0" w:lineRule="atLeast"/>
        <w:jc w:val="center"/>
        <w:textAlignment w:val="center"/>
        <w:rPr>
          <w:rFonts w:hint="eastAsia" w:ascii="仿宋_GB2312" w:hAnsi="仿宋_GB2312" w:eastAsia="仿宋_GB2312" w:cs="仿宋_GB2312"/>
          <w:b w:val="0"/>
          <w:bCs w:val="0"/>
          <w:color w:val="auto"/>
          <w:kern w:val="2"/>
          <w:sz w:val="32"/>
          <w:szCs w:val="32"/>
          <w:lang w:val="en-US" w:eastAsia="zh-CN" w:bidi="ar-SA"/>
        </w:rPr>
      </w:pPr>
    </w:p>
    <w:p>
      <w:pPr>
        <w:pStyle w:val="2"/>
        <w:rPr>
          <w:rFonts w:hint="eastAsia"/>
          <w:lang w:val="en-US" w:eastAsia="zh-CN"/>
        </w:rPr>
      </w:pPr>
    </w:p>
    <w:p>
      <w:pPr>
        <w:widowControl/>
        <w:spacing w:line="0" w:lineRule="atLeast"/>
        <w:jc w:val="center"/>
        <w:textAlignment w:val="center"/>
        <w:rPr>
          <w:rFonts w:hint="eastAsia" w:ascii="仿宋_GB2312" w:hAnsi="仿宋_GB2312" w:eastAsia="仿宋_GB2312" w:cs="仿宋_GB2312"/>
          <w:b w:val="0"/>
          <w:bCs w:val="0"/>
          <w:color w:val="auto"/>
          <w:kern w:val="2"/>
          <w:sz w:val="32"/>
          <w:szCs w:val="32"/>
          <w:lang w:val="en-US" w:eastAsia="zh-CN" w:bidi="ar-SA"/>
        </w:rPr>
      </w:pPr>
    </w:p>
    <w:p>
      <w:pPr>
        <w:widowControl/>
        <w:spacing w:line="0" w:lineRule="atLeast"/>
        <w:ind w:left="1600" w:hanging="1600" w:hangingChars="500"/>
        <w:jc w:val="left"/>
        <w:textAlignment w:val="center"/>
        <w:rPr>
          <w:rFonts w:hint="eastAsia" w:ascii="仿宋_GB2312" w:hAnsi="仿宋_GB2312" w:eastAsia="仿宋_GB2312" w:cs="仿宋_GB2312"/>
          <w:b w:val="0"/>
          <w:bCs w:val="0"/>
          <w:color w:val="auto"/>
          <w:kern w:val="2"/>
          <w:sz w:val="32"/>
          <w:szCs w:val="32"/>
          <w:lang w:val="en-US" w:eastAsia="zh-CN" w:bidi="ar-SA"/>
        </w:rPr>
        <w:sectPr>
          <w:foot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b w:val="0"/>
          <w:bCs w:val="0"/>
          <w:color w:val="auto"/>
          <w:kern w:val="2"/>
          <w:sz w:val="32"/>
          <w:szCs w:val="32"/>
          <w:lang w:val="en-US" w:eastAsia="zh-CN" w:bidi="ar-SA"/>
        </w:rPr>
        <w:t xml:space="preserve">    附件：</w:t>
      </w:r>
      <w:r>
        <w:rPr>
          <w:rFonts w:hint="eastAsia" w:ascii="仿宋" w:hAnsi="仿宋" w:eastAsia="仿宋" w:cs="仿宋"/>
          <w:sz w:val="32"/>
          <w:szCs w:val="32"/>
          <w:lang w:eastAsia="zh-CN"/>
        </w:rPr>
        <w:t>鲁山县迎接平顶山市创建全国法治政府建设示范市检查工作任务清单</w:t>
      </w:r>
    </w:p>
    <w:p>
      <w:pPr>
        <w:jc w:val="left"/>
        <w:outlineLvl w:val="0"/>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附件</w:t>
      </w:r>
    </w:p>
    <w:p>
      <w:pPr>
        <w:jc w:val="left"/>
        <w:outlineLvl w:val="0"/>
        <w:rPr>
          <w:rFonts w:hint="eastAsia" w:ascii="宋体" w:hAnsi="宋体"/>
          <w:b/>
          <w:bCs/>
          <w:sz w:val="44"/>
          <w:szCs w:val="44"/>
          <w:lang w:eastAsia="zh-CN"/>
        </w:rPr>
      </w:pPr>
    </w:p>
    <w:p>
      <w:pPr>
        <w:widowControl/>
        <w:spacing w:line="0" w:lineRule="atLeast"/>
        <w:jc w:val="center"/>
        <w:textAlignment w:val="center"/>
        <w:rPr>
          <w:rFonts w:hint="eastAsia" w:ascii="方正小标宋简体" w:hAnsi="方正小标宋简体" w:eastAsia="方正小标宋简体" w:cs="方正小标宋简体"/>
          <w:b w:val="0"/>
          <w:bCs w:val="0"/>
          <w:color w:val="auto"/>
          <w:kern w:val="0"/>
          <w:sz w:val="44"/>
          <w:szCs w:val="44"/>
          <w:lang w:eastAsia="zh-CN" w:bidi="ar"/>
        </w:rPr>
      </w:pPr>
      <w:r>
        <w:rPr>
          <w:rFonts w:hint="eastAsia" w:ascii="方正小标宋简体" w:hAnsi="方正小标宋简体" w:eastAsia="方正小标宋简体" w:cs="方正小标宋简体"/>
          <w:b w:val="0"/>
          <w:bCs w:val="0"/>
          <w:sz w:val="44"/>
          <w:szCs w:val="44"/>
          <w:lang w:eastAsia="zh-CN"/>
        </w:rPr>
        <w:t>鲁山县迎接平顶山市创建全国法治政府建设示范市检查工作任务清单</w:t>
      </w:r>
    </w:p>
    <w:p>
      <w:pPr>
        <w:keepNext w:val="0"/>
        <w:keepLines w:val="0"/>
        <w:pageBreakBefore w:val="0"/>
        <w:widowControl w:val="0"/>
        <w:kinsoku/>
        <w:wordWrap/>
        <w:overflowPunct/>
        <w:topLinePunct w:val="0"/>
        <w:autoSpaceDE/>
        <w:autoSpaceDN/>
        <w:bidi w:val="0"/>
        <w:adjustRightInd/>
        <w:snapToGrid/>
        <w:spacing w:before="161" w:beforeLines="50"/>
        <w:jc w:val="center"/>
        <w:textAlignment w:val="auto"/>
        <w:outlineLvl w:val="0"/>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（内部资料、严禁外传）</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560" w:firstLineChars="200"/>
        <w:jc w:val="both"/>
        <w:textAlignment w:val="baseline"/>
        <w:rPr>
          <w:rFonts w:hint="eastAsia" w:ascii="仿宋" w:hAnsi="仿宋" w:eastAsia="仿宋" w:cs="仿宋"/>
          <w:color w:val="000000"/>
          <w:kern w:val="2"/>
          <w:sz w:val="28"/>
          <w:szCs w:val="28"/>
          <w:lang w:val="en-US" w:eastAsia="zh-CN" w:bidi="ar-SA"/>
        </w:rPr>
      </w:pP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560" w:firstLineChars="200"/>
        <w:jc w:val="both"/>
        <w:textAlignment w:val="baseline"/>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请各单位认真学习掌握每一项三级指标内容、测评方法、填报材料。在迎检自查过程中，注意以下事宜：</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560" w:firstLineChars="200"/>
        <w:jc w:val="both"/>
        <w:textAlignment w:val="baseline"/>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一、任务清单中填报材料要求“2019年以来”或者“2020年以来”的。</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560" w:firstLineChars="200"/>
        <w:jc w:val="both"/>
        <w:textAlignment w:val="baseline"/>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二、填报材料的情况说明是指开展该指标所要求的主要工作情况介绍，简明扼要、清晰具体，一般不超过500字，最多不超过1000字。</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560" w:firstLineChars="200"/>
        <w:jc w:val="both"/>
        <w:textAlignment w:val="baseline"/>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三、有的指标要求的材料，县乡政府主要是贯彻落实省市级政府的有关要求，不需要制定相应文件，可在本级本单位材料中汇编上一级政府相应的规章或者行政规范性文件。</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560" w:firstLineChars="200"/>
        <w:jc w:val="both"/>
        <w:textAlignment w:val="baseline"/>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四、有的指标要求的材料，明确是本地区或辖区的，涵盖本地区涉及该指标的总体工作情况。</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520" w:lineRule="exact"/>
        <w:ind w:firstLine="560" w:firstLineChars="200"/>
        <w:jc w:val="both"/>
        <w:textAlignment w:val="baseline"/>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五、每一项指标都不能空缺，如果没有材料可以提交，请注明“不涉及本部门职责”。</w:t>
      </w:r>
    </w:p>
    <w:p>
      <w:pPr>
        <w:pStyle w:val="6"/>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0" w:afterAutospacing="0" w:line="0" w:lineRule="atLeast"/>
        <w:ind w:firstLine="560" w:firstLineChars="200"/>
        <w:jc w:val="both"/>
        <w:textAlignment w:val="baseline"/>
        <w:rPr>
          <w:rFonts w:hint="eastAsia" w:ascii="仿宋" w:hAnsi="仿宋" w:eastAsia="仿宋" w:cs="仿宋"/>
          <w:color w:val="000000"/>
          <w:kern w:val="2"/>
          <w:sz w:val="28"/>
          <w:szCs w:val="28"/>
          <w:lang w:val="en-US" w:eastAsia="zh-CN" w:bidi="ar-SA"/>
        </w:rPr>
      </w:pPr>
    </w:p>
    <w:p>
      <w:pPr>
        <w:spacing w:line="300" w:lineRule="exact"/>
        <w:ind w:firstLine="640" w:firstLineChars="200"/>
        <w:rPr>
          <w:rFonts w:hint="eastAsia" w:ascii="方正小标宋_GBK" w:hAnsi="方正小标宋简体" w:eastAsia="方正小标宋_GBK" w:cs="方正小标宋简体"/>
          <w:sz w:val="44"/>
          <w:szCs w:val="44"/>
        </w:rPr>
        <w:sectPr>
          <w:footerReference r:id="rId4" w:type="default"/>
          <w:pgSz w:w="16838" w:h="11906" w:orient="landscape"/>
          <w:pgMar w:top="1474" w:right="1814" w:bottom="1474" w:left="1758" w:header="851" w:footer="992" w:gutter="0"/>
          <w:pgBorders>
            <w:top w:val="none" w:sz="0" w:space="0"/>
            <w:left w:val="none" w:sz="0" w:space="0"/>
            <w:bottom w:val="none" w:sz="0" w:space="0"/>
            <w:right w:val="none" w:sz="0" w:space="0"/>
          </w:pgBorders>
          <w:pgNumType w:fmt="decimal" w:start="8"/>
          <w:cols w:space="720" w:num="1"/>
          <w:docGrid w:type="lines" w:linePitch="319" w:charSpace="0"/>
        </w:sectPr>
      </w:pPr>
      <w:r>
        <w:rPr>
          <w:rFonts w:hint="eastAsia" w:ascii="仿宋" w:hAnsi="仿宋" w:eastAsia="仿宋" w:cs="仿宋"/>
          <w:color w:val="000000"/>
          <w:sz w:val="32"/>
          <w:szCs w:val="32"/>
        </w:rPr>
        <w:br w:type="page"/>
      </w:r>
      <w:bookmarkStart w:id="1" w:name="_GoBack"/>
      <w:bookmarkEnd w:id="1"/>
    </w:p>
    <w:p>
      <w:pPr>
        <w:widowControl/>
        <w:spacing w:line="0" w:lineRule="atLeast"/>
        <w:jc w:val="center"/>
        <w:textAlignment w:val="center"/>
        <w:rPr>
          <w:rFonts w:hint="eastAsia" w:ascii="方正小标宋简体" w:hAnsi="方正小标宋简体" w:eastAsia="方正小标宋简体" w:cs="方正小标宋简体"/>
          <w:b w:val="0"/>
          <w:bCs w:val="0"/>
          <w:color w:val="auto"/>
          <w:kern w:val="0"/>
          <w:sz w:val="44"/>
          <w:szCs w:val="44"/>
          <w:lang w:eastAsia="zh-CN" w:bidi="ar"/>
        </w:rPr>
      </w:pPr>
      <w:r>
        <w:rPr>
          <w:rFonts w:hint="eastAsia" w:ascii="方正小标宋简体" w:hAnsi="方正小标宋简体" w:eastAsia="方正小标宋简体" w:cs="方正小标宋简体"/>
          <w:b w:val="0"/>
          <w:bCs w:val="0"/>
          <w:sz w:val="44"/>
          <w:szCs w:val="44"/>
          <w:lang w:eastAsia="zh-CN"/>
        </w:rPr>
        <w:t>鲁山县迎接平顶山市创建全国法治政府建设示范市检查工作任务清单</w:t>
      </w:r>
    </w:p>
    <w:p>
      <w:pPr>
        <w:pStyle w:val="2"/>
        <w:rPr>
          <w:rFonts w:hint="eastAsia"/>
          <w:color w:val="auto"/>
        </w:rPr>
      </w:pPr>
    </w:p>
    <w:tbl>
      <w:tblPr>
        <w:tblStyle w:val="7"/>
        <w:tblpPr w:leftFromText="180" w:rightFromText="180" w:vertAnchor="text" w:horzAnchor="page" w:tblpX="1633" w:tblpY="86"/>
        <w:tblOverlap w:val="never"/>
        <w:tblW w:w="48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65"/>
        <w:gridCol w:w="1010"/>
        <w:gridCol w:w="677"/>
        <w:gridCol w:w="3217"/>
        <w:gridCol w:w="1494"/>
        <w:gridCol w:w="3746"/>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9" w:hRule="atLeast"/>
        </w:trPr>
        <w:tc>
          <w:tcPr>
            <w:tcW w:w="280" w:type="pct"/>
            <w:tcBorders>
              <w:bottom w:val="single" w:color="auto" w:sz="4" w:space="0"/>
            </w:tcBorders>
            <w:noWrap w:val="0"/>
            <w:vAlign w:val="center"/>
          </w:tcPr>
          <w:p>
            <w:pPr>
              <w:widowControl/>
              <w:spacing w:line="0" w:lineRule="atLeast"/>
              <w:jc w:val="center"/>
              <w:textAlignment w:val="center"/>
              <w:rPr>
                <w:rFonts w:hint="eastAsia" w:ascii="黑体" w:hAnsi="黑体" w:eastAsia="黑体" w:cs="黑体"/>
                <w:bCs/>
                <w:color w:val="auto"/>
                <w:kern w:val="0"/>
                <w:sz w:val="24"/>
                <w:szCs w:val="24"/>
                <w:lang w:bidi="ar"/>
              </w:rPr>
            </w:pPr>
            <w:r>
              <w:rPr>
                <w:rFonts w:hint="eastAsia" w:ascii="黑体" w:hAnsi="黑体" w:eastAsia="黑体" w:cs="黑体"/>
                <w:bCs/>
                <w:color w:val="auto"/>
                <w:kern w:val="0"/>
                <w:sz w:val="24"/>
                <w:szCs w:val="24"/>
                <w:lang w:bidi="ar"/>
              </w:rPr>
              <w:t>一级</w:t>
            </w:r>
          </w:p>
          <w:p>
            <w:pPr>
              <w:widowControl/>
              <w:spacing w:line="0" w:lineRule="atLeast"/>
              <w:jc w:val="center"/>
              <w:textAlignment w:val="center"/>
              <w:rPr>
                <w:rFonts w:ascii="黑体" w:hAnsi="黑体" w:eastAsia="黑体" w:cs="黑体"/>
                <w:bCs/>
                <w:color w:val="auto"/>
                <w:sz w:val="24"/>
                <w:szCs w:val="24"/>
              </w:rPr>
            </w:pPr>
            <w:r>
              <w:rPr>
                <w:rFonts w:hint="eastAsia" w:ascii="黑体" w:hAnsi="黑体" w:eastAsia="黑体" w:cs="黑体"/>
                <w:bCs/>
                <w:color w:val="auto"/>
                <w:kern w:val="0"/>
                <w:sz w:val="24"/>
                <w:szCs w:val="24"/>
                <w:lang w:bidi="ar"/>
              </w:rPr>
              <w:t>指标</w:t>
            </w:r>
          </w:p>
        </w:tc>
        <w:tc>
          <w:tcPr>
            <w:tcW w:w="370" w:type="pct"/>
            <w:tcBorders>
              <w:bottom w:val="single" w:color="auto" w:sz="4" w:space="0"/>
            </w:tcBorders>
            <w:noWrap w:val="0"/>
            <w:vAlign w:val="center"/>
          </w:tcPr>
          <w:p>
            <w:pPr>
              <w:widowControl/>
              <w:spacing w:line="0" w:lineRule="atLeast"/>
              <w:jc w:val="center"/>
              <w:textAlignment w:val="center"/>
              <w:rPr>
                <w:rFonts w:ascii="黑体" w:hAnsi="黑体" w:eastAsia="黑体" w:cs="黑体"/>
                <w:bCs/>
                <w:color w:val="auto"/>
                <w:sz w:val="24"/>
                <w:szCs w:val="24"/>
              </w:rPr>
            </w:pPr>
            <w:r>
              <w:rPr>
                <w:rFonts w:hint="eastAsia" w:ascii="黑体" w:hAnsi="黑体" w:eastAsia="黑体" w:cs="黑体"/>
                <w:bCs/>
                <w:color w:val="auto"/>
                <w:kern w:val="0"/>
                <w:sz w:val="24"/>
                <w:szCs w:val="24"/>
                <w:lang w:bidi="ar"/>
              </w:rPr>
              <w:t>二级指标</w:t>
            </w:r>
          </w:p>
        </w:tc>
        <w:tc>
          <w:tcPr>
            <w:tcW w:w="248" w:type="pct"/>
            <w:noWrap w:val="0"/>
            <w:vAlign w:val="center"/>
          </w:tcPr>
          <w:p>
            <w:pPr>
              <w:spacing w:line="0" w:lineRule="atLeast"/>
              <w:jc w:val="center"/>
              <w:rPr>
                <w:rFonts w:hint="eastAsia" w:ascii="黑体" w:hAnsi="黑体" w:eastAsia="黑体" w:cs="仿宋"/>
                <w:bCs/>
                <w:color w:val="auto"/>
                <w:sz w:val="24"/>
                <w:szCs w:val="24"/>
              </w:rPr>
            </w:pPr>
            <w:r>
              <w:rPr>
                <w:rFonts w:hint="eastAsia" w:ascii="黑体" w:hAnsi="黑体" w:eastAsia="黑体" w:cs="黑体"/>
                <w:bCs/>
                <w:color w:val="auto"/>
                <w:kern w:val="0"/>
                <w:sz w:val="24"/>
                <w:szCs w:val="24"/>
                <w:lang w:bidi="ar"/>
              </w:rPr>
              <w:t>序号</w:t>
            </w:r>
          </w:p>
        </w:tc>
        <w:tc>
          <w:tcPr>
            <w:tcW w:w="1178" w:type="pct"/>
            <w:noWrap w:val="0"/>
            <w:vAlign w:val="center"/>
          </w:tcPr>
          <w:p>
            <w:pPr>
              <w:widowControl/>
              <w:spacing w:line="0" w:lineRule="atLeast"/>
              <w:jc w:val="center"/>
              <w:textAlignment w:val="center"/>
              <w:rPr>
                <w:rFonts w:hint="eastAsia" w:ascii="黑体" w:hAnsi="黑体" w:eastAsia="黑体" w:cs="仿宋"/>
                <w:bCs/>
                <w:color w:val="auto"/>
                <w:sz w:val="24"/>
                <w:szCs w:val="24"/>
              </w:rPr>
            </w:pPr>
            <w:r>
              <w:rPr>
                <w:rFonts w:hint="eastAsia" w:ascii="黑体" w:hAnsi="黑体" w:eastAsia="黑体" w:cs="黑体"/>
                <w:bCs/>
                <w:color w:val="auto"/>
                <w:kern w:val="0"/>
                <w:sz w:val="24"/>
                <w:szCs w:val="24"/>
                <w:lang w:bidi="ar"/>
              </w:rPr>
              <w:t>三级指标</w:t>
            </w:r>
          </w:p>
        </w:tc>
        <w:tc>
          <w:tcPr>
            <w:tcW w:w="547" w:type="pct"/>
            <w:noWrap w:val="0"/>
            <w:vAlign w:val="center"/>
          </w:tcPr>
          <w:p>
            <w:pPr>
              <w:widowControl/>
              <w:spacing w:line="0" w:lineRule="atLeast"/>
              <w:jc w:val="center"/>
              <w:rPr>
                <w:rFonts w:hint="eastAsia" w:ascii="黑体" w:hAnsi="黑体" w:eastAsia="黑体" w:cs="宋体"/>
                <w:bCs/>
                <w:color w:val="auto"/>
                <w:kern w:val="0"/>
                <w:sz w:val="24"/>
                <w:szCs w:val="24"/>
              </w:rPr>
            </w:pPr>
            <w:r>
              <w:rPr>
                <w:rFonts w:hint="eastAsia" w:ascii="黑体" w:hAnsi="黑体" w:eastAsia="黑体" w:cs="黑体"/>
                <w:kern w:val="0"/>
                <w:sz w:val="24"/>
                <w:lang w:bidi="ar"/>
              </w:rPr>
              <w:t>测评方法</w:t>
            </w:r>
          </w:p>
        </w:tc>
        <w:tc>
          <w:tcPr>
            <w:tcW w:w="1372" w:type="pct"/>
            <w:noWrap w:val="0"/>
            <w:vAlign w:val="center"/>
          </w:tcPr>
          <w:p>
            <w:pPr>
              <w:widowControl/>
              <w:spacing w:line="0" w:lineRule="atLeast"/>
              <w:jc w:val="center"/>
              <w:rPr>
                <w:rFonts w:hint="eastAsia" w:ascii="黑体" w:hAnsi="黑体" w:eastAsia="黑体" w:cs="宋体"/>
                <w:bCs/>
                <w:color w:val="auto"/>
                <w:kern w:val="0"/>
                <w:sz w:val="24"/>
                <w:szCs w:val="24"/>
                <w:lang w:eastAsia="zh-CN"/>
              </w:rPr>
            </w:pPr>
            <w:r>
              <w:rPr>
                <w:rFonts w:hint="eastAsia" w:ascii="黑体" w:hAnsi="黑体" w:eastAsia="黑体" w:cs="宋体"/>
                <w:bCs/>
                <w:color w:val="auto"/>
                <w:kern w:val="0"/>
                <w:sz w:val="24"/>
                <w:szCs w:val="24"/>
                <w:lang w:eastAsia="zh-CN"/>
              </w:rPr>
              <w:t>填报材料</w:t>
            </w:r>
          </w:p>
        </w:tc>
        <w:tc>
          <w:tcPr>
            <w:tcW w:w="1002" w:type="pct"/>
            <w:noWrap w:val="0"/>
            <w:vAlign w:val="center"/>
          </w:tcPr>
          <w:p>
            <w:pPr>
              <w:widowControl/>
              <w:spacing w:line="0" w:lineRule="atLeast"/>
              <w:jc w:val="center"/>
              <w:rPr>
                <w:rFonts w:hint="eastAsia" w:ascii="黑体" w:hAnsi="黑体" w:eastAsia="黑体" w:cs="宋体"/>
                <w:bCs/>
                <w:color w:val="auto"/>
                <w:kern w:val="0"/>
                <w:sz w:val="24"/>
                <w:szCs w:val="24"/>
              </w:rPr>
            </w:pPr>
            <w:r>
              <w:rPr>
                <w:rFonts w:hint="eastAsia" w:ascii="黑体" w:hAnsi="黑体" w:eastAsia="黑体" w:cs="宋体"/>
                <w:bCs/>
                <w:color w:val="auto"/>
                <w:kern w:val="0"/>
                <w:sz w:val="24"/>
                <w:szCs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8" w:hRule="atLeast"/>
        </w:trPr>
        <w:tc>
          <w:tcPr>
            <w:tcW w:w="280" w:type="pct"/>
            <w:vMerge w:val="restart"/>
            <w:noWrap w:val="0"/>
            <w:vAlign w:val="center"/>
          </w:tcPr>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一、政府职能依法全面履行</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numPr>
                <w:ilvl w:val="0"/>
                <w:numId w:val="3"/>
              </w:numPr>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政府职能依法全面履行</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numPr>
                <w:ilvl w:val="0"/>
                <w:numId w:val="4"/>
              </w:numPr>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政府职能依法全面履行</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sz w:val="24"/>
              </w:rPr>
            </w:pPr>
            <w:r>
              <w:rPr>
                <w:rFonts w:hint="eastAsia" w:ascii="楷体" w:hAnsi="楷体" w:eastAsia="楷体" w:cs="黑体"/>
                <w:b/>
                <w:color w:val="auto"/>
                <w:kern w:val="0"/>
                <w:sz w:val="24"/>
                <w:lang w:bidi="ar"/>
              </w:rPr>
              <w:t>一、政府职能依法全面履行</w:t>
            </w: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加大简政放权力度。</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全面普及行政审批服务“马上办、网上办、就近办、一次办、自助办”，行政审批事项在法定期限内完成并不断压缩办理时限。</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实地核查</w:t>
            </w:r>
          </w:p>
        </w:tc>
        <w:tc>
          <w:tcPr>
            <w:tcW w:w="1372" w:type="pct"/>
            <w:noWrap w:val="0"/>
            <w:vAlign w:val="center"/>
          </w:tcPr>
          <w:p>
            <w:pPr>
              <w:spacing w:line="0" w:lineRule="atLeast"/>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w:t>
            </w:r>
            <w:r>
              <w:rPr>
                <w:rFonts w:hint="eastAsia" w:ascii="仿宋" w:hAnsi="仿宋" w:eastAsia="仿宋" w:cs="仿宋_GB2312"/>
                <w:color w:val="auto"/>
                <w:kern w:val="0"/>
                <w:sz w:val="24"/>
                <w:lang w:eastAsia="zh-CN"/>
              </w:rPr>
              <w:t>大数据服务中心</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3"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w:t>
            </w:r>
          </w:p>
        </w:tc>
        <w:tc>
          <w:tcPr>
            <w:tcW w:w="1178"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依法实施行政许可，非行政许可审批事项全部取消，不存在以备案、登记、行政确认、征求意见等任何方式设置的变相许可事项。</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_GB2312"/>
                <w:color w:val="auto"/>
                <w:kern w:val="0"/>
                <w:sz w:val="24"/>
                <w:lang w:val="en-US" w:eastAsia="zh-CN"/>
              </w:rPr>
            </w:pPr>
            <w:r>
              <w:rPr>
                <w:rFonts w:hint="eastAsia" w:ascii="仿宋" w:hAnsi="仿宋" w:eastAsia="仿宋" w:cs="仿宋"/>
                <w:color w:val="000000"/>
                <w:spacing w:val="7"/>
                <w:kern w:val="0"/>
                <w:sz w:val="24"/>
              </w:rPr>
              <w:t>实地核验</w:t>
            </w:r>
          </w:p>
        </w:tc>
        <w:tc>
          <w:tcPr>
            <w:tcW w:w="1372" w:type="pct"/>
            <w:noWrap w:val="0"/>
            <w:vAlign w:val="center"/>
          </w:tcPr>
          <w:p>
            <w:pPr>
              <w:spacing w:line="0" w:lineRule="atLeast"/>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请提供2020年以来本级政府清理变相设置行政许可事项工作的情况说明。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w:t>
            </w:r>
            <w:r>
              <w:rPr>
                <w:rFonts w:hint="eastAsia" w:ascii="仿宋" w:hAnsi="仿宋" w:eastAsia="仿宋" w:cs="仿宋_GB2312"/>
                <w:color w:val="auto"/>
                <w:kern w:val="0"/>
                <w:sz w:val="24"/>
                <w:lang w:eastAsia="zh-CN"/>
              </w:rPr>
              <w:t>大数据服务中心</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63"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清理行政审批中介服务，无法定依据的行政审批中介服务项目以及收费一律取消。对保留的行政审批中介服务事项实行清单管理，明确办理时限、工作流程、申报条件、收费标准并向社会公开。行政审批中介服务机构的人、财、物与政府脱钩。</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_GB2312"/>
                <w:color w:val="auto"/>
                <w:kern w:val="0"/>
                <w:sz w:val="24"/>
                <w:lang w:val="en-US" w:eastAsia="zh-CN"/>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1.请提供本级政府行政审批中介服务事项清单及其公开网址；</w:t>
            </w:r>
          </w:p>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2.请提供辖区内行政审批中介服务机构名录，并注明负责人及其联系方式。</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w:t>
            </w:r>
            <w:r>
              <w:rPr>
                <w:rFonts w:hint="eastAsia" w:ascii="仿宋" w:hAnsi="仿宋" w:eastAsia="仿宋" w:cs="仿宋_GB2312"/>
                <w:color w:val="auto"/>
                <w:kern w:val="0"/>
                <w:sz w:val="24"/>
                <w:lang w:eastAsia="zh-CN"/>
              </w:rPr>
              <w:t>大数据服务中心</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县市场监督管理局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4</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对各类证明事项，凡没</w:t>
            </w:r>
            <w:r>
              <w:rPr>
                <w:rFonts w:hint="eastAsia" w:ascii="仿宋" w:hAnsi="仿宋" w:eastAsia="仿宋" w:cs="仿宋_GB2312"/>
                <w:color w:val="auto"/>
                <w:kern w:val="0"/>
                <w:sz w:val="24"/>
              </w:rPr>
              <w:t>有法律法规或者国务院决定依据的一律取消。对保留的证明事项实行清单管理，做到清单之外，政府部门、公用企事业单位和服务机构不得索要证明。积极推行证明事项和涉企经营许可事项告知承诺制。</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1.请提供在本级政府迁户口、办社保、办理异地就医费用、办理食品经营许可证业务需要提供的材料清单。如果已在网上公开，请提供网址；</w:t>
            </w:r>
          </w:p>
          <w:p>
            <w:pPr>
              <w:spacing w:line="0" w:lineRule="atLeast"/>
              <w:rPr>
                <w:rFonts w:hint="eastAsia" w:ascii="仿宋" w:hAnsi="仿宋" w:eastAsia="仿宋" w:cs="仿宋_GB2312"/>
                <w:color w:val="auto"/>
                <w:kern w:val="0"/>
                <w:sz w:val="24"/>
              </w:rPr>
            </w:pPr>
            <w:r>
              <w:rPr>
                <w:rFonts w:hint="eastAsia" w:ascii="仿宋" w:hAnsi="仿宋" w:eastAsia="仿宋" w:cs="仿宋_GB2312"/>
                <w:color w:val="auto"/>
                <w:kern w:val="0"/>
                <w:sz w:val="24"/>
                <w:lang w:bidi="ar"/>
              </w:rPr>
              <w:t>2.请提供2020年以来本级政府部署开展告知承诺制相关工作的情况说明。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司法局、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w:t>
            </w:r>
            <w:r>
              <w:rPr>
                <w:rFonts w:hint="eastAsia" w:ascii="仿宋" w:hAnsi="仿宋" w:eastAsia="仿宋" w:cs="仿宋_GB2312"/>
                <w:color w:val="auto"/>
                <w:kern w:val="0"/>
                <w:sz w:val="24"/>
                <w:lang w:eastAsia="zh-CN"/>
              </w:rPr>
              <w:t>大数据服务中心</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9"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全面推行“证照分离”“多证合一”，将更多涉企经营许可事项纳入改革。进一步压缩企业开办时间，实际办理时限不超过5个工作日，市场监管、税务、社保等流程逐步实现“一窗受理，并行办理”。</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textAlignment w:val="center"/>
              <w:rPr>
                <w:rFonts w:hint="eastAsia" w:ascii="仿宋" w:hAnsi="仿宋" w:eastAsia="仿宋" w:cs="仿宋"/>
                <w:kern w:val="0"/>
                <w:sz w:val="24"/>
                <w:szCs w:val="24"/>
                <w:lang w:val="en-US" w:eastAsia="zh-CN" w:bidi="ar"/>
              </w:rPr>
            </w:pPr>
            <w:r>
              <w:rPr>
                <w:rFonts w:hint="eastAsia" w:ascii="仿宋" w:hAnsi="仿宋" w:eastAsia="仿宋" w:cs="仿宋"/>
                <w:color w:val="000000"/>
                <w:spacing w:val="7"/>
                <w:kern w:val="0"/>
                <w:sz w:val="24"/>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w:t>
            </w:r>
            <w:r>
              <w:rPr>
                <w:rFonts w:hint="eastAsia" w:ascii="仿宋" w:hAnsi="仿宋" w:eastAsia="仿宋" w:cs="仿宋_GB2312"/>
                <w:color w:val="auto"/>
                <w:kern w:val="0"/>
                <w:sz w:val="24"/>
                <w:lang w:eastAsia="zh-CN"/>
              </w:rPr>
              <w:t>大数据服务中心</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县市场监督管理局</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税务局、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人社局、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医保局，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5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spacing w:line="0" w:lineRule="atLeast"/>
              <w:rPr>
                <w:rFonts w:ascii="楷体" w:hAnsi="楷体" w:eastAsia="楷体" w:cs="楷体_GB2312"/>
                <w:b/>
                <w:color w:val="auto"/>
                <w:sz w:val="24"/>
              </w:rPr>
            </w:pPr>
            <w:r>
              <w:rPr>
                <w:rFonts w:ascii="楷体" w:hAnsi="楷体" w:eastAsia="楷体" w:cs="楷体_GB2312"/>
                <w:b/>
                <w:color w:val="auto"/>
                <w:sz w:val="24"/>
              </w:rPr>
              <w:t>2.</w:t>
            </w:r>
            <w:r>
              <w:rPr>
                <w:rFonts w:hint="eastAsia" w:ascii="楷体" w:hAnsi="楷体" w:eastAsia="楷体" w:cs="楷体_GB2312"/>
                <w:b/>
                <w:color w:val="auto"/>
                <w:sz w:val="24"/>
              </w:rPr>
              <w:t>全面落实权责清单、负面清单制度。</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6</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编制并对外公布本级政府工作部门的权责清单，逐一明确法律依据、实施主体、责任方式等，实现同一事项的规范统一，并根据法律法规的变化实行动态调整。</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请提供本级政府交通运输、文化旅游、市场监管、农业农村部门权责清单的公开方式及网址。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委编办，</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政府各部门、</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7</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sz w:val="24"/>
              </w:rPr>
              <w:t>全面落实并严格执行全国统一的负面清单制度。清单之外的行业、领域和业务等，各类市场主体皆可依法平等进入。本级政府及部门没有另行制定带有市场准入性质的负面清单。</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请提供本地区涉及各类市场主体准入的现行有效的行政规范性文件目录清单。</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发改委、</w:t>
            </w:r>
            <w:r>
              <w:rPr>
                <w:rFonts w:hint="eastAsia" w:ascii="仿宋" w:hAnsi="仿宋" w:eastAsia="仿宋" w:cs="仿宋_GB2312"/>
                <w:color w:val="auto"/>
                <w:kern w:val="0"/>
                <w:sz w:val="24"/>
                <w:lang w:eastAsia="zh-CN"/>
              </w:rPr>
              <w:t>县商务局、县招商局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80"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8</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全面实施行政事业性收费和政府性基金清单制度，清单之外的一律取消。全面清理整顿部门下属事业单位、行业协会商会收费，乱收费举报投诉查处机制建立健全。</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请提供本地区执行的行政事业性收费和政府性基金清单及公开网址。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财政局、</w:t>
            </w:r>
            <w:r>
              <w:rPr>
                <w:rFonts w:hint="eastAsia" w:ascii="仿宋" w:hAnsi="仿宋" w:eastAsia="仿宋" w:cs="仿宋_GB2312"/>
                <w:color w:val="auto"/>
                <w:kern w:val="0"/>
                <w:sz w:val="24"/>
                <w:lang w:eastAsia="zh-CN"/>
              </w:rPr>
              <w:t>县市场监督管理局</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民政局、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发改</w:t>
            </w:r>
            <w:r>
              <w:rPr>
                <w:rFonts w:hint="eastAsia" w:ascii="仿宋" w:hAnsi="仿宋" w:eastAsia="仿宋" w:cs="仿宋_GB2312"/>
                <w:color w:val="auto"/>
                <w:kern w:val="0"/>
                <w:sz w:val="24"/>
                <w:lang w:val="en-US" w:eastAsia="zh-CN"/>
              </w:rPr>
              <w:t>委</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r>
              <w:rPr>
                <w:rFonts w:hint="eastAsia" w:ascii="楷体" w:hAnsi="楷体" w:eastAsia="楷体" w:cs="楷体_GB2312"/>
                <w:b/>
                <w:color w:val="auto"/>
                <w:kern w:val="0"/>
                <w:sz w:val="24"/>
                <w:lang w:bidi="ar"/>
              </w:rPr>
              <w:t>3</w:t>
            </w:r>
            <w:r>
              <w:rPr>
                <w:rFonts w:ascii="楷体" w:hAnsi="楷体" w:eastAsia="楷体" w:cs="楷体_GB2312"/>
                <w:b/>
                <w:color w:val="auto"/>
                <w:kern w:val="0"/>
                <w:sz w:val="24"/>
                <w:lang w:bidi="ar"/>
              </w:rPr>
              <w:t>.</w:t>
            </w:r>
            <w:r>
              <w:rPr>
                <w:rFonts w:hint="eastAsia" w:ascii="楷体" w:hAnsi="楷体" w:eastAsia="楷体" w:cs="楷体_GB2312"/>
                <w:b/>
                <w:color w:val="auto"/>
                <w:kern w:val="0"/>
                <w:sz w:val="24"/>
                <w:lang w:bidi="ar"/>
              </w:rPr>
              <w:t>加强事中事后监管。</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9</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全面推行“双随机、一公开”监管，大力推进跨部门联合监管，探索推进“互联网+监管”，逐步实现职能部门综合监管、“智慧监管”。</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1.请提供2020年以来本级政府及其有关部门全面推行“双随机、一公开”监管，推进跨部门联合监管工作的情况说明；</w:t>
            </w:r>
          </w:p>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2.请提供2020年以来本级政府及其有关部门涉及该项指标工作的案例或典型做法。（不超过3件）</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县市场监督管理局</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w:t>
            </w:r>
            <w:r>
              <w:rPr>
                <w:rFonts w:hint="eastAsia" w:ascii="仿宋" w:hAnsi="仿宋" w:eastAsia="仿宋" w:cs="仿宋_GB2312"/>
                <w:color w:val="auto"/>
                <w:kern w:val="0"/>
                <w:sz w:val="24"/>
                <w:lang w:eastAsia="zh-CN"/>
              </w:rPr>
              <w:t>大数据服务中心</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7"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10</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全面梳理现有涉企现场检查事项，通过取消、整合、转为非现场检查等方式，压减重复或不必要检查事项，涉企现场检查事项多、频次高、随意检查等问题明显减少。</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请提供2020年以来本地区内任意10家不同行业的企业接受现场检查的时间、事项、检查部门和检查结果，并注明企业负责人及其联系方式。</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县市场监督管理局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11</w:t>
            </w:r>
          </w:p>
        </w:tc>
        <w:tc>
          <w:tcPr>
            <w:tcW w:w="1178" w:type="pct"/>
            <w:noWrap w:val="0"/>
            <w:vAlign w:val="center"/>
          </w:tcPr>
          <w:p>
            <w:pPr>
              <w:spacing w:line="0" w:lineRule="atLeast"/>
              <w:rPr>
                <w:rFonts w:hint="eastAsia" w:ascii="仿宋" w:hAnsi="仿宋" w:eastAsia="仿宋" w:cs="仿宋_GB2312"/>
                <w:color w:val="auto"/>
                <w:kern w:val="0"/>
                <w:lang w:bidi="ar"/>
              </w:rPr>
            </w:pPr>
            <w:r>
              <w:rPr>
                <w:rFonts w:hint="eastAsia" w:ascii="仿宋" w:hAnsi="仿宋" w:eastAsia="仿宋" w:cs="仿宋_GB2312"/>
                <w:color w:val="auto"/>
                <w:kern w:val="0"/>
                <w:sz w:val="24"/>
                <w:lang w:bidi="ar"/>
              </w:rPr>
              <w:t>加强信用监管，推进涉企信息归集共享，严格依法科学界定守信和失信行为，建立健全信用修复、异议处理等机制。</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1.请提供2020年以来本地区纳入信用监管的事项范围及惩戒措施；</w:t>
            </w:r>
          </w:p>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2.请提供2020年以来本级政府有关部门受理的涉及信用修复、异议处理的具体案例，案例中的当事人请标注联系方式。（不超过5个）</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lang w:val="en-US" w:eastAsia="zh-CN"/>
              </w:rPr>
              <w:t>发改委</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县市场监督管理局、县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7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r>
              <w:rPr>
                <w:rFonts w:hint="eastAsia" w:ascii="楷体" w:hAnsi="楷体" w:eastAsia="楷体" w:cs="楷体_GB2312"/>
                <w:b/>
                <w:color w:val="auto"/>
                <w:sz w:val="24"/>
              </w:rPr>
              <w:t>4</w:t>
            </w:r>
            <w:r>
              <w:rPr>
                <w:rFonts w:ascii="楷体" w:hAnsi="楷体" w:eastAsia="楷体" w:cs="楷体_GB2312"/>
                <w:b/>
                <w:color w:val="auto"/>
                <w:sz w:val="24"/>
              </w:rPr>
              <w:t>.</w:t>
            </w:r>
            <w:r>
              <w:rPr>
                <w:rFonts w:hint="eastAsia" w:ascii="楷体" w:hAnsi="楷体" w:eastAsia="楷体" w:cs="楷体_GB2312"/>
                <w:b/>
                <w:color w:val="auto"/>
                <w:sz w:val="24"/>
              </w:rPr>
              <w:t>优化法治化营商环境。</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12</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sz w:val="24"/>
              </w:rPr>
              <w:t>认真开展公平竞争审查。</w:t>
            </w:r>
            <w:r>
              <w:rPr>
                <w:rFonts w:hint="eastAsia" w:ascii="仿宋" w:hAnsi="仿宋" w:eastAsia="仿宋" w:cs="仿宋_GB2312"/>
                <w:color w:val="auto"/>
                <w:kern w:val="0"/>
                <w:sz w:val="24"/>
                <w:lang w:bidi="ar"/>
              </w:rPr>
              <w:t>全面清理</w:t>
            </w:r>
            <w:r>
              <w:rPr>
                <w:rFonts w:hint="eastAsia" w:ascii="仿宋" w:hAnsi="仿宋" w:eastAsia="仿宋" w:cs="仿宋_GB2312"/>
                <w:color w:val="auto"/>
                <w:sz w:val="24"/>
              </w:rPr>
              <w:t>废除地方保护、指定交易、市场壁垒等妨碍统一市场公平竞争的各种规定和做法，特别是对非公有制经济各种形式的不合理规定。</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请提供2020年以来本级政府出台的经公平竞争审查的行政规范性文件以及公平竞争审查意见。（不超过5个）</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县市场监督管理局、县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对涉嫌违法的企业和人员、财产，依法审慎决定是否采取相关行政强制措施。确需采取查封、扣押、冻结等措施的，严格按照法定程序进行。</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请提供本级政府及其有关部门2020年以来采取行政强制措施的具体案例，注明时间、案由、措施、结果及当事人联系方式。（不超过5个）</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市</w:t>
            </w:r>
            <w:r>
              <w:rPr>
                <w:rFonts w:hint="eastAsia" w:ascii="仿宋" w:hAnsi="仿宋" w:eastAsia="仿宋" w:cs="仿宋_GB2312"/>
                <w:color w:val="auto"/>
                <w:kern w:val="0"/>
                <w:sz w:val="24"/>
              </w:rPr>
              <w:t>直有关</w:t>
            </w:r>
            <w:r>
              <w:rPr>
                <w:rFonts w:hint="eastAsia" w:ascii="仿宋" w:hAnsi="仿宋" w:eastAsia="仿宋" w:cs="仿宋_GB2312"/>
                <w:color w:val="auto"/>
                <w:kern w:val="0"/>
                <w:sz w:val="24"/>
                <w:lang w:eastAsia="zh-CN"/>
              </w:rPr>
              <w:t>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14</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全面推进政务诚信建设，严格兑现向行政相对人依法作出的政策承诺。认真履行在招商引资、政府与社会资本合作等活动中与投资主体签订的各类合同，不存在以政府换届、领导人员更替、行政区划调整、机构职能调整等理由违约毁约的情形。</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座谈访谈</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请提供2019年以来本级政府全面推进政务诚信建设工作的情况说明。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县政府办公室、县发改委、县工信局、县商务局、县财政局等县直有关单位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15</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对因本级政府规划调整、政策变化造成企业合法权益受损的，依法依规进行补偿。对因国家利益、公共利益或者其他法定事由需要改变政府承诺和合同约定的，严格依照法定权限和程序进行，并对企业和投资人因此而受到的财产损失依法予以补偿。</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请提供2019年以来本级政府有关部门对涉及该项指标情况依法进行补偿的具体案例，请注明被补偿人联系方式。（不超过5个）</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政府办公室、</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自然资源局、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财政局、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工信局</w:t>
            </w:r>
            <w:r>
              <w:rPr>
                <w:rFonts w:hint="eastAsia" w:ascii="仿宋" w:hAnsi="仿宋" w:eastAsia="仿宋" w:cs="仿宋_GB2312"/>
                <w:color w:val="auto"/>
                <w:kern w:val="0"/>
                <w:sz w:val="24"/>
                <w:lang w:eastAsia="zh-CN"/>
              </w:rPr>
              <w:t>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16</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sz w:val="24"/>
              </w:rPr>
              <w:t>全面清理涉企收费、摊派事项和各类评比达标活动。依法保障企业自主加入和退出行业协会商会的权利。不存在干预企业依法自主经营活动的行为。</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请提供本级政府辖区内行业协会商会的名录及负责人联系方式（本级政府不提供区、县的行业协会商会）。</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场监督管理局、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发改委、</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财政局、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人社局、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民政局</w:t>
            </w:r>
            <w:r>
              <w:rPr>
                <w:rFonts w:hint="eastAsia" w:ascii="仿宋" w:hAnsi="仿宋" w:eastAsia="仿宋" w:cs="仿宋_GB2312"/>
                <w:color w:val="auto"/>
                <w:kern w:val="0"/>
                <w:sz w:val="24"/>
                <w:lang w:eastAsia="zh-CN"/>
              </w:rPr>
              <w:t>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hint="eastAsia" w:ascii="楷体" w:hAnsi="楷体" w:eastAsia="楷体" w:cs="楷体_GB2312"/>
                <w:b/>
                <w:color w:val="auto"/>
                <w:kern w:val="0"/>
                <w:sz w:val="24"/>
                <w:lang w:bidi="ar"/>
              </w:rPr>
              <w:t>5</w:t>
            </w:r>
            <w:r>
              <w:rPr>
                <w:rFonts w:ascii="楷体" w:hAnsi="楷体" w:eastAsia="楷体" w:cs="楷体_GB2312"/>
                <w:b/>
                <w:color w:val="auto"/>
                <w:kern w:val="0"/>
                <w:sz w:val="24"/>
                <w:lang w:bidi="ar"/>
              </w:rPr>
              <w:t>.</w:t>
            </w:r>
            <w:r>
              <w:rPr>
                <w:rFonts w:hint="eastAsia" w:ascii="楷体" w:hAnsi="楷体" w:eastAsia="楷体" w:cs="楷体_GB2312"/>
                <w:b/>
                <w:color w:val="auto"/>
                <w:kern w:val="0"/>
                <w:sz w:val="24"/>
                <w:lang w:bidi="ar"/>
              </w:rPr>
              <w:t>优化公共服务。</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17</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政务服务重点领域和高频事项基本实现“一网、一门、一次”。市县级政务服务事项网上可办率不低于90%；除对场地有特殊要求的事项外，政务服务事项进驻政务服务机构基本实现“应进必进”，且80%以上实现“一窗”分类受理。</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政务服务和大数据管理局，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3"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18</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全面提升政务服务水平，制定并落实政务服务标准和规范，完善首问负责、一次告知、自助办理等制度。大力推进政务服务跨省通办，深化“全程网办”、拓展“异地代收代办”、优化“多地联办”，县级以上政务服务大厅设置“跨省通办”窗口。</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政务服务和大数据管理局，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53"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19</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 xml:space="preserve">全面开展政务服务“好差评”，公开政务服务评价信息，强化服务差评整改，实名差评回访整改率达到100%。 </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实地核验</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请提供2021年上半年本级政府政务大厅开展政务服务“好差评”的情况说明，包括覆盖范围、参与人数、评价结果及整改措施的情况。</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政务服务和大数据管理局，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2"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20</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sz w:val="24"/>
              </w:rPr>
              <w:t>市级政府建立便捷高效、规范统一的12345政务服务便民热线，除110、119、120、122等紧急热线外，按上级政府部署将其他非紧急类政务热线整合，实现政务咨询投诉举报等统一受理、按责转办、限时督办、办结反馈。县级政府对涉及本级政府及部门的政务咨询投诉举报及时处置、限时办结。</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实地核查</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座谈访谈</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政府办公室等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8" w:hRule="atLeast"/>
        </w:trPr>
        <w:tc>
          <w:tcPr>
            <w:tcW w:w="280" w:type="pct"/>
            <w:vMerge w:val="restart"/>
            <w:noWrap w:val="0"/>
            <w:vAlign w:val="center"/>
          </w:tcPr>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numPr>
                <w:ilvl w:val="0"/>
                <w:numId w:val="4"/>
              </w:numPr>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依法行政制度体系完善</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二、依法行政制度体系完善</w:t>
            </w: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健全地方政府制度建设机制。</w:t>
            </w:r>
          </w:p>
        </w:tc>
        <w:tc>
          <w:tcPr>
            <w:tcW w:w="248" w:type="pct"/>
            <w:noWrap w:val="0"/>
            <w:vAlign w:val="center"/>
          </w:tcPr>
          <w:p>
            <w:pPr>
              <w:widowControl/>
              <w:spacing w:line="0" w:lineRule="atLeast"/>
              <w:jc w:val="center"/>
              <w:textAlignment w:val="center"/>
              <w:rPr>
                <w:rFonts w:hint="eastAsia" w:ascii="仿宋" w:hAnsi="仿宋" w:eastAsia="仿宋" w:cs="仿宋_GB2312"/>
                <w:i/>
                <w:iCs/>
                <w:color w:val="auto"/>
                <w:kern w:val="0"/>
                <w:sz w:val="24"/>
                <w:lang w:bidi="ar"/>
              </w:rPr>
            </w:pPr>
            <w:r>
              <w:rPr>
                <w:rFonts w:hint="eastAsia" w:ascii="仿宋" w:hAnsi="仿宋" w:eastAsia="仿宋" w:cs="仿宋_GB2312"/>
                <w:color w:val="auto"/>
                <w:kern w:val="0"/>
                <w:sz w:val="24"/>
                <w:lang w:bidi="ar"/>
              </w:rPr>
              <w:t>21</w:t>
            </w:r>
          </w:p>
        </w:tc>
        <w:tc>
          <w:tcPr>
            <w:tcW w:w="1178" w:type="pct"/>
            <w:noWrap w:val="0"/>
            <w:vAlign w:val="center"/>
          </w:tcPr>
          <w:p>
            <w:pPr>
              <w:widowControl/>
              <w:spacing w:line="0" w:lineRule="atLeast"/>
              <w:textAlignment w:val="center"/>
              <w:rPr>
                <w:rStyle w:val="14"/>
                <w:rFonts w:hint="eastAsia" w:ascii="仿宋" w:hAnsi="仿宋" w:eastAsia="仿宋" w:cs="仿宋_GB2312"/>
                <w:i/>
                <w:iCs/>
                <w:color w:val="auto"/>
                <w:kern w:val="0"/>
                <w:lang w:bidi="ar"/>
              </w:rPr>
            </w:pPr>
            <w:r>
              <w:rPr>
                <w:rFonts w:hint="eastAsia" w:ascii="仿宋" w:hAnsi="仿宋" w:eastAsia="仿宋" w:cs="仿宋_GB2312"/>
                <w:color w:val="auto"/>
                <w:kern w:val="0"/>
                <w:sz w:val="24"/>
                <w:lang w:bidi="ar"/>
              </w:rPr>
              <w:t>坚持党对地方政府规章或者行政规范性文件制定工作的领导，制定、修改过程中遇有重大问题及时向本级党委请示报告。</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请提供2020年以来本级政府在制定、修改政府规章或者行政规范性文件中向本级党委请示报告的情况说明。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政府办公室、</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司法局，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9" w:hRule="atLeast"/>
        </w:trPr>
        <w:tc>
          <w:tcPr>
            <w:tcW w:w="280" w:type="pct"/>
            <w:vMerge w:val="continue"/>
            <w:noWrap w:val="0"/>
            <w:vAlign w:val="center"/>
          </w:tcPr>
          <w:p>
            <w:pPr>
              <w:widowControl/>
              <w:spacing w:line="0" w:lineRule="atLeast"/>
              <w:textAlignment w:val="top"/>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22</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Style w:val="14"/>
                <w:rFonts w:hint="eastAsia" w:ascii="仿宋" w:hAnsi="仿宋" w:eastAsia="仿宋" w:cs="仿宋_GB2312"/>
                <w:color w:val="auto"/>
                <w:kern w:val="0"/>
                <w:lang w:bidi="ar"/>
              </w:rPr>
              <w:t>制度建设紧密结合地方发展需要和实际，突出地方特色，突出针对性、适用性、可操作性，推进“小快灵”“小切口”制度建设的探索实践，不断提高地方制度建设的质量和效率。</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请提供2020年以来本级政府制定政府规章或行政规范性文件的清单，并从中任选5个提供原件全文（市级政府应提供至少一部规章原件全文）。</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政府办公室、</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司法局，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Style w:val="14"/>
                <w:rFonts w:hint="eastAsia" w:ascii="仿宋" w:hAnsi="仿宋" w:eastAsia="仿宋" w:cs="仿宋_GB2312"/>
                <w:color w:val="auto"/>
                <w:kern w:val="0"/>
                <w:lang w:bidi="ar"/>
              </w:rPr>
              <w:t>加大重要制度建设事项的协调决策力度，对部门争议较大的地方政府规章或者行政规范性文件，引入第三方评估。</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请提供2019年以来本级政府在重要制度建设中对争议较大的事项开展协调决策的情况说明。（举3个例子）</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r>
              <w:rPr>
                <w:rFonts w:ascii="楷体" w:hAnsi="楷体" w:eastAsia="楷体" w:cs="楷体_GB2312"/>
                <w:b/>
                <w:color w:val="auto"/>
                <w:kern w:val="0"/>
                <w:sz w:val="24"/>
                <w:lang w:bidi="ar"/>
              </w:rPr>
              <w:t>2.</w:t>
            </w:r>
            <w:r>
              <w:rPr>
                <w:rFonts w:hint="eastAsia" w:ascii="楷体" w:hAnsi="楷体" w:eastAsia="楷体" w:cs="楷体_GB2312"/>
                <w:b/>
                <w:color w:val="auto"/>
                <w:kern w:val="0"/>
                <w:sz w:val="24"/>
                <w:lang w:bidi="ar"/>
              </w:rPr>
              <w:t>提高公众参与度。</w:t>
            </w: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24</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Style w:val="14"/>
                <w:rFonts w:hint="eastAsia" w:ascii="仿宋" w:hAnsi="仿宋" w:eastAsia="仿宋" w:cs="仿宋_GB2312"/>
                <w:color w:val="auto"/>
                <w:kern w:val="0"/>
                <w:lang w:bidi="ar"/>
              </w:rPr>
              <w:t>除依法需要保密的外，地方政府规章草案一律向社会公开征求意见，期限一般不少于30日。</w:t>
            </w:r>
            <w:r>
              <w:rPr>
                <w:rStyle w:val="14"/>
                <w:rFonts w:hint="eastAsia" w:ascii="仿宋" w:hAnsi="仿宋" w:eastAsia="仿宋" w:cs="仿宋_GB2312"/>
                <w:color w:val="auto"/>
                <w:shd w:val="clear" w:color="auto" w:fill="FFFFFF"/>
                <w:lang w:bidi="ar"/>
              </w:rPr>
              <w:t>对公民、法人和其他组织权利义务有重大影响、涉及人民群众切身利益的行政规范性文件，在向社会公开征求意见时，期限一般不少于7个工作日（与市场主体生产经营活动密切相关的行政规范性文件，期限一般不少于30日）。</w:t>
            </w:r>
            <w:r>
              <w:rPr>
                <w:rFonts w:hint="eastAsia" w:ascii="仿宋" w:hAnsi="仿宋" w:eastAsia="仿宋" w:cs="仿宋_GB2312"/>
                <w:color w:val="auto"/>
                <w:kern w:val="0"/>
                <w:sz w:val="24"/>
                <w:lang w:bidi="ar"/>
              </w:rPr>
              <w:t>涉及企业和特定群体、行业利益的，充分听取企业、人民团体、行业协会商会的意见。</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请提供2020年以来本级政府发布规章草案、行政规范性文件草案向社会公开征求意见的目录清单，并注明征求意见的网址。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政府办公室、</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司法局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r>
              <w:rPr>
                <w:rFonts w:hint="eastAsia" w:ascii="仿宋" w:hAnsi="仿宋" w:eastAsia="仿宋" w:cs="仿宋_GB2312"/>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25</w:t>
            </w:r>
          </w:p>
        </w:tc>
        <w:tc>
          <w:tcPr>
            <w:tcW w:w="1178" w:type="pct"/>
            <w:noWrap w:val="0"/>
            <w:vAlign w:val="center"/>
          </w:tcPr>
          <w:p>
            <w:pPr>
              <w:widowControl/>
              <w:spacing w:line="0" w:lineRule="atLeast"/>
              <w:textAlignment w:val="center"/>
              <w:rPr>
                <w:rStyle w:val="14"/>
                <w:rFonts w:hint="eastAsia" w:ascii="仿宋" w:hAnsi="仿宋" w:eastAsia="仿宋" w:cs="仿宋_GB2312"/>
                <w:color w:val="auto"/>
                <w:shd w:val="clear" w:color="auto" w:fill="FFFFFF"/>
                <w:lang w:bidi="ar"/>
              </w:rPr>
            </w:pPr>
            <w:r>
              <w:rPr>
                <w:rStyle w:val="14"/>
                <w:rFonts w:hint="eastAsia" w:ascii="仿宋" w:hAnsi="仿宋" w:eastAsia="仿宋" w:cs="仿宋_GB2312"/>
                <w:color w:val="auto"/>
                <w:shd w:val="clear" w:color="auto" w:fill="FFFFFF"/>
                <w:lang w:bidi="ar"/>
              </w:rPr>
              <w:t>本级人大代表、政协委员关于地方政府规章或者行政规范性文件的建议、提案，按时回复率达到100%。</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wordWrap w:val="0"/>
              <w:textAlignment w:val="center"/>
              <w:rPr>
                <w:rFonts w:hint="eastAsia" w:ascii="仿宋" w:hAnsi="仿宋" w:eastAsia="仿宋" w:cs="仿宋"/>
                <w:color w:val="000000"/>
                <w:kern w:val="2"/>
                <w:sz w:val="24"/>
                <w:szCs w:val="24"/>
                <w:u w:val="none"/>
                <w:shd w:val="clear" w:color="auto" w:fill="FFFFFF"/>
                <w:lang w:val="en-US" w:eastAsia="zh-CN" w:bidi="ar"/>
              </w:rPr>
            </w:pPr>
            <w:r>
              <w:rPr>
                <w:rFonts w:hint="eastAsia" w:ascii="仿宋" w:hAnsi="仿宋" w:eastAsia="仿宋" w:cs="仿宋"/>
                <w:color w:val="333333"/>
                <w:spacing w:val="7"/>
                <w:kern w:val="0"/>
                <w:sz w:val="24"/>
              </w:rPr>
              <w:t>请提供对2020年以来人大代表、政协委员关于政府规章或者行政规范性文件的建议、提案办理的情况说明。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33"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r>
              <w:rPr>
                <w:rFonts w:ascii="楷体" w:hAnsi="楷体" w:eastAsia="楷体" w:cs="楷体_GB2312"/>
                <w:b/>
                <w:color w:val="auto"/>
                <w:kern w:val="0"/>
                <w:sz w:val="24"/>
                <w:lang w:bidi="ar"/>
              </w:rPr>
              <w:t>3.</w:t>
            </w:r>
            <w:r>
              <w:rPr>
                <w:rFonts w:hint="eastAsia" w:ascii="楷体" w:hAnsi="楷体" w:eastAsia="楷体" w:cs="楷体_GB2312"/>
                <w:b/>
                <w:color w:val="auto"/>
                <w:kern w:val="0"/>
                <w:sz w:val="24"/>
                <w:lang w:bidi="ar"/>
              </w:rPr>
              <w:t>加强行政规范性文件监督管理。</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26</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Style w:val="15"/>
                <w:rFonts w:hint="eastAsia" w:ascii="仿宋" w:hAnsi="仿宋" w:eastAsia="仿宋"/>
                <w:b w:val="0"/>
                <w:color w:val="auto"/>
                <w:lang w:bidi="ar"/>
              </w:rPr>
              <w:t>重要的行政规范性文件依法依规执行评估论证、公开征求意见、合法性审核、集体审议决定、向社会公开发布等程序</w:t>
            </w:r>
            <w:r>
              <w:rPr>
                <w:rStyle w:val="14"/>
                <w:rFonts w:hint="eastAsia" w:ascii="仿宋" w:hAnsi="仿宋" w:eastAsia="仿宋" w:cs="仿宋_GB2312"/>
                <w:color w:val="auto"/>
                <w:lang w:bidi="ar"/>
              </w:rPr>
              <w:t>。</w:t>
            </w:r>
            <w:r>
              <w:rPr>
                <w:rStyle w:val="15"/>
                <w:rFonts w:hint="eastAsia" w:ascii="仿宋" w:hAnsi="仿宋" w:eastAsia="仿宋"/>
                <w:b w:val="0"/>
                <w:color w:val="auto"/>
                <w:shd w:val="clear" w:color="auto" w:fill="FFFFFF"/>
                <w:lang w:bidi="ar"/>
              </w:rPr>
              <w:t>专业性、技术性较强的行政规范性文件，组织相关领域专家进行评估论证</w:t>
            </w:r>
            <w:r>
              <w:rPr>
                <w:rStyle w:val="15"/>
                <w:rFonts w:hint="eastAsia" w:ascii="仿宋" w:hAnsi="仿宋" w:eastAsia="仿宋"/>
                <w:b w:val="0"/>
                <w:color w:val="auto"/>
                <w:lang w:bidi="ar"/>
              </w:rPr>
              <w:t>。</w:t>
            </w:r>
            <w:r>
              <w:rPr>
                <w:rStyle w:val="15"/>
                <w:rFonts w:hint="eastAsia" w:ascii="仿宋" w:hAnsi="仿宋" w:eastAsia="仿宋"/>
                <w:b w:val="0"/>
                <w:color w:val="auto"/>
                <w:shd w:val="clear" w:color="auto" w:fill="FFFFFF"/>
                <w:lang w:bidi="ar"/>
              </w:rPr>
              <w:t>评估论证结论在文件起草说明中写明，作为制发文件的重要依据。</w:t>
            </w:r>
          </w:p>
        </w:tc>
        <w:tc>
          <w:tcPr>
            <w:tcW w:w="547" w:type="pct"/>
            <w:vMerge w:val="restar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实地核验</w:t>
            </w:r>
          </w:p>
        </w:tc>
        <w:tc>
          <w:tcPr>
            <w:tcW w:w="1372" w:type="pct"/>
            <w:vMerge w:val="restar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第26、27、28、29项指标，请合并提供下列材料：</w:t>
            </w:r>
          </w:p>
          <w:p>
            <w:pPr>
              <w:spacing w:line="0" w:lineRule="atLeast"/>
              <w:rPr>
                <w:rFonts w:hint="eastAsia" w:ascii="仿宋" w:hAnsi="仿宋" w:eastAsia="仿宋" w:cs="仿宋_GB2312"/>
                <w:color w:val="auto"/>
                <w:kern w:val="0"/>
                <w:sz w:val="24"/>
              </w:rPr>
            </w:pPr>
            <w:r>
              <w:rPr>
                <w:rFonts w:hint="eastAsia" w:ascii="仿宋" w:hAnsi="仿宋" w:eastAsia="仿宋" w:cs="仿宋_GB2312"/>
                <w:color w:val="auto"/>
                <w:kern w:val="0"/>
                <w:sz w:val="24"/>
                <w:lang w:bidi="ar"/>
              </w:rPr>
              <w:t>2020年以来本级政府对涉及公民、企业权利义务的行政规范性文件开展合法性审核工作的情况说明，并任选5件上传合法性审核意见书。</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lang w:val="en-US" w:eastAsia="zh-CN"/>
              </w:rPr>
              <w:t>政府办公室、县司法局、</w:t>
            </w:r>
            <w:r>
              <w:rPr>
                <w:rFonts w:hint="eastAsia" w:ascii="仿宋" w:hAnsi="仿宋" w:eastAsia="仿宋" w:cs="仿宋_GB2312"/>
                <w:color w:val="auto"/>
                <w:kern w:val="0"/>
                <w:sz w:val="24"/>
                <w:lang w:eastAsia="zh-CN"/>
              </w:rPr>
              <w:t>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27</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行政规范性文件没有增加法律、法规规定之外的行政权力事项或者减少法定职责；没有设定行政许可、行政处罚、行政强制等事项，增加办理行政许可事项的条件，规定出具循环证明、重复证明、无谓证明的内容；没有违法减损公民、法人和其他组织的合法权益或者增加其义务，侵犯公民各项基本权利；没有超越职权规定应由市场调节、企业和社会自律、公民自我管理的事项；没有违法制定含有排除或者限制公平竞争内容的措施，违法干预或者影响市场主体正常生产经营活动，违法设置市场准入和退出条件等。</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县政府办公室、县司法局、县市场监督管理局</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28</w:t>
            </w:r>
          </w:p>
        </w:tc>
        <w:tc>
          <w:tcPr>
            <w:tcW w:w="1178" w:type="pct"/>
            <w:noWrap w:val="0"/>
            <w:vAlign w:val="center"/>
          </w:tcPr>
          <w:p>
            <w:pPr>
              <w:spacing w:line="0" w:lineRule="atLeast"/>
              <w:rPr>
                <w:rFonts w:hint="eastAsia" w:ascii="仿宋" w:hAnsi="仿宋" w:eastAsia="仿宋" w:cs="仿宋_GB2312"/>
                <w:color w:val="auto"/>
                <w:w w:val="200"/>
                <w:kern w:val="0"/>
                <w:sz w:val="24"/>
                <w:lang w:bidi="ar"/>
              </w:rPr>
            </w:pPr>
            <w:r>
              <w:rPr>
                <w:rFonts w:hint="eastAsia" w:ascii="仿宋" w:hAnsi="仿宋" w:eastAsia="仿宋" w:cs="仿宋_GB2312"/>
                <w:color w:val="auto"/>
                <w:kern w:val="0"/>
                <w:sz w:val="24"/>
                <w:lang w:bidi="ar"/>
              </w:rPr>
              <w:t>行政规范性文件的合法性审核率达100%。制定机关负责合法性审核的部门对文件的制定主体、程序和有关内容等是否符合法律法规规章和国家政策的规定，及时进行合法性审核。合法性审核时间一般不少于5个工作日，最长不超过15个工作日。未经合法性审核或者经审核不合法的，不提交集体审议。</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restar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第26、27、28、29项指标，请合并提供下列材料：</w:t>
            </w:r>
          </w:p>
          <w:p>
            <w:pPr>
              <w:spacing w:line="0" w:lineRule="atLeast"/>
              <w:rPr>
                <w:rFonts w:hint="eastAsia" w:ascii="仿宋" w:hAnsi="仿宋" w:eastAsia="仿宋" w:cs="仿宋_GB2312"/>
                <w:color w:val="auto"/>
                <w:kern w:val="0"/>
                <w:sz w:val="24"/>
              </w:rPr>
            </w:pPr>
            <w:r>
              <w:rPr>
                <w:rFonts w:hint="eastAsia" w:ascii="仿宋" w:hAnsi="仿宋" w:eastAsia="仿宋" w:cs="仿宋_GB2312"/>
                <w:color w:val="auto"/>
                <w:kern w:val="0"/>
                <w:sz w:val="24"/>
                <w:lang w:bidi="ar"/>
              </w:rPr>
              <w:t>2020年以来本级政府对涉及公民、企业权利义务的行政规范性文件开展合法性审核工作的情况说明，并任选5件上传合法性审核意见书</w:t>
            </w:r>
            <w:r>
              <w:rPr>
                <w:rStyle w:val="15"/>
                <w:rFonts w:hint="eastAsia" w:ascii="仿宋" w:hAnsi="仿宋" w:eastAsia="仿宋" w:cs="仿宋"/>
                <w:b w:val="0"/>
                <w:lang w:bidi="ar"/>
              </w:rPr>
              <w:t>。</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5"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29</w:t>
            </w:r>
          </w:p>
        </w:tc>
        <w:tc>
          <w:tcPr>
            <w:tcW w:w="1178" w:type="pct"/>
            <w:noWrap w:val="0"/>
            <w:vAlign w:val="center"/>
          </w:tcPr>
          <w:p>
            <w:pPr>
              <w:spacing w:line="0" w:lineRule="atLeast"/>
              <w:rPr>
                <w:rStyle w:val="14"/>
                <w:rFonts w:hint="eastAsia" w:ascii="仿宋" w:hAnsi="仿宋" w:eastAsia="仿宋" w:cs="仿宋_GB2312"/>
                <w:color w:val="auto"/>
                <w:lang w:bidi="ar"/>
              </w:rPr>
            </w:pPr>
            <w:r>
              <w:rPr>
                <w:rFonts w:hint="eastAsia" w:ascii="仿宋" w:hAnsi="仿宋" w:eastAsia="仿宋" w:cs="仿宋_GB2312"/>
                <w:color w:val="auto"/>
                <w:kern w:val="0"/>
                <w:sz w:val="24"/>
                <w:lang w:bidi="ar"/>
              </w:rPr>
              <w:t>没有发生因行政规范性文件内容违法或者超越法定职权，被本级人大常委会或者上级行政机关责令改正或者撤销的情况，被行政复议机关、人民法院认定为不合法的情况。</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r>
              <w:rPr>
                <w:rFonts w:hint="eastAsia" w:ascii="仿宋" w:hAnsi="仿宋" w:eastAsia="仿宋" w:cs="仿宋_GB2312"/>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r>
              <w:rPr>
                <w:rFonts w:ascii="楷体" w:hAnsi="楷体" w:eastAsia="楷体" w:cs="楷体_GB2312"/>
                <w:b/>
                <w:color w:val="auto"/>
                <w:sz w:val="24"/>
              </w:rPr>
              <w:t>4.</w:t>
            </w:r>
            <w:r>
              <w:rPr>
                <w:rFonts w:hint="eastAsia" w:ascii="楷体" w:hAnsi="楷体" w:eastAsia="楷体" w:cs="楷体_GB2312"/>
                <w:b/>
                <w:color w:val="auto"/>
                <w:sz w:val="24"/>
              </w:rPr>
              <w:t>及时开展备案审查和清理工作。</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30</w:t>
            </w:r>
          </w:p>
        </w:tc>
        <w:tc>
          <w:tcPr>
            <w:tcW w:w="1178" w:type="pct"/>
            <w:noWrap w:val="0"/>
            <w:vAlign w:val="center"/>
          </w:tcPr>
          <w:p>
            <w:pPr>
              <w:spacing w:line="0" w:lineRule="atLeast"/>
              <w:rPr>
                <w:rStyle w:val="14"/>
                <w:rFonts w:hint="eastAsia" w:ascii="仿宋" w:hAnsi="仿宋" w:eastAsia="仿宋" w:cs="仿宋_GB2312"/>
                <w:color w:val="auto"/>
                <w:lang w:bidi="ar"/>
              </w:rPr>
            </w:pPr>
            <w:r>
              <w:rPr>
                <w:rFonts w:hint="eastAsia" w:ascii="仿宋" w:hAnsi="仿宋" w:eastAsia="仿宋" w:cs="仿宋_GB2312"/>
                <w:color w:val="auto"/>
                <w:kern w:val="0"/>
                <w:sz w:val="24"/>
                <w:lang w:bidi="ar"/>
              </w:rPr>
              <w:t>建立、实施地方政府规章、行政规范性文件后评估制度，每年至少对1件现行有效的地方政府规章或者行政规范性文件开展后评估。</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2019年以来本级政府开展地方政府规章或者行政规范性文件后评估工作的情况说明。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3"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31</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地方政府规章、行政规范性文件按照规定的程序和时限报送备案，且报备率、报备及时率、规范率均达100%。公民、法人和其他组织对行政规范性文件的建议审查制度健全。</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上级有关单位出具的对本级政府2020年地方政府规章或者行政规范性文件备案审查的情况说明，包括备案文件名称及审查结果。</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70"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center"/>
              <w:rPr>
                <w:rFonts w:ascii="楷体" w:hAnsi="楷体" w:eastAsia="楷体" w:cs="楷体_GB2312"/>
                <w:b/>
                <w:color w:val="auto"/>
                <w:sz w:val="24"/>
              </w:rPr>
            </w:pPr>
          </w:p>
        </w:tc>
        <w:tc>
          <w:tcPr>
            <w:tcW w:w="248" w:type="pct"/>
            <w:noWrap w:val="0"/>
            <w:vAlign w:val="center"/>
          </w:tcPr>
          <w:p>
            <w:pPr>
              <w:spacing w:line="0" w:lineRule="atLeast"/>
              <w:jc w:val="center"/>
              <w:rPr>
                <w:rFonts w:hint="eastAsia" w:ascii="仿宋" w:hAnsi="仿宋" w:eastAsia="仿宋" w:cs="仿宋_GB2312"/>
                <w:color w:val="auto"/>
                <w:sz w:val="24"/>
              </w:rPr>
            </w:pPr>
            <w:r>
              <w:rPr>
                <w:rFonts w:hint="eastAsia" w:ascii="仿宋" w:hAnsi="仿宋" w:eastAsia="仿宋" w:cs="仿宋_GB2312"/>
                <w:color w:val="auto"/>
                <w:sz w:val="24"/>
              </w:rPr>
              <w:t>32</w:t>
            </w:r>
          </w:p>
        </w:tc>
        <w:tc>
          <w:tcPr>
            <w:tcW w:w="1178"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根据上位法的动态变化或者上级政府要求，及时对</w:t>
            </w:r>
            <w:r>
              <w:rPr>
                <w:rFonts w:hint="eastAsia" w:ascii="仿宋" w:hAnsi="仿宋" w:eastAsia="仿宋" w:cs="仿宋_GB2312"/>
                <w:color w:val="auto"/>
                <w:sz w:val="24"/>
              </w:rPr>
              <w:t>不适应全面深化改革和经济社会发展要求的</w:t>
            </w:r>
            <w:r>
              <w:rPr>
                <w:rFonts w:hint="eastAsia" w:ascii="仿宋" w:hAnsi="仿宋" w:eastAsia="仿宋" w:cs="仿宋_GB2312"/>
                <w:color w:val="auto"/>
                <w:kern w:val="0"/>
                <w:sz w:val="24"/>
                <w:lang w:bidi="ar"/>
              </w:rPr>
              <w:t>地方政府规章或者行政规范性文件进行清理，清理结果向社会公布。</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请提供2019年以来本级政府对地方政府规章或者规范性文件开展清理工作的结果及公布网址。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9"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center"/>
              <w:rPr>
                <w:rFonts w:ascii="楷体" w:hAnsi="楷体" w:eastAsia="楷体" w:cs="楷体_GB2312"/>
                <w:b/>
                <w:color w:val="auto"/>
                <w:sz w:val="24"/>
              </w:rPr>
            </w:pPr>
          </w:p>
        </w:tc>
        <w:tc>
          <w:tcPr>
            <w:tcW w:w="248" w:type="pct"/>
            <w:noWrap w:val="0"/>
            <w:vAlign w:val="center"/>
          </w:tcPr>
          <w:p>
            <w:pPr>
              <w:spacing w:line="0" w:lineRule="atLeast"/>
              <w:jc w:val="center"/>
              <w:rPr>
                <w:rFonts w:hint="eastAsia" w:ascii="仿宋" w:hAnsi="仿宋" w:eastAsia="仿宋" w:cs="仿宋_GB2312"/>
                <w:color w:val="auto"/>
                <w:sz w:val="24"/>
              </w:rPr>
            </w:pPr>
            <w:r>
              <w:rPr>
                <w:rFonts w:hint="eastAsia" w:ascii="仿宋" w:hAnsi="仿宋" w:eastAsia="仿宋" w:cs="仿宋_GB2312"/>
                <w:color w:val="auto"/>
                <w:sz w:val="24"/>
              </w:rPr>
              <w:t>33</w:t>
            </w:r>
          </w:p>
        </w:tc>
        <w:tc>
          <w:tcPr>
            <w:tcW w:w="1178"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实现本地区地方政府规章、行政规范性文件在政府门户网站统一公开、发布，实现现行有效的地方政府规章、行政规范性文件统一平台查询。</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spacing w:line="0" w:lineRule="atLeast"/>
              <w:rPr>
                <w:rFonts w:hint="eastAsia" w:ascii="仿宋" w:hAnsi="仿宋" w:eastAsia="仿宋" w:cs="仿宋_GB2312"/>
                <w:color w:val="auto"/>
                <w:kern w:val="0"/>
                <w:sz w:val="24"/>
                <w:lang w:val="en-US" w:eastAsia="zh-CN"/>
              </w:rPr>
            </w:pPr>
            <w:r>
              <w:rPr>
                <w:rFonts w:hint="eastAsia" w:ascii="仿宋" w:hAnsi="仿宋" w:eastAsia="仿宋" w:cs="仿宋_GB2312"/>
                <w:color w:val="auto"/>
                <w:kern w:val="0"/>
                <w:sz w:val="24"/>
              </w:rPr>
              <w:t>请提供查询平台网址。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restart"/>
            <w:noWrap w:val="0"/>
            <w:vAlign w:val="center"/>
          </w:tcPr>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numPr>
                <w:ilvl w:val="0"/>
                <w:numId w:val="4"/>
              </w:numPr>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重大行政决策科学民主合法</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三、重大行政决策科学民主合法</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sz w:val="24"/>
              </w:rPr>
            </w:pPr>
            <w:r>
              <w:rPr>
                <w:rFonts w:hint="eastAsia" w:ascii="楷体" w:hAnsi="楷体" w:eastAsia="楷体" w:cs="黑体"/>
                <w:b/>
                <w:color w:val="auto"/>
                <w:kern w:val="0"/>
                <w:sz w:val="24"/>
                <w:lang w:bidi="ar"/>
              </w:rPr>
              <w:t>三、重大行政决策科学民主合法</w:t>
            </w: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依法决策机制健全。</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34</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规范重大行政决策流程，明确重大行政决策的决策主体、事项范围、程序要求。制定年度重大行政决策事项目录，向社会公开，并根据实际情况调整。</w:t>
            </w:r>
          </w:p>
        </w:tc>
        <w:tc>
          <w:tcPr>
            <w:tcW w:w="547" w:type="pct"/>
            <w:vMerge w:val="restar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实地核验</w:t>
            </w:r>
          </w:p>
          <w:p>
            <w:pPr>
              <w:widowControl/>
              <w:spacing w:line="0" w:lineRule="atLeast"/>
              <w:jc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座谈访谈</w:t>
            </w:r>
          </w:p>
        </w:tc>
        <w:tc>
          <w:tcPr>
            <w:tcW w:w="1372" w:type="pct"/>
            <w:vMerge w:val="restar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第34、35、36、37、38、39、40、41、42、43、44、45、46项指标，请合并提供下列材料：</w:t>
            </w:r>
          </w:p>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1.本级政府制定的2021年重大行政决策事项目录以及目录公开的网址；</w:t>
            </w:r>
          </w:p>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2.本级政府重大行政决策公开征求意见的网址；</w:t>
            </w:r>
          </w:p>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3.本级政府贯彻落实《重大行政决策程序暂行条例》工作的情况说明；</w:t>
            </w:r>
          </w:p>
          <w:p>
            <w:pPr>
              <w:widowControl/>
              <w:spacing w:line="0" w:lineRule="atLeast"/>
              <w:textAlignment w:val="center"/>
              <w:rPr>
                <w:rFonts w:hint="eastAsia" w:ascii="仿宋" w:hAnsi="仿宋" w:eastAsia="仿宋" w:cs="仿宋_GB2312"/>
                <w:color w:val="auto"/>
                <w:kern w:val="0"/>
                <w:sz w:val="24"/>
              </w:rPr>
            </w:pPr>
            <w:r>
              <w:rPr>
                <w:rFonts w:hint="eastAsia" w:ascii="仿宋" w:hAnsi="仿宋" w:eastAsia="仿宋" w:cs="仿宋_GB2312"/>
                <w:color w:val="auto"/>
                <w:kern w:val="0"/>
                <w:sz w:val="24"/>
                <w:lang w:bidi="ar"/>
              </w:rPr>
              <w:t>4.2020年以来本级政府及其有关部门对重大行政决策合法性审查的意见书。（不超过5件）</w:t>
            </w:r>
          </w:p>
        </w:tc>
        <w:tc>
          <w:tcPr>
            <w:tcW w:w="1002" w:type="pct"/>
            <w:vMerge w:val="restar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w:t>
            </w:r>
            <w:r>
              <w:rPr>
                <w:rFonts w:hint="eastAsia" w:ascii="仿宋" w:hAnsi="仿宋" w:eastAsia="仿宋" w:cs="仿宋_GB2312"/>
                <w:color w:val="auto"/>
                <w:kern w:val="0"/>
                <w:sz w:val="24"/>
              </w:rPr>
              <w:t>司法局等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p>
            <w:pPr>
              <w:widowControl/>
              <w:spacing w:line="0" w:lineRule="atLeast"/>
              <w:rPr>
                <w:rFonts w:hint="eastAsia" w:ascii="仿宋" w:hAnsi="仿宋" w:eastAsia="仿宋" w:cs="仿宋_GB2312"/>
                <w:color w:val="auto"/>
                <w:kern w:val="0"/>
                <w:sz w:val="24"/>
              </w:rPr>
            </w:pPr>
            <w:r>
              <w:rPr>
                <w:rFonts w:hint="eastAsia" w:ascii="仿宋" w:hAnsi="仿宋" w:eastAsia="仿宋" w:cs="仿宋_GB2312"/>
                <w:color w:val="auto"/>
                <w:kern w:val="0"/>
                <w:sz w:val="24"/>
                <w:lang w:eastAsia="zh-CN"/>
              </w:rPr>
              <w:t>县政府办公室、县司法局等县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r>
              <w:rPr>
                <w:rFonts w:hint="eastAsia" w:ascii="仿宋" w:hAnsi="仿宋" w:eastAsia="仿宋" w:cs="仿宋_GB2312"/>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35</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重大行政决策情况依法自觉接受本级人大及其常委会的监督，根据法律法规规定属于本级人大及其常委会讨论决定的重大事项范围或者应当在出台前向本级人大及其常委会报告的，严格按照有关规定办理。</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vMerge w:val="continue"/>
            <w:noWrap w:val="0"/>
            <w:vAlign w:val="center"/>
          </w:tcPr>
          <w:p>
            <w:pPr>
              <w:widowControl/>
              <w:spacing w:line="0" w:lineRule="atLeast"/>
              <w:rPr>
                <w:rFonts w:hint="eastAsia" w:ascii="仿宋" w:hAnsi="仿宋" w:eastAsia="仿宋"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2.</w:t>
            </w:r>
            <w:r>
              <w:rPr>
                <w:rFonts w:hint="eastAsia" w:ascii="楷体" w:hAnsi="楷体" w:eastAsia="楷体" w:cs="楷体_GB2312"/>
                <w:b/>
                <w:color w:val="auto"/>
                <w:kern w:val="0"/>
                <w:sz w:val="24"/>
                <w:lang w:bidi="ar"/>
              </w:rPr>
              <w:t>公众参与。</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36</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实行重大行政决策公开制度，除依法应当保密的外，决策事项、依据和结果全部公开，并为公众查阅提供服务。对社会关注度高的决策事项，认真进行解释说明。</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vMerge w:val="continue"/>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37</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除依法不予公开的外，重大行政决策事项充分听取社会公众意见。如向社会公开征求意见的，征求意见期限一般不少于30日；因情况紧急等原因需要缩短期限的，公开征求意见时应当予以说明。</w:t>
            </w:r>
          </w:p>
        </w:tc>
        <w:tc>
          <w:tcPr>
            <w:tcW w:w="547" w:type="pct"/>
            <w:vMerge w:val="continue"/>
            <w:noWrap w:val="0"/>
            <w:vAlign w:val="center"/>
          </w:tcPr>
          <w:p>
            <w:pPr>
              <w:widowControl/>
              <w:spacing w:line="0" w:lineRule="atLeast"/>
              <w:jc w:val="lef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jc w:val="lef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决策承办单位按职责分工负责。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38</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重大行政决策事项涉及企业和特定群体、行业利益的，充分听取企业、行业协会商会、人民团体、社会组织、群众代表等的意见。</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决策承办单位按职责分工负责。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2"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3.</w:t>
            </w:r>
            <w:r>
              <w:rPr>
                <w:rFonts w:hint="eastAsia" w:ascii="楷体" w:hAnsi="楷体" w:eastAsia="楷体" w:cs="楷体_GB2312"/>
                <w:b/>
                <w:color w:val="auto"/>
                <w:kern w:val="0"/>
                <w:sz w:val="24"/>
                <w:lang w:bidi="ar"/>
              </w:rPr>
              <w:t>专家论证、风险评估。</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39</w:t>
            </w:r>
          </w:p>
        </w:tc>
        <w:tc>
          <w:tcPr>
            <w:tcW w:w="1178" w:type="pct"/>
            <w:noWrap w:val="0"/>
            <w:vAlign w:val="center"/>
          </w:tcPr>
          <w:p>
            <w:pPr>
              <w:widowControl/>
              <w:spacing w:line="0" w:lineRule="atLeast"/>
              <w:jc w:val="lef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专家参与论证重大行政决策的程序规则明确。专业性、技术性较强的决策事项，组织专家、专业机构论证其必要性、可行性、科学性等。</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决策承办单位按职责分工负责。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40</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对涉及经济社会发展和人民群众切身利益的重大政策、重大项目等决策事项，进行社会稳定、公共安全等方面的风险评估，形成相关风险评估报告。</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决策承办单位按职责分工负责。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4.</w:t>
            </w:r>
            <w:r>
              <w:rPr>
                <w:rFonts w:hint="eastAsia" w:ascii="楷体" w:hAnsi="楷体" w:eastAsia="楷体" w:cs="楷体_GB2312"/>
                <w:b/>
                <w:color w:val="auto"/>
                <w:kern w:val="0"/>
                <w:sz w:val="24"/>
                <w:lang w:bidi="ar"/>
              </w:rPr>
              <w:t>合法性审查。</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sz w:val="24"/>
              </w:rPr>
              <w:t>41</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重大行政决策全部经合法性审查，没有未经合法性审查或者经合法性审查不合法仍提交决策机关讨论的情形；没有以征求意见等方式代替合法性审查的情形。重大行政决策合法性审查的时间不少于7个工作日。</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lang w:bidi="ar"/>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lang w:bidi="ar"/>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负责合法性审查的部门按职责分工负责。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42</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推行法律顾问、公职律师制度。市县党政机关已经配备具有法律职业资格或者律师资格且专门从事法律事务工作人员的，应当在2021年年底前全部设立公职律师。行政机关主要负责人作出重大决策前，听取合法性审查机构的意见，注重听取法律顾问、公职律师或者有关专家的意见，不存在法律顾问“聘而不用”的情形，公职律师的作用得到有效发挥。</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5.</w:t>
            </w:r>
            <w:r>
              <w:rPr>
                <w:rFonts w:hint="eastAsia" w:ascii="楷体" w:hAnsi="楷体" w:eastAsia="楷体" w:cs="楷体_GB2312"/>
                <w:b/>
                <w:color w:val="auto"/>
                <w:kern w:val="0"/>
                <w:sz w:val="24"/>
                <w:lang w:bidi="ar"/>
              </w:rPr>
              <w:t>集体讨论决定。</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43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重大行政决策经政府常务会议或者全体会议讨论，集体讨论率达到100%。集体讨论决定情况全部如实记录，不同意见如实载明。</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lang w:eastAsia="zh-CN"/>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lang w:eastAsia="zh-CN"/>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99"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44</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行政机关主要负责人在重大行政决策集体讨论会议上最后发言,并在集体讨论基础上作出决定，拟作出的决定与会议组成人员多数人的意见不一致的，在会上说明理由。</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6.</w:t>
            </w:r>
            <w:r>
              <w:rPr>
                <w:rFonts w:hint="eastAsia" w:ascii="楷体" w:hAnsi="楷体" w:eastAsia="楷体" w:cs="楷体_GB2312"/>
                <w:b/>
                <w:color w:val="auto"/>
                <w:kern w:val="0"/>
                <w:sz w:val="24"/>
                <w:lang w:bidi="ar"/>
              </w:rPr>
              <w:t>强化决策规范化建设。</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45</w:t>
            </w:r>
          </w:p>
        </w:tc>
        <w:tc>
          <w:tcPr>
            <w:tcW w:w="1178" w:type="pct"/>
            <w:noWrap w:val="0"/>
            <w:vAlign w:val="center"/>
          </w:tcPr>
          <w:p>
            <w:pPr>
              <w:spacing w:line="0" w:lineRule="atLeast"/>
              <w:rPr>
                <w:rFonts w:hint="eastAsia" w:ascii="仿宋" w:hAnsi="仿宋" w:eastAsia="仿宋" w:cs="仿宋_GB2312"/>
                <w:color w:val="auto"/>
                <w:sz w:val="24"/>
                <w:lang w:bidi="ar"/>
              </w:rPr>
            </w:pPr>
            <w:r>
              <w:rPr>
                <w:rFonts w:hint="eastAsia" w:ascii="仿宋" w:hAnsi="仿宋" w:eastAsia="仿宋" w:cs="仿宋_GB2312"/>
                <w:color w:val="auto"/>
                <w:kern w:val="0"/>
                <w:sz w:val="24"/>
                <w:lang w:bidi="ar"/>
              </w:rPr>
              <w:t>建立重大行政决策全过程记录、材料归档和档案管理制度，实现重大行政决策年度目录事项全部立卷归档。</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42"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46</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建立决策机关跟踪重大行政决策执行情况和实施效果制度，对</w:t>
            </w:r>
            <w:r>
              <w:rPr>
                <w:rFonts w:hint="eastAsia" w:ascii="仿宋" w:hAnsi="仿宋" w:eastAsia="仿宋" w:cs="仿宋_GB2312"/>
                <w:color w:val="auto"/>
                <w:sz w:val="24"/>
                <w:lang w:bidi="ar"/>
              </w:rPr>
              <w:t>重大行政决策实施后明显未达到预期效果，公民、法人或者其他组织提出较多意见的重大行政决策</w:t>
            </w:r>
            <w:r>
              <w:rPr>
                <w:rFonts w:hint="eastAsia" w:ascii="仿宋" w:hAnsi="仿宋" w:eastAsia="仿宋" w:cs="仿宋_GB2312"/>
                <w:color w:val="auto"/>
                <w:kern w:val="0"/>
                <w:sz w:val="24"/>
                <w:lang w:bidi="ar"/>
              </w:rPr>
              <w:t>进行决策后评估。</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r>
              <w:rPr>
                <w:rFonts w:hint="eastAsia" w:ascii="仿宋" w:hAnsi="仿宋" w:eastAsia="仿宋" w:cs="仿宋_GB2312"/>
                <w:color w:val="auto"/>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0" w:hRule="atLeast"/>
        </w:trPr>
        <w:tc>
          <w:tcPr>
            <w:tcW w:w="280" w:type="pct"/>
            <w:vMerge w:val="restart"/>
            <w:noWrap w:val="0"/>
            <w:vAlign w:val="center"/>
          </w:tcPr>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numPr>
                <w:ilvl w:val="0"/>
                <w:numId w:val="4"/>
              </w:numPr>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行政执法严格规范公正文明</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四、行政执法严格规范公正文明</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四、行政执法严格规范公正文明</w:t>
            </w: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行政执法权责统一、权威高效。</w:t>
            </w: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sz w:val="24"/>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行政执法权责统一、权威高效。</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rPr>
            </w:pPr>
            <w:r>
              <w:rPr>
                <w:rFonts w:hint="eastAsia" w:ascii="仿宋" w:hAnsi="仿宋" w:eastAsia="仿宋" w:cs="仿宋_GB2312"/>
                <w:color w:val="auto"/>
              </w:rPr>
              <w:t>47</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严格贯彻落实《行政处罚法》。根据本级政府事权和职能，深入推进综合行政执法体制改革。业务主管部门与综合行政执法部门、乡镇（街道）与县（市、区）级相关部门行政执法协调协同机制健全。行政执法权限协调机制完善，跨领域跨部门联合执法、协作执法组织有力、运转顺畅。</w:t>
            </w:r>
          </w:p>
        </w:tc>
        <w:tc>
          <w:tcPr>
            <w:tcW w:w="547" w:type="pct"/>
            <w:vMerge w:val="restart"/>
            <w:noWrap w:val="0"/>
            <w:vAlign w:val="center"/>
          </w:tcPr>
          <w:p>
            <w:pPr>
              <w:widowControl/>
              <w:wordWrap w:val="0"/>
              <w:jc w:val="center"/>
              <w:textAlignment w:val="center"/>
              <w:rPr>
                <w:rFonts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实地核验</w:t>
            </w:r>
          </w:p>
          <w:p>
            <w:pPr>
              <w:widowControl/>
              <w:spacing w:line="0" w:lineRule="atLeast"/>
              <w:jc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座谈访谈</w:t>
            </w:r>
          </w:p>
        </w:tc>
        <w:tc>
          <w:tcPr>
            <w:tcW w:w="1372" w:type="pct"/>
            <w:vMerge w:val="restart"/>
            <w:noWrap w:val="0"/>
            <w:vAlign w:val="center"/>
          </w:tcPr>
          <w:p>
            <w:pPr>
              <w:widowControl/>
              <w:textAlignment w:val="center"/>
              <w:rPr>
                <w:rStyle w:val="15"/>
                <w:rFonts w:hint="eastAsia" w:ascii="仿宋" w:hAnsi="仿宋" w:eastAsia="仿宋" w:cs="仿宋"/>
                <w:b w:val="0"/>
                <w:lang w:bidi="ar"/>
              </w:rPr>
            </w:pPr>
            <w:r>
              <w:rPr>
                <w:rStyle w:val="15"/>
                <w:rFonts w:hint="eastAsia" w:ascii="仿宋" w:hAnsi="仿宋" w:eastAsia="仿宋" w:cs="仿宋"/>
                <w:b w:val="0"/>
                <w:lang w:bidi="ar"/>
              </w:rPr>
              <w:t>第47、48、49、50、51项指标，请合并提供下列材料：</w:t>
            </w:r>
          </w:p>
          <w:p>
            <w:pPr>
              <w:widowControl/>
              <w:wordWrap w:val="0"/>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1.本级政府加强乡镇（街道）执法能力，以及加强乡镇（街道）与部门行政执法协调协同的举措和成效的情况说明；</w:t>
            </w:r>
          </w:p>
          <w:p>
            <w:pPr>
              <w:widowControl/>
              <w:wordWrap w:val="0"/>
              <w:textAlignment w:val="center"/>
              <w:rPr>
                <w:rFonts w:ascii="仿宋" w:hAnsi="仿宋" w:eastAsia="仿宋" w:cs="仿宋"/>
                <w:kern w:val="0"/>
                <w:sz w:val="24"/>
                <w:lang w:bidi="ar"/>
              </w:rPr>
            </w:pPr>
            <w:r>
              <w:rPr>
                <w:rFonts w:hint="eastAsia" w:ascii="仿宋" w:hAnsi="仿宋" w:eastAsia="仿宋" w:cs="仿宋"/>
                <w:kern w:val="0"/>
                <w:sz w:val="24"/>
                <w:lang w:bidi="ar"/>
              </w:rPr>
              <w:t>2.列表提供本级政府有关部门2019、2020年在市场监管、卫生健康、自然资源、生态环境、安全生产、劳动保障、城市管理、交通运输、教育培训各领域分别作出的行政处罚的案件总数以及涉及罚款的案件总数和罚款总额。</w:t>
            </w:r>
          </w:p>
          <w:p>
            <w:pPr>
              <w:widowControl/>
              <w:wordWrap w:val="0"/>
              <w:textAlignment w:val="center"/>
              <w:rPr>
                <w:rFonts w:ascii="仿宋" w:hAnsi="仿宋" w:eastAsia="仿宋" w:cs="仿宋"/>
                <w:kern w:val="0"/>
                <w:sz w:val="24"/>
                <w:lang w:bidi="ar"/>
              </w:rPr>
            </w:pPr>
            <w:r>
              <w:rPr>
                <w:rFonts w:hint="eastAsia" w:ascii="仿宋" w:hAnsi="仿宋" w:eastAsia="仿宋" w:cs="仿宋"/>
                <w:kern w:val="0"/>
                <w:sz w:val="24"/>
                <w:lang w:bidi="ar"/>
              </w:rPr>
              <w:t>3</w:t>
            </w:r>
            <w:r>
              <w:rPr>
                <w:rFonts w:ascii="仿宋" w:hAnsi="仿宋" w:eastAsia="仿宋" w:cs="仿宋"/>
                <w:kern w:val="0"/>
                <w:sz w:val="24"/>
                <w:lang w:bidi="ar"/>
              </w:rPr>
              <w:t>.2019</w:t>
            </w:r>
            <w:r>
              <w:rPr>
                <w:rFonts w:hint="eastAsia" w:ascii="仿宋" w:hAnsi="仿宋" w:eastAsia="仿宋" w:cs="仿宋"/>
                <w:kern w:val="0"/>
                <w:sz w:val="24"/>
                <w:lang w:bidi="ar"/>
              </w:rPr>
              <w:t>年以来本级政府部署开展创新执法方式的情况说明。</w:t>
            </w:r>
          </w:p>
          <w:p>
            <w:pPr>
              <w:widowControl/>
              <w:spacing w:line="0" w:lineRule="atLeast"/>
              <w:rPr>
                <w:rFonts w:hint="eastAsia" w:ascii="仿宋" w:hAnsi="仿宋" w:eastAsia="仿宋" w:cs="仿宋_GB2312"/>
                <w:color w:val="auto"/>
                <w:kern w:val="0"/>
                <w:sz w:val="24"/>
              </w:rPr>
            </w:pPr>
            <w:r>
              <w:rPr>
                <w:rFonts w:hint="eastAsia" w:ascii="仿宋" w:hAnsi="仿宋" w:eastAsia="仿宋" w:cs="仿宋"/>
                <w:kern w:val="0"/>
                <w:sz w:val="24"/>
                <w:lang w:bidi="ar"/>
              </w:rPr>
              <w:t>4</w:t>
            </w:r>
            <w:r>
              <w:rPr>
                <w:rFonts w:ascii="仿宋" w:hAnsi="仿宋" w:eastAsia="仿宋" w:cs="仿宋"/>
                <w:kern w:val="0"/>
                <w:sz w:val="24"/>
                <w:lang w:bidi="ar"/>
              </w:rPr>
              <w:t>.</w:t>
            </w:r>
            <w:r>
              <w:rPr>
                <w:rFonts w:hint="eastAsia" w:ascii="仿宋" w:hAnsi="仿宋" w:eastAsia="仿宋" w:cs="仿宋"/>
                <w:kern w:val="0"/>
                <w:sz w:val="24"/>
                <w:lang w:bidi="ar"/>
              </w:rPr>
              <w:t>2</w:t>
            </w:r>
            <w:r>
              <w:rPr>
                <w:rFonts w:ascii="仿宋" w:hAnsi="仿宋" w:eastAsia="仿宋" w:cs="仿宋"/>
                <w:kern w:val="0"/>
                <w:sz w:val="24"/>
                <w:lang w:bidi="ar"/>
              </w:rPr>
              <w:t>020</w:t>
            </w:r>
            <w:r>
              <w:rPr>
                <w:rFonts w:hint="eastAsia" w:ascii="仿宋" w:hAnsi="仿宋" w:eastAsia="仿宋" w:cs="仿宋"/>
                <w:kern w:val="0"/>
                <w:sz w:val="24"/>
                <w:lang w:bidi="ar"/>
              </w:rPr>
              <w:t>年本级政府市场监管、生态环境保护、文化市场、交通运输、农业农村和城市管理“两法衔接”机制运行的情况说明，应当包括各部门移送公安机关的案件总数，以及其中由公安机关立案的案件数。</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5" w:hRule="atLeast"/>
        </w:trPr>
        <w:tc>
          <w:tcPr>
            <w:tcW w:w="280" w:type="pct"/>
            <w:vMerge w:val="continue"/>
            <w:noWrap w:val="0"/>
            <w:vAlign w:val="center"/>
          </w:tcPr>
          <w:p>
            <w:pPr>
              <w:widowControl/>
              <w:spacing w:line="0" w:lineRule="atLeast"/>
              <w:textAlignment w:val="center"/>
              <w:rPr>
                <w:rFonts w:ascii="楷体" w:hAnsi="楷体" w:eastAsia="楷体"/>
                <w:b/>
                <w:color w:val="auto"/>
              </w:rPr>
            </w:pPr>
          </w:p>
        </w:tc>
        <w:tc>
          <w:tcPr>
            <w:tcW w:w="370" w:type="pct"/>
            <w:vMerge w:val="continue"/>
            <w:noWrap w:val="0"/>
            <w:vAlign w:val="center"/>
          </w:tcPr>
          <w:p>
            <w:pPr>
              <w:widowControl/>
              <w:spacing w:line="0" w:lineRule="atLeast"/>
              <w:textAlignment w:val="center"/>
              <w:rPr>
                <w:rFonts w:ascii="楷体" w:hAnsi="楷体" w:eastAsia="楷体"/>
                <w:b/>
                <w:color w:val="auto"/>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48</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食品药品、公共卫生、自然资源、生态环境、安全生产、劳动保障、城市管理、交通运输、金融服务、教育培训等关系群众切身利益的重点领域执法有力，违法行为得到及时查处，无逾期未查未决案件，人民群众具有较高满意度。</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县市场监督管理局</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县卫健委、县自然资源局、县生态环境局、县应急局、县人事局、县城管局、县交通运输局、县金融工作局、县教体局</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4" w:hRule="atLeast"/>
        </w:trPr>
        <w:tc>
          <w:tcPr>
            <w:tcW w:w="280" w:type="pct"/>
            <w:vMerge w:val="continue"/>
            <w:noWrap w:val="0"/>
            <w:vAlign w:val="center"/>
          </w:tcPr>
          <w:p>
            <w:pPr>
              <w:widowControl/>
              <w:spacing w:line="0" w:lineRule="atLeast"/>
              <w:textAlignment w:val="center"/>
              <w:rPr>
                <w:rFonts w:ascii="楷体" w:hAnsi="楷体" w:eastAsia="楷体"/>
                <w:b/>
                <w:color w:val="auto"/>
              </w:rPr>
            </w:pPr>
          </w:p>
        </w:tc>
        <w:tc>
          <w:tcPr>
            <w:tcW w:w="370" w:type="pct"/>
            <w:vMerge w:val="continue"/>
            <w:noWrap w:val="0"/>
            <w:vAlign w:val="center"/>
          </w:tcPr>
          <w:p>
            <w:pPr>
              <w:widowControl/>
              <w:spacing w:line="0" w:lineRule="atLeast"/>
              <w:textAlignment w:val="center"/>
              <w:rPr>
                <w:rFonts w:ascii="楷体" w:hAnsi="楷体" w:eastAsia="楷体"/>
                <w:b/>
                <w:color w:val="auto"/>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49</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除有法定依据外，创建周期内没有采取要求特定区域或者行业、领域的市场主体普遍停产、停业的措施。</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县市场监督管理局</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县生态环境局、县发改委、县卫健委、县应急局等县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center"/>
              <w:rPr>
                <w:rFonts w:ascii="楷体" w:hAnsi="楷体" w:eastAsia="楷体"/>
                <w:b/>
                <w:color w:val="auto"/>
              </w:rPr>
            </w:pPr>
          </w:p>
        </w:tc>
        <w:tc>
          <w:tcPr>
            <w:tcW w:w="370" w:type="pct"/>
            <w:vMerge w:val="continue"/>
            <w:noWrap w:val="0"/>
            <w:vAlign w:val="center"/>
          </w:tcPr>
          <w:p>
            <w:pPr>
              <w:widowControl/>
              <w:spacing w:line="0" w:lineRule="atLeast"/>
              <w:textAlignment w:val="center"/>
              <w:rPr>
                <w:rFonts w:ascii="楷体" w:hAnsi="楷体" w:eastAsia="楷体"/>
                <w:b/>
                <w:color w:val="auto"/>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50</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创新行政执法方式，广泛运用说服教育、劝导示范、警示告诫、指导约谈等非强制性执法手段。采用非强制性手段可以达到行政管理目的的，不实施行政强制。</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县司法局、县直各行政执法单位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b/>
                <w:color w:val="auto"/>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51</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行政执法和刑事司法衔接机制建立健全，行政执法机关、检察机关、审判机关信息共享、案情通报、案件移送制度建立并全面执行，不存在有案不移、有案难移、以罚代刑现象。</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spacing w:line="0" w:lineRule="atLeast"/>
              <w:rPr>
                <w:rFonts w:ascii="楷体" w:hAnsi="楷体" w:eastAsia="楷体" w:cs="楷体_GB2312"/>
                <w:b/>
                <w:color w:val="auto"/>
                <w:sz w:val="24"/>
              </w:rPr>
            </w:pPr>
            <w:r>
              <w:rPr>
                <w:rFonts w:ascii="楷体" w:hAnsi="楷体" w:eastAsia="楷体" w:cs="楷体_GB2312"/>
                <w:b/>
                <w:color w:val="auto"/>
                <w:sz w:val="24"/>
              </w:rPr>
              <w:t>2.</w:t>
            </w:r>
            <w:r>
              <w:rPr>
                <w:rFonts w:hint="eastAsia" w:ascii="楷体" w:hAnsi="楷体" w:eastAsia="楷体" w:cs="楷体_GB2312"/>
                <w:b/>
                <w:color w:val="auto"/>
                <w:sz w:val="24"/>
              </w:rPr>
              <w:t>全面推行行政执法公示制度。</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52</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主体、权限、依据、程序、救济渠道和随机抽查事项清单等信息全面准确及时主动公开；公开信息简明扼要、通俗易懂，并进行动态调整。全面落实行政裁量权基准制度，对外公布本地区各行政执法行为的裁量范围、种类、幅度等基准并切实遵循。</w:t>
            </w:r>
          </w:p>
        </w:tc>
        <w:tc>
          <w:tcPr>
            <w:tcW w:w="547" w:type="pct"/>
            <w:vMerge w:val="restart"/>
            <w:noWrap w:val="0"/>
            <w:vAlign w:val="center"/>
          </w:tcPr>
          <w:p>
            <w:pPr>
              <w:widowControl/>
              <w:wordWrap w:val="0"/>
              <w:jc w:val="center"/>
              <w:textAlignment w:val="center"/>
              <w:rPr>
                <w:rFonts w:hint="eastAsia" w:ascii="仿宋" w:hAnsi="仿宋" w:eastAsia="仿宋" w:cs="仿宋"/>
                <w:color w:val="000000"/>
                <w:spacing w:val="7"/>
                <w:kern w:val="0"/>
                <w:sz w:val="24"/>
              </w:rPr>
            </w:pPr>
          </w:p>
          <w:p>
            <w:pPr>
              <w:widowControl/>
              <w:wordWrap w:val="0"/>
              <w:jc w:val="center"/>
              <w:textAlignment w:val="center"/>
              <w:rPr>
                <w:rFonts w:hint="eastAsia" w:ascii="仿宋" w:hAnsi="仿宋" w:eastAsia="仿宋" w:cs="仿宋"/>
                <w:color w:val="000000"/>
                <w:spacing w:val="7"/>
                <w:kern w:val="0"/>
                <w:sz w:val="24"/>
              </w:rPr>
            </w:pPr>
          </w:p>
          <w:p>
            <w:pPr>
              <w:widowControl/>
              <w:wordWrap w:val="0"/>
              <w:jc w:val="center"/>
              <w:textAlignment w:val="center"/>
              <w:rPr>
                <w:rFonts w:hint="eastAsia" w:ascii="仿宋" w:hAnsi="仿宋" w:eastAsia="仿宋" w:cs="仿宋"/>
                <w:color w:val="000000"/>
                <w:spacing w:val="7"/>
                <w:kern w:val="0"/>
                <w:sz w:val="24"/>
              </w:rPr>
            </w:pPr>
          </w:p>
          <w:p>
            <w:pPr>
              <w:widowControl/>
              <w:wordWrap w:val="0"/>
              <w:jc w:val="center"/>
              <w:textAlignment w:val="center"/>
              <w:rPr>
                <w:rFonts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案卷评查</w:t>
            </w:r>
          </w:p>
          <w:p>
            <w:pPr>
              <w:widowControl/>
              <w:spacing w:line="0" w:lineRule="atLeast"/>
              <w:jc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座谈访谈</w:t>
            </w:r>
          </w:p>
        </w:tc>
        <w:tc>
          <w:tcPr>
            <w:tcW w:w="1372" w:type="pct"/>
            <w:vMerge w:val="restart"/>
            <w:noWrap w:val="0"/>
            <w:vAlign w:val="center"/>
          </w:tcPr>
          <w:p>
            <w:pPr>
              <w:widowControl/>
              <w:textAlignment w:val="center"/>
              <w:rPr>
                <w:rFonts w:ascii="仿宋" w:hAnsi="仿宋" w:eastAsia="仿宋" w:cs="仿宋"/>
                <w:color w:val="000000"/>
                <w:sz w:val="24"/>
                <w:lang w:bidi="ar"/>
              </w:rPr>
            </w:pPr>
            <w:r>
              <w:rPr>
                <w:rStyle w:val="15"/>
                <w:rFonts w:hint="eastAsia" w:ascii="仿宋" w:hAnsi="仿宋" w:eastAsia="仿宋" w:cs="仿宋"/>
                <w:b w:val="0"/>
                <w:lang w:bidi="ar"/>
              </w:rPr>
              <w:t>第</w:t>
            </w:r>
            <w:r>
              <w:rPr>
                <w:rStyle w:val="15"/>
                <w:rFonts w:ascii="仿宋" w:hAnsi="仿宋" w:eastAsia="仿宋" w:cs="仿宋"/>
                <w:b w:val="0"/>
                <w:lang w:bidi="ar"/>
              </w:rPr>
              <w:t>52</w:t>
            </w:r>
            <w:r>
              <w:rPr>
                <w:rStyle w:val="15"/>
                <w:rFonts w:hint="eastAsia" w:ascii="仿宋" w:hAnsi="仿宋" w:eastAsia="仿宋" w:cs="仿宋"/>
                <w:b w:val="0"/>
                <w:lang w:bidi="ar"/>
              </w:rPr>
              <w:t>、5</w:t>
            </w:r>
            <w:r>
              <w:rPr>
                <w:rStyle w:val="15"/>
                <w:rFonts w:ascii="仿宋" w:hAnsi="仿宋" w:eastAsia="仿宋" w:cs="仿宋"/>
                <w:b w:val="0"/>
                <w:lang w:bidi="ar"/>
              </w:rPr>
              <w:t>3</w:t>
            </w:r>
            <w:r>
              <w:rPr>
                <w:rStyle w:val="15"/>
                <w:rFonts w:hint="eastAsia" w:ascii="仿宋" w:hAnsi="仿宋" w:eastAsia="仿宋" w:cs="仿宋"/>
                <w:b w:val="0"/>
                <w:lang w:bidi="ar"/>
              </w:rPr>
              <w:t>、5</w:t>
            </w:r>
            <w:r>
              <w:rPr>
                <w:rStyle w:val="15"/>
                <w:rFonts w:ascii="仿宋" w:hAnsi="仿宋" w:eastAsia="仿宋" w:cs="仿宋"/>
                <w:b w:val="0"/>
                <w:lang w:bidi="ar"/>
              </w:rPr>
              <w:t>4</w:t>
            </w:r>
            <w:r>
              <w:rPr>
                <w:rStyle w:val="15"/>
                <w:rFonts w:hint="eastAsia" w:ascii="仿宋" w:hAnsi="仿宋" w:eastAsia="仿宋" w:cs="仿宋"/>
                <w:b w:val="0"/>
                <w:lang w:bidi="ar"/>
              </w:rPr>
              <w:t>项指标，请合并提供下列材料：</w:t>
            </w:r>
          </w:p>
          <w:p>
            <w:pPr>
              <w:widowControl/>
              <w:spacing w:line="0" w:lineRule="atLeast"/>
              <w:rPr>
                <w:rFonts w:hint="eastAsia" w:ascii="仿宋" w:hAnsi="仿宋" w:eastAsia="仿宋" w:cs="仿宋_GB2312"/>
                <w:color w:val="auto"/>
                <w:kern w:val="0"/>
                <w:sz w:val="24"/>
              </w:rPr>
            </w:pPr>
            <w:r>
              <w:rPr>
                <w:rFonts w:hint="eastAsia" w:ascii="仿宋" w:hAnsi="仿宋" w:eastAsia="仿宋" w:cs="仿宋"/>
                <w:kern w:val="0"/>
                <w:sz w:val="24"/>
                <w:lang w:bidi="ar"/>
              </w:rPr>
              <w:t>请提供本级政府市场监管、卫生健康、自然资源、生态环境、应急管理、劳动保障、城市管理、交通运输、教育培训部门有关</w:t>
            </w:r>
            <w:r>
              <w:rPr>
                <w:rFonts w:hint="eastAsia" w:ascii="仿宋" w:hAnsi="仿宋" w:eastAsia="仿宋" w:cs="仿宋"/>
                <w:color w:val="000000"/>
                <w:spacing w:val="7"/>
                <w:kern w:val="0"/>
                <w:sz w:val="24"/>
              </w:rPr>
              <w:t>执法信息公开的网址。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县司法局、县市场监督管理局、县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除法律另有规定外，行政执法人员严格执行2人以上执法规定。严格执行“亮证执法”制度，主动出示执法证件。出具执法文书，应当主动告知当事人执法事由、执法依据、权利义务、救济渠道等。</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54</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机关在执法决定作出之日起20个工作日内向社会公布执法机关、执法对象、执法类别、执法结论等信息，接受社会监督，行政许可、行政处罚的执法决定信息在执法决定作出之日起7个工作日内公开，但法律、行政法规另有规定的除外。</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noWrap w:val="0"/>
            <w:vAlign w:val="center"/>
          </w:tcPr>
          <w:p>
            <w:pPr>
              <w:widowControl/>
              <w:textAlignment w:val="center"/>
              <w:rPr>
                <w:rFonts w:ascii="仿宋" w:hAnsi="仿宋" w:eastAsia="仿宋" w:cs="仿宋"/>
                <w:color w:val="000000"/>
                <w:sz w:val="24"/>
                <w:lang w:bidi="ar"/>
              </w:rPr>
            </w:pPr>
            <w:r>
              <w:rPr>
                <w:rStyle w:val="15"/>
                <w:rFonts w:hint="eastAsia" w:ascii="仿宋" w:hAnsi="仿宋" w:eastAsia="仿宋" w:cs="仿宋"/>
                <w:b w:val="0"/>
                <w:lang w:bidi="ar"/>
              </w:rPr>
              <w:t>第</w:t>
            </w:r>
            <w:r>
              <w:rPr>
                <w:rStyle w:val="15"/>
                <w:rFonts w:ascii="仿宋" w:hAnsi="仿宋" w:eastAsia="仿宋" w:cs="仿宋"/>
                <w:b w:val="0"/>
                <w:lang w:bidi="ar"/>
              </w:rPr>
              <w:t>52</w:t>
            </w:r>
            <w:r>
              <w:rPr>
                <w:rStyle w:val="15"/>
                <w:rFonts w:hint="eastAsia" w:ascii="仿宋" w:hAnsi="仿宋" w:eastAsia="仿宋" w:cs="仿宋"/>
                <w:b w:val="0"/>
                <w:lang w:bidi="ar"/>
              </w:rPr>
              <w:t>、5</w:t>
            </w:r>
            <w:r>
              <w:rPr>
                <w:rStyle w:val="15"/>
                <w:rFonts w:ascii="仿宋" w:hAnsi="仿宋" w:eastAsia="仿宋" w:cs="仿宋"/>
                <w:b w:val="0"/>
                <w:lang w:bidi="ar"/>
              </w:rPr>
              <w:t>3</w:t>
            </w:r>
            <w:r>
              <w:rPr>
                <w:rStyle w:val="15"/>
                <w:rFonts w:hint="eastAsia" w:ascii="仿宋" w:hAnsi="仿宋" w:eastAsia="仿宋" w:cs="仿宋"/>
                <w:b w:val="0"/>
                <w:lang w:bidi="ar"/>
              </w:rPr>
              <w:t>、5</w:t>
            </w:r>
            <w:r>
              <w:rPr>
                <w:rStyle w:val="15"/>
                <w:rFonts w:ascii="仿宋" w:hAnsi="仿宋" w:eastAsia="仿宋" w:cs="仿宋"/>
                <w:b w:val="0"/>
                <w:lang w:bidi="ar"/>
              </w:rPr>
              <w:t>4</w:t>
            </w:r>
            <w:r>
              <w:rPr>
                <w:rStyle w:val="15"/>
                <w:rFonts w:hint="eastAsia" w:ascii="仿宋" w:hAnsi="仿宋" w:eastAsia="仿宋" w:cs="仿宋"/>
                <w:b w:val="0"/>
                <w:lang w:bidi="ar"/>
              </w:rPr>
              <w:t>项指标，请合并提供下列材料：</w:t>
            </w:r>
          </w:p>
          <w:p>
            <w:pPr>
              <w:widowControl/>
              <w:spacing w:line="0" w:lineRule="atLeast"/>
              <w:rPr>
                <w:rFonts w:hint="eastAsia" w:ascii="仿宋" w:hAnsi="仿宋" w:eastAsia="仿宋" w:cs="仿宋_GB2312"/>
                <w:color w:val="auto"/>
                <w:kern w:val="0"/>
                <w:sz w:val="24"/>
              </w:rPr>
            </w:pPr>
            <w:r>
              <w:rPr>
                <w:rFonts w:hint="eastAsia" w:ascii="仿宋" w:hAnsi="仿宋" w:eastAsia="仿宋" w:cs="仿宋"/>
                <w:kern w:val="0"/>
                <w:sz w:val="24"/>
                <w:lang w:bidi="ar"/>
              </w:rPr>
              <w:t>请提供本级政府市场监管、卫生健康、自然资源、生态环境、应急管理、劳动保障、城市管理、交通运输、教育培训部门有关</w:t>
            </w:r>
            <w:r>
              <w:rPr>
                <w:rFonts w:hint="eastAsia" w:ascii="仿宋" w:hAnsi="仿宋" w:eastAsia="仿宋" w:cs="仿宋"/>
                <w:color w:val="000000"/>
                <w:spacing w:val="7"/>
                <w:kern w:val="0"/>
                <w:sz w:val="24"/>
              </w:rPr>
              <w:t>执法信息公开的网址。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县直各行政执法单位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r>
              <w:rPr>
                <w:rFonts w:ascii="楷体" w:hAnsi="楷体" w:eastAsia="楷体" w:cs="楷体_GB2312"/>
                <w:b/>
                <w:color w:val="auto"/>
                <w:kern w:val="0"/>
                <w:sz w:val="24"/>
                <w:lang w:bidi="ar"/>
              </w:rPr>
              <w:t>3.</w:t>
            </w:r>
            <w:r>
              <w:rPr>
                <w:rFonts w:hint="eastAsia" w:ascii="楷体" w:hAnsi="楷体" w:eastAsia="楷体" w:cs="楷体_GB2312"/>
                <w:b/>
                <w:color w:val="auto"/>
                <w:kern w:val="0"/>
                <w:sz w:val="24"/>
                <w:lang w:bidi="ar"/>
              </w:rPr>
              <w:t>全面推行执法全过程记录制度。</w:t>
            </w: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55</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行政执法机关通过文字、音像等记录形式，对行政执法启动、调查取证、审核决定、送达执行等实现全过程记录，并实现全面系统归档保存，做到执法全过程留痕和可回溯管理。</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案卷评查</w:t>
            </w:r>
          </w:p>
        </w:tc>
        <w:tc>
          <w:tcPr>
            <w:tcW w:w="1372" w:type="pct"/>
            <w:noWrap w:val="0"/>
            <w:vAlign w:val="center"/>
          </w:tcPr>
          <w:p>
            <w:pPr>
              <w:pStyle w:val="16"/>
              <w:widowControl/>
              <w:wordWrap w:val="0"/>
              <w:ind w:firstLine="0" w:firstLine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56</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根据行政执法文书格式文本，结合本地实际完善有关文书格式，做到行政执法活动文字记录合法规范、客观全面、及时准确，执法案卷和执法文书要素齐备、填写规范、归档完整。</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案卷评查</w:t>
            </w:r>
          </w:p>
        </w:tc>
        <w:tc>
          <w:tcPr>
            <w:tcW w:w="1372" w:type="pct"/>
            <w:noWrap w:val="0"/>
            <w:vAlign w:val="center"/>
          </w:tcPr>
          <w:p>
            <w:pPr>
              <w:pStyle w:val="16"/>
              <w:widowControl/>
              <w:wordWrap w:val="0"/>
              <w:ind w:firstLine="0" w:firstLine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县直各行政执法单位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5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57</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对查封扣押财产、强制拆除等直接涉及人身自由、生命健康、重大财产权益的现场执法活动和执法办案场所，实行全程音像记录。执法音像记录管理制度已经建立并严格执行。</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案卷评查</w:t>
            </w:r>
          </w:p>
        </w:tc>
        <w:tc>
          <w:tcPr>
            <w:tcW w:w="1372" w:type="pct"/>
            <w:noWrap w:val="0"/>
            <w:vAlign w:val="center"/>
          </w:tcPr>
          <w:p>
            <w:pPr>
              <w:pStyle w:val="16"/>
              <w:widowControl/>
              <w:wordWrap w:val="0"/>
              <w:ind w:firstLine="0" w:firstLine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县直各行政执法单位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58</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对于执法全过程记录资料严格依法依规归档保存，对同一执法对象的文字、音像记录进行集中储存，推行“一户式”集中储存；行政执法全过程数据化记录工作机制和数字化归档管理制度已经建立并完善。</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r>
              <w:rPr>
                <w:rFonts w:ascii="楷体" w:hAnsi="楷体" w:eastAsia="楷体" w:cs="楷体_GB2312"/>
                <w:b/>
                <w:color w:val="auto"/>
                <w:kern w:val="0"/>
                <w:sz w:val="24"/>
                <w:lang w:bidi="ar"/>
              </w:rPr>
              <w:t>4.</w:t>
            </w:r>
            <w:r>
              <w:rPr>
                <w:rFonts w:hint="eastAsia" w:ascii="楷体" w:hAnsi="楷体" w:eastAsia="楷体" w:cs="楷体_GB2312"/>
                <w:b/>
                <w:color w:val="auto"/>
                <w:kern w:val="0"/>
                <w:sz w:val="24"/>
                <w:lang w:bidi="ar"/>
              </w:rPr>
              <w:t>全面推行重大执法决定法制审核制度。</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59</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行政执法机关作出重大执法决定前均严格进行法制审核，重大执法决定法制审核制度执行率达100%。</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案卷评查</w:t>
            </w:r>
          </w:p>
        </w:tc>
        <w:tc>
          <w:tcPr>
            <w:tcW w:w="1372" w:type="pct"/>
            <w:noWrap w:val="0"/>
            <w:vAlign w:val="center"/>
          </w:tcPr>
          <w:p>
            <w:pPr>
              <w:pStyle w:val="16"/>
              <w:widowControl/>
              <w:wordWrap w:val="0"/>
              <w:ind w:firstLine="0" w:firstLine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60</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行政执法机关均明确具体负责本单位重大执法决定法制审核的工作机构，原则上负责法制审核的人员不少于本单位执法人员总数的5%。</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spacing w:line="0" w:lineRule="atLeast"/>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请提供本级政府的公安、交通运输、文化旅游、自然资源、生态环境、农业农村、市场监管、城市管理部门法制审核机构和人员配备情况。</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61</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机关根据国家规定和上级机关的统一要求，结合本机关行政执法情况制定重大执法决定法制审核目录清单，清单内容包括但不限于涉及重大公共利益、可能造成重大社会影响或者引发社会风险、直接关系行政相对人或者第三人重大权益、经过听证程序作出行政执法决定以及案件情况疑难复杂涉及多个法律关系的行政执法活动。</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spacing w:line="0" w:lineRule="atLeast"/>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请提供本级政府发展改革、文化旅游、卫生健康、市场监管部门重大执法决定法制审核目录清单。</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spacing w:line="0" w:lineRule="atLeast"/>
              <w:rPr>
                <w:rFonts w:ascii="楷体" w:hAnsi="楷体" w:eastAsia="楷体" w:cs="楷体_GB2312"/>
                <w:b/>
                <w:color w:val="auto"/>
                <w:kern w:val="0"/>
                <w:sz w:val="24"/>
                <w:lang w:bidi="ar"/>
              </w:rPr>
            </w:pPr>
            <w:r>
              <w:rPr>
                <w:rFonts w:ascii="楷体" w:hAnsi="楷体" w:eastAsia="楷体" w:cs="楷体_GB2312"/>
                <w:b/>
                <w:color w:val="auto"/>
                <w:kern w:val="0"/>
                <w:sz w:val="24"/>
                <w:lang w:bidi="ar"/>
              </w:rPr>
              <w:t>5.</w:t>
            </w:r>
            <w:r>
              <w:rPr>
                <w:rFonts w:hint="eastAsia" w:ascii="楷体" w:hAnsi="楷体" w:eastAsia="楷体" w:cs="楷体_GB2312"/>
                <w:b/>
                <w:color w:val="auto"/>
                <w:kern w:val="0"/>
                <w:sz w:val="24"/>
                <w:lang w:bidi="ar"/>
              </w:rPr>
              <w:t>全面落实行政执法责任。</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62</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严格按照权责事项清单分解执法职权、确定执法责任。建立行政执法日常检查监督机制，每年至少组织1次行政执法案卷评查、抽查或者其他形式的检查工作。</w:t>
            </w:r>
          </w:p>
        </w:tc>
        <w:tc>
          <w:tcPr>
            <w:tcW w:w="547" w:type="pct"/>
            <w:vMerge w:val="restart"/>
            <w:noWrap w:val="0"/>
            <w:vAlign w:val="center"/>
          </w:tcPr>
          <w:p>
            <w:pPr>
              <w:widowControl/>
              <w:wordWrap w:val="0"/>
              <w:jc w:val="center"/>
              <w:textAlignment w:val="center"/>
              <w:rPr>
                <w:rFonts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案卷评查</w:t>
            </w:r>
          </w:p>
          <w:p>
            <w:pPr>
              <w:widowControl/>
              <w:spacing w:line="0" w:lineRule="atLeast"/>
              <w:jc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座谈访谈</w:t>
            </w:r>
          </w:p>
        </w:tc>
        <w:tc>
          <w:tcPr>
            <w:tcW w:w="1372" w:type="pct"/>
            <w:vMerge w:val="restart"/>
            <w:noWrap w:val="0"/>
            <w:vAlign w:val="center"/>
          </w:tcPr>
          <w:p>
            <w:pPr>
              <w:pStyle w:val="16"/>
              <w:widowControl/>
              <w:wordWrap w:val="0"/>
              <w:ind w:firstLine="0" w:firstLineChars="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63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严格落实告知制度，依法保障行政相对人陈述、申辩、提出听证申请等权利。行政执法投诉举报、情况通报等制度已经建立，群众举报的违法行为得到及时查处。创建周期内没有发生因违法执法或者执法不当造成恶劣社会影响的情形。</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64</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全面实行行政执法机关内部人员干预、插手案件办理的记录、通报和责任追究制度；健全执法过错纠正和责任追究程序，实行错案责任倒查问责制。</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有关</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46"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sz w:val="24"/>
              </w:rPr>
            </w:pPr>
            <w:r>
              <w:rPr>
                <w:rFonts w:ascii="楷体" w:hAnsi="楷体" w:eastAsia="楷体" w:cs="楷体_GB2312"/>
                <w:b/>
                <w:color w:val="auto"/>
                <w:kern w:val="0"/>
                <w:sz w:val="24"/>
                <w:lang w:bidi="ar"/>
              </w:rPr>
              <w:t xml:space="preserve">6. </w:t>
            </w:r>
            <w:r>
              <w:rPr>
                <w:rFonts w:hint="eastAsia" w:ascii="楷体" w:hAnsi="楷体" w:eastAsia="楷体" w:cs="楷体_GB2312"/>
                <w:b/>
                <w:color w:val="auto"/>
                <w:kern w:val="0"/>
                <w:sz w:val="24"/>
                <w:lang w:bidi="ar"/>
              </w:rPr>
              <w:t>健全</w:t>
            </w:r>
            <w:r>
              <w:rPr>
                <w:rFonts w:ascii="楷体" w:hAnsi="楷体" w:eastAsia="楷体" w:cs="楷体_GB2312"/>
                <w:b/>
                <w:color w:val="auto"/>
                <w:kern w:val="0"/>
                <w:sz w:val="24"/>
                <w:lang w:bidi="ar"/>
              </w:rPr>
              <w:t xml:space="preserve"> </w:t>
            </w:r>
            <w:r>
              <w:rPr>
                <w:rFonts w:hint="eastAsia" w:ascii="楷体" w:hAnsi="楷体" w:eastAsia="楷体" w:cs="楷体_GB2312"/>
                <w:b/>
                <w:color w:val="auto"/>
                <w:kern w:val="0"/>
                <w:sz w:val="24"/>
                <w:lang w:bidi="ar"/>
              </w:rPr>
              <w:t>行政</w:t>
            </w:r>
            <w:r>
              <w:rPr>
                <w:rFonts w:ascii="楷体" w:hAnsi="楷体" w:eastAsia="楷体" w:cs="楷体_GB2312"/>
                <w:b/>
                <w:color w:val="auto"/>
                <w:kern w:val="0"/>
                <w:sz w:val="24"/>
                <w:lang w:bidi="ar"/>
              </w:rPr>
              <w:t xml:space="preserve"> </w:t>
            </w:r>
            <w:r>
              <w:rPr>
                <w:rFonts w:hint="eastAsia" w:ascii="楷体" w:hAnsi="楷体" w:eastAsia="楷体" w:cs="楷体_GB2312"/>
                <w:b/>
                <w:color w:val="auto"/>
                <w:kern w:val="0"/>
                <w:sz w:val="24"/>
                <w:lang w:bidi="ar"/>
              </w:rPr>
              <w:t>执法</w:t>
            </w:r>
            <w:r>
              <w:rPr>
                <w:rFonts w:ascii="楷体" w:hAnsi="楷体" w:eastAsia="楷体" w:cs="楷体_GB2312"/>
                <w:b/>
                <w:color w:val="auto"/>
                <w:kern w:val="0"/>
                <w:sz w:val="24"/>
                <w:lang w:bidi="ar"/>
              </w:rPr>
              <w:t xml:space="preserve"> </w:t>
            </w:r>
            <w:r>
              <w:rPr>
                <w:rFonts w:hint="eastAsia" w:ascii="楷体" w:hAnsi="楷体" w:eastAsia="楷体" w:cs="楷体_GB2312"/>
                <w:b/>
                <w:color w:val="auto"/>
                <w:kern w:val="0"/>
                <w:sz w:val="24"/>
                <w:lang w:bidi="ar"/>
              </w:rPr>
              <w:t>人员</w:t>
            </w:r>
            <w:r>
              <w:rPr>
                <w:rFonts w:ascii="楷体" w:hAnsi="楷体" w:eastAsia="楷体" w:cs="楷体_GB2312"/>
                <w:b/>
                <w:color w:val="auto"/>
                <w:kern w:val="0"/>
                <w:sz w:val="24"/>
                <w:lang w:bidi="ar"/>
              </w:rPr>
              <w:t xml:space="preserve"> </w:t>
            </w:r>
            <w:r>
              <w:rPr>
                <w:rFonts w:hint="eastAsia" w:ascii="楷体" w:hAnsi="楷体" w:eastAsia="楷体" w:cs="楷体_GB2312"/>
                <w:b/>
                <w:color w:val="auto"/>
                <w:kern w:val="0"/>
                <w:sz w:val="24"/>
                <w:lang w:bidi="ar"/>
              </w:rPr>
              <w:t>管理</w:t>
            </w:r>
            <w:r>
              <w:rPr>
                <w:rFonts w:ascii="楷体" w:hAnsi="楷体" w:eastAsia="楷体" w:cs="楷体_GB2312"/>
                <w:b/>
                <w:color w:val="auto"/>
                <w:kern w:val="0"/>
                <w:sz w:val="24"/>
                <w:lang w:bidi="ar"/>
              </w:rPr>
              <w:t xml:space="preserve"> </w:t>
            </w:r>
            <w:r>
              <w:rPr>
                <w:rFonts w:hint="eastAsia" w:ascii="楷体" w:hAnsi="楷体" w:eastAsia="楷体" w:cs="楷体_GB2312"/>
                <w:b/>
                <w:color w:val="auto"/>
                <w:kern w:val="0"/>
                <w:sz w:val="24"/>
                <w:lang w:bidi="ar"/>
              </w:rPr>
              <w:t>制度。</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65</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全面实行行政执法人员持证上岗和资格管理制度。每年开展行政执法人员公共法律知识、专门法律知识、新法律法规等专题培训不少于40学时。行政执法着装管理规范。</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随机抽考</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spacing w:line="0" w:lineRule="atLeast"/>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本级政府市场监管、生态环境、文化旅游、交通运输、农业农村和城市管理部门编制数、实有人员数，以及其中具有行政执法资格的人数、具有法律职业资格（包括通过律师资格、司法考试资格）的人数。</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16"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66</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执法辅助人员管理得到规范，执法辅助人员适用岗位、身份性质、职责权限、权利义务、聘用条件和程序均已明确。</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spacing w:line="0" w:lineRule="atLeast"/>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本地区制定或执行的关于行政执法辅助人员管理的文件。</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6"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67</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本地区党政机关和领导干部支持行政执法机关依法公正行使职权，未出现下达或者变相下达与法律规定冲突的任务指标或者完成时限等情形。</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99"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68</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行政执法经费统一纳入财政预算予以保障，罚缴分离和收支两条线管理制度得到有效贯彻。罚没收入同作出行政处罚的行政执法机关的经费完全脱钩，同作出行政处罚的行政执法人员的考核、考评完全脱钩。</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财政局等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1" w:hRule="atLeast"/>
        </w:trPr>
        <w:tc>
          <w:tcPr>
            <w:tcW w:w="280" w:type="pct"/>
            <w:vMerge w:val="restart"/>
            <w:noWrap w:val="0"/>
            <w:vAlign w:val="center"/>
          </w:tcPr>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五、行政权力制约监督科学有效</w:t>
            </w: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hint="eastAsia" w:ascii="楷体" w:hAnsi="楷体" w:eastAsia="楷体" w:cs="黑体"/>
                <w:b/>
                <w:color w:val="auto"/>
                <w:kern w:val="0"/>
                <w:sz w:val="24"/>
                <w:lang w:bidi="ar"/>
              </w:rPr>
            </w:pPr>
          </w:p>
          <w:p>
            <w:pPr>
              <w:spacing w:line="0" w:lineRule="atLeast"/>
              <w:rPr>
                <w:rFonts w:ascii="楷体" w:hAnsi="楷体" w:eastAsia="楷体" w:cs="黑体"/>
                <w:b/>
                <w:color w:val="auto"/>
                <w:sz w:val="24"/>
              </w:rPr>
            </w:pPr>
            <w:r>
              <w:rPr>
                <w:rFonts w:hint="eastAsia" w:ascii="楷体" w:hAnsi="楷体" w:eastAsia="楷体" w:cs="黑体"/>
                <w:b/>
                <w:color w:val="auto"/>
                <w:kern w:val="0"/>
                <w:sz w:val="24"/>
                <w:lang w:bidi="ar"/>
              </w:rPr>
              <w:t>五、行政权力制约监督科学有效</w:t>
            </w:r>
          </w:p>
        </w:tc>
        <w:tc>
          <w:tcPr>
            <w:tcW w:w="370" w:type="pct"/>
            <w:vMerge w:val="restart"/>
            <w:noWrap w:val="0"/>
            <w:vAlign w:val="center"/>
          </w:tcPr>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ascii="楷体" w:hAnsi="楷体" w:eastAsia="楷体" w:cs="楷体_GB2312"/>
                <w:b/>
                <w:color w:val="auto"/>
                <w:sz w:val="24"/>
              </w:rPr>
            </w:pPr>
          </w:p>
          <w:p>
            <w:pPr>
              <w:spacing w:line="0" w:lineRule="atLeast"/>
              <w:rPr>
                <w:rFonts w:hint="eastAsia" w:ascii="楷体" w:hAnsi="楷体" w:eastAsia="楷体" w:cs="楷体_GB2312"/>
                <w:b/>
                <w:color w:val="auto"/>
                <w:sz w:val="24"/>
              </w:rPr>
            </w:pPr>
            <w:r>
              <w:rPr>
                <w:rFonts w:ascii="楷体" w:hAnsi="楷体" w:eastAsia="楷体" w:cs="楷体_GB2312"/>
                <w:b/>
                <w:color w:val="auto"/>
                <w:sz w:val="24"/>
              </w:rPr>
              <w:t>1.</w:t>
            </w:r>
            <w:r>
              <w:rPr>
                <w:rFonts w:hint="eastAsia" w:ascii="楷体" w:hAnsi="楷体" w:eastAsia="楷体" w:cs="楷体_GB2312"/>
                <w:b/>
                <w:color w:val="auto"/>
                <w:sz w:val="24"/>
              </w:rPr>
              <w:t>自觉接受各类监督。</w:t>
            </w: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hint="eastAsia" w:ascii="楷体" w:hAnsi="楷体" w:eastAsia="楷体" w:cs="楷体_GB2312"/>
                <w:b/>
                <w:color w:val="auto"/>
                <w:sz w:val="24"/>
              </w:rPr>
            </w:pPr>
          </w:p>
          <w:p>
            <w:pPr>
              <w:spacing w:line="0" w:lineRule="atLeast"/>
              <w:rPr>
                <w:rFonts w:ascii="楷体" w:hAnsi="楷体" w:eastAsia="楷体" w:cs="楷体_GB2312"/>
                <w:b/>
                <w:color w:val="auto"/>
                <w:sz w:val="24"/>
              </w:rPr>
            </w:pPr>
            <w:r>
              <w:rPr>
                <w:rFonts w:ascii="楷体" w:hAnsi="楷体" w:eastAsia="楷体" w:cs="楷体_GB2312"/>
                <w:b/>
                <w:color w:val="auto"/>
                <w:sz w:val="24"/>
              </w:rPr>
              <w:t>1.</w:t>
            </w:r>
            <w:r>
              <w:rPr>
                <w:rFonts w:hint="eastAsia" w:ascii="楷体" w:hAnsi="楷体" w:eastAsia="楷体" w:cs="楷体_GB2312"/>
                <w:b/>
                <w:color w:val="auto"/>
                <w:sz w:val="24"/>
              </w:rPr>
              <w:t>自觉接受各类监督。</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69</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坚持将行政权力制约和监督体系纳入党和国家监督体系全局统筹规划，突出党内监督主导地位。自觉接受、配合监察机关开展的监督工作。</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70</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认真研究办理人大及其常委会组成人员对政府工作提出的有关审议意见、人大代表和政协委员提出的意见和建议，办理后满意度达95%以上。</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座谈访谈</w:t>
            </w:r>
          </w:p>
        </w:tc>
        <w:tc>
          <w:tcPr>
            <w:tcW w:w="1372" w:type="pct"/>
            <w:noWrap w:val="0"/>
            <w:vAlign w:val="center"/>
          </w:tcPr>
          <w:p>
            <w:pPr>
              <w:spacing w:line="0" w:lineRule="atLeast"/>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请提供2019年、2020年人大代表、政协委员意见建议办理的情况说明，在网上专栏公开的，附相关网址。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w:t>
            </w:r>
            <w:r>
              <w:rPr>
                <w:rFonts w:hint="eastAsia" w:ascii="仿宋" w:hAnsi="仿宋" w:eastAsia="仿宋" w:cs="仿宋_GB2312"/>
                <w:color w:val="auto"/>
                <w:kern w:val="0"/>
                <w:sz w:val="24"/>
              </w:rPr>
              <w:t>等</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10"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71</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支持人民法院依法受理和审理行政案件，行政机关负责人按规定出庭应诉；对于涉及重大公共利益的案件、社会高度关注的案件、可能引发群体性事件的案件、检察机关提起的行政公益诉讼案件等，被诉行政机关负责人出庭率达100%。行政诉讼败诉率不高于上一年度全国行政诉讼败诉率平均值。</w:t>
            </w:r>
          </w:p>
        </w:tc>
        <w:tc>
          <w:tcPr>
            <w:tcW w:w="547" w:type="pct"/>
            <w:vMerge w:val="restar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实地核验</w:t>
            </w:r>
          </w:p>
        </w:tc>
        <w:tc>
          <w:tcPr>
            <w:tcW w:w="1372"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第71、72项指标，请合并提供下列材料：</w:t>
            </w:r>
          </w:p>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2019年、2020年以本级政府及应急管理、城市管理、交通运输、教育培训部门为被告的行政诉讼的情况说明，包括案件数量、案由、出庭人员，以及一审、二审结果等情况。</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72</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尊重并执行人民法院生效裁判,不存在未履行法院生效裁判的情况。支持配合检察院开展行政诉讼监督、行政公益诉讼，积极主动履行职责或纠正违法行为。及时落实、反馈司法建议、检察建议，按期办复率达100%。</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第71、72项指标，请合并提供下列材料：</w:t>
            </w:r>
          </w:p>
          <w:p>
            <w:pPr>
              <w:widowControl/>
              <w:spacing w:line="0" w:lineRule="atLeast"/>
              <w:rPr>
                <w:rFonts w:hint="eastAsia" w:ascii="仿宋" w:hAnsi="仿宋" w:eastAsia="仿宋" w:cs="仿宋_GB2312"/>
                <w:color w:val="auto"/>
                <w:kern w:val="0"/>
                <w:sz w:val="24"/>
              </w:rPr>
            </w:pPr>
            <w:r>
              <w:rPr>
                <w:rFonts w:hint="eastAsia" w:ascii="仿宋" w:hAnsi="仿宋" w:eastAsia="仿宋" w:cs="仿宋_GB2312"/>
                <w:color w:val="auto"/>
                <w:kern w:val="0"/>
                <w:sz w:val="24"/>
                <w:lang w:bidi="ar"/>
              </w:rPr>
              <w:t>2019年、2020年以本级政府及应急管理、城市管理、交通运输、教育培训部门为被告的行政诉讼的情况说明，包括案件数量、案由、出庭人员，以及一审、二审结果等情况。</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4"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73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对新闻媒体曝光的违法行政问题及时进行调查核实，解释说明，依法作出处理并进行反馈。</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7"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74</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坚持严管和厚爱结合、激励和约束并重，做到依规依纪依法严肃问责、规范问责、精准问责、慎重问责，既避免问责不力，也避免问责泛化、简单化。</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县纪委监委、县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35"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2.</w:t>
            </w:r>
            <w:r>
              <w:rPr>
                <w:rFonts w:hint="eastAsia" w:ascii="楷体" w:hAnsi="楷体" w:eastAsia="楷体" w:cs="楷体_GB2312"/>
                <w:b/>
                <w:color w:val="auto"/>
                <w:kern w:val="0"/>
                <w:sz w:val="24"/>
                <w:lang w:bidi="ar"/>
              </w:rPr>
              <w:t>加强行政监督。</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75</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政府内部权力制约体系形成，审计监督、统计监督、财会监督、执法监督、行政复议等监督机制作用得到积极且有效发挥。对财政资金分配使用、国有资产监管、政府投资、政府采购、公共资源转让、公共工程建设等权力集中的部门和岗位实行分事行权、分岗设权、分级授权，定期轮岗。</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县委组织部、县政府办公室、县审计局、县统计局、县司法局、县财政局、县发改委、县自然资源局、县住建局、县交通运输局等县直有关单位，各乡（镇、街道）、土门办事处、城南新区、江河新区等有关单位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9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hint="eastAsia" w:ascii="楷体" w:hAnsi="楷体" w:eastAsia="楷体" w:cs="楷体_GB2312"/>
                <w:b/>
                <w:color w:val="auto"/>
                <w:kern w:val="0"/>
                <w:sz w:val="24"/>
                <w:lang w:bidi="ar"/>
              </w:rPr>
              <w:t>3</w:t>
            </w:r>
            <w:r>
              <w:rPr>
                <w:rFonts w:ascii="楷体" w:hAnsi="楷体" w:eastAsia="楷体" w:cs="楷体_GB2312"/>
                <w:b/>
                <w:color w:val="auto"/>
                <w:kern w:val="0"/>
                <w:sz w:val="24"/>
                <w:lang w:bidi="ar"/>
              </w:rPr>
              <w:t>.</w:t>
            </w:r>
            <w:r>
              <w:rPr>
                <w:rFonts w:hint="eastAsia" w:ascii="楷体" w:hAnsi="楷体" w:eastAsia="楷体" w:cs="楷体_GB2312"/>
                <w:b/>
                <w:color w:val="auto"/>
                <w:kern w:val="0"/>
                <w:sz w:val="24"/>
                <w:lang w:bidi="ar"/>
              </w:rPr>
              <w:t>全面推进政务公开。</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76</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实行政务公开清单管理制度，并动态更新。对符合法定条件要求的依申请公开政府信息的答复率达100%。</w:t>
            </w:r>
          </w:p>
        </w:tc>
        <w:tc>
          <w:tcPr>
            <w:tcW w:w="547"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网络检索</w:t>
            </w:r>
          </w:p>
          <w:p>
            <w:pPr>
              <w:widowControl/>
              <w:spacing w:line="0" w:lineRule="atLeast"/>
              <w:jc w:val="center"/>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请提供本级政府发布政务公开清单的网址。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7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77</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创建周期内，没有因不履行或者不正确履行政府信息公开法定职责，在行政复议或者行政诉讼中被撤销、确认违法或者责令履行等的情形。</w:t>
            </w:r>
          </w:p>
        </w:tc>
        <w:tc>
          <w:tcPr>
            <w:tcW w:w="547"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材料查证</w:t>
            </w:r>
          </w:p>
          <w:p>
            <w:pPr>
              <w:widowControl/>
              <w:spacing w:line="0" w:lineRule="atLeast"/>
              <w:jc w:val="center"/>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请提供本地区2020年涉及信息公开的行政诉讼案件的情况说明，包括被撤销、确认违法、责令履行等的情况。</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54" w:hRule="atLeast"/>
        </w:trPr>
        <w:tc>
          <w:tcPr>
            <w:tcW w:w="280" w:type="pct"/>
            <w:vMerge w:val="restart"/>
            <w:noWrap w:val="0"/>
            <w:vAlign w:val="center"/>
          </w:tcPr>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六、社会矛盾纠纷依法有效化解</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ascii="楷体" w:hAnsi="楷体" w:eastAsia="楷体" w:cs="黑体"/>
                <w:b/>
                <w:color w:val="auto"/>
                <w:sz w:val="24"/>
              </w:rPr>
            </w:pPr>
            <w:r>
              <w:rPr>
                <w:rFonts w:hint="eastAsia" w:ascii="楷体" w:hAnsi="楷体" w:eastAsia="楷体" w:cs="黑体"/>
                <w:b/>
                <w:color w:val="auto"/>
                <w:kern w:val="0"/>
                <w:sz w:val="24"/>
                <w:lang w:bidi="ar"/>
              </w:rPr>
              <w:t>六、社会矛盾纠纷依法有效化解</w:t>
            </w: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健全依法化解纠纷机制。</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78</w:t>
            </w:r>
          </w:p>
          <w:p>
            <w:pPr>
              <w:widowControl/>
              <w:spacing w:line="0" w:lineRule="atLeast"/>
              <w:jc w:val="center"/>
              <w:textAlignment w:val="center"/>
              <w:rPr>
                <w:rFonts w:hint="eastAsia" w:ascii="仿宋" w:hAnsi="仿宋" w:eastAsia="仿宋" w:cs="仿宋_GB2312"/>
                <w:color w:val="auto"/>
                <w:kern w:val="0"/>
                <w:sz w:val="24"/>
                <w:lang w:bidi="ar"/>
              </w:rPr>
            </w:pP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信访、调解、仲裁、行政裁决、行政复议、诉讼等矛盾纠纷多元预防调处化解综合机制有效运行，绝大多数矛盾纠纷能够通过法定渠道得到解决。人民群众对化解社会矛盾纠纷工作的满意度达到85%以上。</w:t>
            </w:r>
          </w:p>
        </w:tc>
        <w:tc>
          <w:tcPr>
            <w:tcW w:w="547"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网络检索</w:t>
            </w:r>
          </w:p>
          <w:p>
            <w:pPr>
              <w:widowControl/>
              <w:spacing w:line="0" w:lineRule="atLeast"/>
              <w:jc w:val="center"/>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实地核查</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县政府办公室、县司法局、县人社局、县信访局、农业农村局等县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5"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79</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实现乡镇（街道）、村（居）委会人民调解委员会全覆盖。乡镇（街道）人民调解委员会有2名以上专职人民调解员，有条件的村（居）人民调解委员会有1名以上专职人民调解员。人民调解工作经费财政保障落实到位。</w:t>
            </w:r>
          </w:p>
        </w:tc>
        <w:tc>
          <w:tcPr>
            <w:tcW w:w="547"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材料查证</w:t>
            </w:r>
          </w:p>
          <w:p>
            <w:pPr>
              <w:widowControl/>
              <w:spacing w:line="0" w:lineRule="atLeast"/>
              <w:jc w:val="center"/>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实地核验</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请提供本地区乡镇（街道）、村（居）委会中人民调解组织建设的情况说明。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县政法委、县司法局、县财政局等县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07"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spacing w:line="0" w:lineRule="atLeast"/>
              <w:jc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80</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严格落实“谁执法谁普法”普法责任制，普遍实施以案释法制度，在执法实践中深入开展以案释法和警示教育。</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县司法局、县</w:t>
            </w:r>
            <w:r>
              <w:rPr>
                <w:rFonts w:hint="eastAsia" w:ascii="仿宋" w:hAnsi="仿宋" w:eastAsia="仿宋" w:cs="仿宋_GB2312"/>
                <w:color w:val="auto"/>
                <w:kern w:val="0"/>
                <w:sz w:val="24"/>
              </w:rPr>
              <w:t>直</w:t>
            </w:r>
            <w:r>
              <w:rPr>
                <w:rFonts w:hint="eastAsia" w:ascii="仿宋" w:hAnsi="仿宋" w:eastAsia="仿宋" w:cs="仿宋_GB2312"/>
                <w:color w:val="auto"/>
                <w:kern w:val="0"/>
                <w:sz w:val="24"/>
                <w:lang w:eastAsia="zh-CN"/>
              </w:rPr>
              <w:t>各行政执法</w:t>
            </w:r>
            <w:r>
              <w:rPr>
                <w:rFonts w:hint="eastAsia" w:ascii="仿宋" w:hAnsi="仿宋" w:eastAsia="仿宋" w:cs="仿宋_GB2312"/>
                <w:color w:val="auto"/>
                <w:kern w:val="0"/>
                <w:sz w:val="24"/>
              </w:rPr>
              <w:t>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1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restart"/>
            <w:noWrap w:val="0"/>
            <w:vAlign w:val="center"/>
          </w:tcPr>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p>
          <w:p>
            <w:pPr>
              <w:widowControl/>
              <w:spacing w:line="0" w:lineRule="atLeast"/>
              <w:textAlignment w:val="top"/>
              <w:rPr>
                <w:rFonts w:hint="eastAsia" w:ascii="楷体" w:hAnsi="楷体" w:eastAsia="楷体" w:cs="楷体_GB2312"/>
                <w:b/>
                <w:color w:val="auto"/>
                <w:kern w:val="0"/>
                <w:sz w:val="24"/>
                <w:lang w:bidi="ar"/>
              </w:rPr>
            </w:pPr>
            <w:r>
              <w:rPr>
                <w:rFonts w:hint="eastAsia" w:ascii="楷体" w:hAnsi="楷体" w:eastAsia="楷体" w:cs="楷体_GB2312"/>
                <w:b/>
                <w:color w:val="auto"/>
                <w:kern w:val="0"/>
                <w:sz w:val="24"/>
                <w:lang w:bidi="ar"/>
              </w:rPr>
              <w:t>2.加强行政复议工作。</w:t>
            </w: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p>
          <w:p>
            <w:pPr>
              <w:widowControl/>
              <w:spacing w:line="0" w:lineRule="atLeast"/>
              <w:textAlignment w:val="top"/>
              <w:rPr>
                <w:rFonts w:ascii="楷体" w:hAnsi="楷体" w:eastAsia="楷体" w:cs="楷体_GB2312"/>
                <w:b/>
                <w:color w:val="auto"/>
                <w:kern w:val="0"/>
                <w:sz w:val="24"/>
                <w:lang w:bidi="ar"/>
              </w:rPr>
            </w:pPr>
            <w:r>
              <w:rPr>
                <w:rFonts w:ascii="楷体" w:hAnsi="楷体" w:eastAsia="楷体" w:cs="楷体_GB2312"/>
                <w:b/>
                <w:color w:val="auto"/>
                <w:kern w:val="0"/>
                <w:sz w:val="24"/>
                <w:lang w:bidi="ar"/>
              </w:rPr>
              <w:t>2.</w:t>
            </w:r>
            <w:r>
              <w:rPr>
                <w:rFonts w:hint="eastAsia" w:ascii="楷体" w:hAnsi="楷体" w:eastAsia="楷体" w:cs="楷体_GB2312"/>
                <w:b/>
                <w:color w:val="auto"/>
                <w:kern w:val="0"/>
                <w:sz w:val="24"/>
                <w:lang w:bidi="ar"/>
              </w:rPr>
              <w:t>加强行政复议工作。</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81</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行政复议个案监督纠错力度较强，通过制发意见书、约谈、通报等方式增强办案效果，从源头上预防和减少行政争议，行政复议主渠道作用凸显。行政复议决定履行率达100%。</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请上级政府有关部门提供2020年以本级政府为被申请人的行政复议案件的情况，包括具体案件的案由说明、结果、执行情况等内容。</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1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82</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全面深化行政复议体制改革，积极推进行政复议职责有效整合。行政复议机构设置、人员配备与工作任务相适应，行政复议案件办理符合法定程序和时限，审查行政复议案件由2名以上行政复议人员参加。</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材料查证</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请提供本地区推进行政复议体制改革的情况说明。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1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val="en" w:bidi="ar"/>
              </w:rPr>
            </w:pPr>
            <w:r>
              <w:rPr>
                <w:rFonts w:hint="eastAsia" w:ascii="仿宋" w:hAnsi="仿宋" w:eastAsia="仿宋" w:cs="仿宋_GB2312"/>
                <w:color w:val="auto"/>
                <w:kern w:val="0"/>
                <w:sz w:val="24"/>
                <w:lang w:val="en" w:bidi="ar"/>
              </w:rPr>
              <w:t>8</w:t>
            </w:r>
            <w:r>
              <w:rPr>
                <w:rFonts w:hint="eastAsia" w:ascii="仿宋" w:hAnsi="仿宋" w:eastAsia="仿宋" w:cs="仿宋_GB2312"/>
                <w:color w:val="auto"/>
                <w:kern w:val="0"/>
                <w:sz w:val="24"/>
                <w:lang w:bidi="ar"/>
              </w:rPr>
              <w:t>3</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行政复议机关设立行政复议委员会，积极通过调解实现行政争议实质性化解，通过听证、专家咨询等形式公开公正办案。全面运用全国行政复议行政应诉工作平台办理行政复议案件。</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18" w:hRule="atLeast"/>
        </w:trPr>
        <w:tc>
          <w:tcPr>
            <w:tcW w:w="280" w:type="pct"/>
            <w:vMerge w:val="continue"/>
            <w:noWrap w:val="0"/>
            <w:vAlign w:val="center"/>
          </w:tcPr>
          <w:p>
            <w:pPr>
              <w:spacing w:line="0" w:lineRule="atLeast"/>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84</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行政复议登记受理以及办案场所、工作经费、办案设备等保障到位。在政府网站和行政复议接待场所公开受理复议案件的范围、条件、程序等事项，提供行政复议申请书格式样本。全面落实行政复议决定书网上公开制度。</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restart"/>
            <w:noWrap w:val="0"/>
            <w:vAlign w:val="center"/>
          </w:tcPr>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r>
              <w:rPr>
                <w:rFonts w:hint="eastAsia" w:ascii="楷体" w:hAnsi="楷体" w:eastAsia="楷体" w:cs="黑体"/>
                <w:b/>
                <w:color w:val="auto"/>
                <w:kern w:val="0"/>
                <w:sz w:val="24"/>
                <w:lang w:bidi="ar"/>
              </w:rPr>
              <w:t>七、重大突发事件依法预防处置</w:t>
            </w: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sz w:val="24"/>
              </w:rPr>
            </w:pPr>
            <w:r>
              <w:rPr>
                <w:rFonts w:hint="eastAsia" w:ascii="楷体" w:hAnsi="楷体" w:eastAsia="楷体" w:cs="黑体"/>
                <w:b/>
                <w:color w:val="auto"/>
                <w:kern w:val="0"/>
                <w:sz w:val="24"/>
                <w:lang w:bidi="ar"/>
              </w:rPr>
              <w:t>七、重大突发事件依法预防处置</w:t>
            </w:r>
          </w:p>
        </w:tc>
        <w:tc>
          <w:tcPr>
            <w:tcW w:w="370" w:type="pct"/>
            <w:vMerge w:val="restart"/>
            <w:noWrap w:val="0"/>
            <w:vAlign w:val="center"/>
          </w:tcPr>
          <w:p>
            <w:pPr>
              <w:spacing w:line="0" w:lineRule="atLeast"/>
              <w:rPr>
                <w:rFonts w:ascii="楷体" w:hAnsi="楷体" w:eastAsia="楷体" w:cs="楷体_GB2312"/>
                <w:b/>
                <w:color w:val="auto"/>
                <w:kern w:val="0"/>
                <w:sz w:val="24"/>
                <w:lang w:val="en" w:bidi="ar"/>
              </w:rPr>
            </w:pPr>
            <w:r>
              <w:rPr>
                <w:rFonts w:hint="eastAsia" w:ascii="楷体" w:hAnsi="楷体" w:eastAsia="楷体" w:cs="楷体_GB2312"/>
                <w:b/>
                <w:color w:val="auto"/>
                <w:kern w:val="0"/>
                <w:sz w:val="24"/>
                <w:lang w:bidi="ar"/>
              </w:rPr>
              <w:t>1.完善突发事件应对机制制度。</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85</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坚持运用法治思维和法治方式应对突发事件，严格依法实施应对举措。各项突发事件应急处置措施规范适度，符合有关法律规定和比例原则。在收集、使用个人信息时采取必要措施，切实保护公民隐私和个人信息安全。</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座谈访谈</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县应急局、县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hint="eastAsia" w:ascii="楷体" w:hAnsi="楷体" w:eastAsia="楷体" w:cs="黑体"/>
                <w:b/>
                <w:color w:val="auto"/>
                <w:kern w:val="0"/>
                <w:sz w:val="24"/>
                <w:lang w:bidi="ar"/>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86</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各类突发事件应急预案健全，依法分级分类施策，并根据实际需要和情势变化适时修订。突发事件监测预警、信息报告、应急响应、调查评估等机制健全完善。</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_GB2312"/>
                <w:color w:val="auto"/>
                <w:kern w:val="0"/>
                <w:sz w:val="24"/>
                <w:lang w:bidi="ar"/>
              </w:rPr>
              <w:t>请提供本级政府及其有关部门发布应急预案的网址。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县应急局、县直有关单位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hint="eastAsia" w:ascii="楷体" w:hAnsi="楷体" w:eastAsia="楷体" w:cs="黑体"/>
                <w:b/>
                <w:color w:val="auto"/>
                <w:kern w:val="0"/>
                <w:sz w:val="24"/>
                <w:lang w:bidi="ar"/>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87</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在突发事件处置中需要采取必要智能化管理和服务措施的，在应急预案中应考虑不同人群特别是老年人的需要，提供线上线下相结合的应急救援和保障服务。</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县应急局、县直有关单位，各乡（镇、街道）、土门办事处、城南新区、江河新区等有关单位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hint="eastAsia" w:ascii="楷体" w:hAnsi="楷体" w:eastAsia="楷体" w:cs="黑体"/>
                <w:b/>
                <w:color w:val="auto"/>
                <w:kern w:val="0"/>
                <w:sz w:val="24"/>
                <w:lang w:bidi="ar"/>
              </w:rPr>
            </w:pPr>
          </w:p>
        </w:tc>
        <w:tc>
          <w:tcPr>
            <w:tcW w:w="370" w:type="pct"/>
            <w:vMerge w:val="restart"/>
            <w:noWrap w:val="0"/>
            <w:vAlign w:val="center"/>
          </w:tcPr>
          <w:p>
            <w:pPr>
              <w:spacing w:line="0" w:lineRule="atLeast"/>
              <w:rPr>
                <w:rFonts w:hint="eastAsia" w:ascii="楷体" w:hAnsi="楷体" w:eastAsia="楷体" w:cs="楷体_GB2312"/>
                <w:b/>
                <w:color w:val="auto"/>
                <w:kern w:val="0"/>
                <w:sz w:val="24"/>
                <w:lang w:bidi="ar"/>
              </w:rPr>
            </w:pPr>
          </w:p>
          <w:p>
            <w:pPr>
              <w:spacing w:line="0" w:lineRule="atLeast"/>
              <w:rPr>
                <w:rFonts w:hint="eastAsia" w:ascii="楷体" w:hAnsi="楷体" w:eastAsia="楷体" w:cs="楷体_GB2312"/>
                <w:b/>
                <w:color w:val="auto"/>
                <w:kern w:val="0"/>
                <w:sz w:val="24"/>
                <w:lang w:bidi="ar"/>
              </w:rPr>
            </w:pPr>
          </w:p>
          <w:p>
            <w:pPr>
              <w:spacing w:line="0" w:lineRule="atLeast"/>
              <w:rPr>
                <w:rFonts w:hint="eastAsia" w:ascii="楷体" w:hAnsi="楷体" w:eastAsia="楷体" w:cs="楷体_GB2312"/>
                <w:b/>
                <w:color w:val="auto"/>
                <w:kern w:val="0"/>
                <w:sz w:val="24"/>
                <w:lang w:bidi="ar"/>
              </w:rPr>
            </w:pPr>
          </w:p>
          <w:p>
            <w:pPr>
              <w:spacing w:line="0" w:lineRule="atLeast"/>
              <w:rPr>
                <w:rFonts w:hint="eastAsia" w:ascii="楷体" w:hAnsi="楷体" w:eastAsia="楷体" w:cs="楷体_GB2312"/>
                <w:b/>
                <w:color w:val="auto"/>
                <w:kern w:val="0"/>
                <w:sz w:val="24"/>
                <w:lang w:bidi="ar"/>
              </w:rPr>
            </w:pPr>
          </w:p>
          <w:p>
            <w:pPr>
              <w:spacing w:line="0" w:lineRule="atLeast"/>
              <w:rPr>
                <w:rFonts w:hint="eastAsia" w:ascii="楷体" w:hAnsi="楷体" w:eastAsia="楷体" w:cs="楷体_GB2312"/>
                <w:b/>
                <w:color w:val="auto"/>
                <w:kern w:val="0"/>
                <w:sz w:val="24"/>
                <w:lang w:bidi="ar"/>
              </w:rPr>
            </w:pPr>
          </w:p>
          <w:p>
            <w:pPr>
              <w:spacing w:line="0" w:lineRule="atLeast"/>
              <w:rPr>
                <w:rFonts w:hint="eastAsia" w:ascii="楷体" w:hAnsi="楷体" w:eastAsia="楷体" w:cs="楷体_GB2312"/>
                <w:b/>
                <w:color w:val="auto"/>
                <w:kern w:val="0"/>
                <w:sz w:val="24"/>
                <w:lang w:bidi="ar"/>
              </w:rPr>
            </w:pPr>
          </w:p>
          <w:p>
            <w:pPr>
              <w:spacing w:line="0" w:lineRule="atLeast"/>
              <w:rPr>
                <w:rFonts w:hint="eastAsia"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val="en" w:bidi="ar"/>
              </w:rPr>
            </w:pPr>
            <w:r>
              <w:rPr>
                <w:rFonts w:hint="eastAsia" w:ascii="楷体" w:hAnsi="楷体" w:eastAsia="楷体" w:cs="楷体_GB2312"/>
                <w:b/>
                <w:color w:val="auto"/>
                <w:kern w:val="0"/>
                <w:sz w:val="24"/>
                <w:lang w:bidi="ar"/>
              </w:rPr>
              <w:t>2.提高突发事件依法处置能力。</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88</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对本地区容易引发自然灾害、事故灾害和公共卫生事件的危险源、危险区域进行调查、登记、风险评估，定期进行检查、监控，并按照国家规定向社会公布。</w:t>
            </w:r>
          </w:p>
        </w:tc>
        <w:tc>
          <w:tcPr>
            <w:tcW w:w="547" w:type="pct"/>
            <w:vMerge w:val="restart"/>
            <w:noWrap w:val="0"/>
            <w:vAlign w:val="center"/>
          </w:tcPr>
          <w:p>
            <w:pPr>
              <w:widowControl/>
              <w:spacing w:line="0" w:lineRule="atLeast"/>
              <w:jc w:val="center"/>
              <w:rPr>
                <w:rFonts w:hint="eastAsia" w:ascii="仿宋" w:hAnsi="仿宋" w:eastAsia="仿宋" w:cs="仿宋_GB2312"/>
                <w:color w:val="auto"/>
                <w:kern w:val="0"/>
                <w:sz w:val="24"/>
              </w:rPr>
            </w:pPr>
            <w:r>
              <w:rPr>
                <w:rFonts w:hint="eastAsia" w:ascii="仿宋" w:hAnsi="仿宋" w:eastAsia="仿宋" w:cs="仿宋"/>
                <w:color w:val="000000"/>
                <w:spacing w:val="7"/>
                <w:kern w:val="0"/>
                <w:sz w:val="24"/>
              </w:rPr>
              <w:t>材料查证</w:t>
            </w:r>
          </w:p>
        </w:tc>
        <w:tc>
          <w:tcPr>
            <w:tcW w:w="1372" w:type="pct"/>
            <w:vMerge w:val="restart"/>
            <w:noWrap w:val="0"/>
            <w:vAlign w:val="center"/>
          </w:tcPr>
          <w:p>
            <w:pPr>
              <w:widowControl/>
              <w:wordWrap w:val="0"/>
              <w:textAlignment w:val="center"/>
              <w:rPr>
                <w:rFonts w:hint="eastAsia" w:ascii="仿宋" w:hAnsi="仿宋" w:eastAsia="仿宋" w:cs="仿宋"/>
                <w:kern w:val="0"/>
                <w:sz w:val="24"/>
                <w:lang w:bidi="ar"/>
              </w:rPr>
            </w:pPr>
            <w:r>
              <w:rPr>
                <w:rFonts w:hint="eastAsia" w:ascii="仿宋" w:hAnsi="仿宋" w:eastAsia="仿宋" w:cs="仿宋"/>
                <w:kern w:val="0"/>
                <w:sz w:val="24"/>
                <w:lang w:bidi="ar"/>
              </w:rPr>
              <w:t>第88、89、90项指标，请合并提供下列材料：</w:t>
            </w:r>
          </w:p>
          <w:p>
            <w:pPr>
              <w:widowControl/>
              <w:wordWrap w:val="0"/>
              <w:textAlignment w:val="center"/>
              <w:rPr>
                <w:rFonts w:hint="eastAsia" w:ascii="仿宋" w:hAnsi="仿宋" w:eastAsia="仿宋" w:cs="仿宋_GB2312"/>
                <w:color w:val="auto"/>
                <w:kern w:val="0"/>
                <w:sz w:val="24"/>
              </w:rPr>
            </w:pPr>
            <w:r>
              <w:rPr>
                <w:rFonts w:hint="eastAsia" w:ascii="仿宋" w:hAnsi="仿宋" w:eastAsia="仿宋" w:cs="仿宋"/>
                <w:kern w:val="0"/>
                <w:sz w:val="24"/>
                <w:lang w:bidi="ar"/>
              </w:rPr>
              <w:t>2020年以来本级政府及有关部门涉及该三项指标有关工作的情况说明。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县应急局、县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hint="eastAsia" w:ascii="楷体" w:hAnsi="楷体" w:eastAsia="楷体" w:cs="黑体"/>
                <w:b/>
                <w:color w:val="auto"/>
                <w:kern w:val="0"/>
                <w:sz w:val="24"/>
                <w:lang w:bidi="ar"/>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89</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增强风险防范意识，定期开展应急演练，注重提升依法预防突发事件、先期处置和快速反应能力。</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县应急局、县直有关单位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hint="eastAsia" w:ascii="楷体" w:hAnsi="楷体" w:eastAsia="楷体" w:cs="黑体"/>
                <w:b/>
                <w:color w:val="auto"/>
                <w:kern w:val="0"/>
                <w:sz w:val="24"/>
                <w:lang w:bidi="ar"/>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90</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突发事件应对培训制度健全完善，对本级政府及其部门负有处置突发事件职责的工作人员定期进行培训。</w:t>
            </w:r>
          </w:p>
        </w:tc>
        <w:tc>
          <w:tcPr>
            <w:tcW w:w="547"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372" w:type="pct"/>
            <w:vMerge w:val="continue"/>
            <w:noWrap w:val="0"/>
            <w:vAlign w:val="center"/>
          </w:tcPr>
          <w:p>
            <w:pPr>
              <w:widowControl/>
              <w:spacing w:line="0" w:lineRule="atLeast"/>
              <w:rPr>
                <w:rFonts w:hint="eastAsia" w:ascii="仿宋" w:hAnsi="仿宋" w:eastAsia="仿宋" w:cs="仿宋_GB2312"/>
                <w:color w:val="auto"/>
                <w:kern w:val="0"/>
                <w:sz w:val="24"/>
              </w:rPr>
            </w:pP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县应急局、县直有关单位</w:t>
            </w:r>
            <w:r>
              <w:rPr>
                <w:rFonts w:hint="eastAsia" w:ascii="仿宋" w:hAnsi="仿宋" w:eastAsia="仿宋" w:cs="仿宋_GB2312"/>
                <w:color w:val="auto"/>
                <w:kern w:val="0"/>
                <w:sz w:val="24"/>
              </w:rPr>
              <w:t>，</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hint="eastAsia" w:ascii="楷体" w:hAnsi="楷体" w:eastAsia="楷体" w:cs="黑体"/>
                <w:b/>
                <w:color w:val="auto"/>
                <w:kern w:val="0"/>
                <w:sz w:val="24"/>
                <w:lang w:bidi="ar"/>
              </w:rPr>
            </w:pPr>
          </w:p>
        </w:tc>
        <w:tc>
          <w:tcPr>
            <w:tcW w:w="370" w:type="pct"/>
            <w:vMerge w:val="continue"/>
            <w:noWrap w:val="0"/>
            <w:vAlign w:val="center"/>
          </w:tcPr>
          <w:p>
            <w:pPr>
              <w:spacing w:line="0" w:lineRule="atLeast"/>
              <w:rPr>
                <w:rFonts w:ascii="楷体" w:hAnsi="楷体" w:eastAsia="楷体" w:cs="楷体_GB2312"/>
                <w:b/>
                <w:color w:val="auto"/>
                <w:kern w:val="0"/>
                <w:sz w:val="24"/>
                <w:lang w:bidi="ar"/>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91</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加强突发事件信息公开和危机沟通。对涉及特别重大、重大突发事件的政务舆情，最迟在事件发生后5小时内发布权威信息，在24小时内举行新闻发布会，并根据工作进展情况，持续发布权威信息。</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网络检索</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县委宣传部、县委办（网信办）、县政府办公室、县应急局、县直有关单位，各乡（镇、街道）、土门办事处、城南新区、江河新区等有关单位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restart"/>
            <w:noWrap w:val="0"/>
            <w:vAlign w:val="center"/>
          </w:tcPr>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hint="eastAsia" w:ascii="楷体" w:hAnsi="楷体" w:eastAsia="楷体" w:cs="黑体"/>
                <w:b/>
                <w:color w:val="auto"/>
                <w:kern w:val="0"/>
                <w:sz w:val="24"/>
                <w:lang w:bidi="ar"/>
              </w:rPr>
            </w:pPr>
          </w:p>
          <w:p>
            <w:pPr>
              <w:widowControl/>
              <w:spacing w:line="0" w:lineRule="atLeast"/>
              <w:textAlignment w:val="top"/>
              <w:rPr>
                <w:rFonts w:ascii="楷体" w:hAnsi="楷体" w:eastAsia="楷体" w:cs="黑体"/>
                <w:b/>
                <w:color w:val="auto"/>
                <w:sz w:val="24"/>
              </w:rPr>
            </w:pPr>
            <w:r>
              <w:rPr>
                <w:rFonts w:hint="eastAsia" w:ascii="楷体" w:hAnsi="楷体" w:eastAsia="楷体" w:cs="黑体"/>
                <w:b/>
                <w:color w:val="auto"/>
                <w:kern w:val="0"/>
                <w:sz w:val="24"/>
                <w:lang w:bidi="ar"/>
              </w:rPr>
              <w:t>八、政府工作人员法治思维和依法行政能力全面提高</w:t>
            </w:r>
          </w:p>
        </w:tc>
        <w:tc>
          <w:tcPr>
            <w:tcW w:w="370" w:type="pct"/>
            <w:vMerge w:val="restart"/>
            <w:noWrap w:val="0"/>
            <w:vAlign w:val="center"/>
          </w:tcPr>
          <w:p>
            <w:pPr>
              <w:spacing w:line="0" w:lineRule="atLeast"/>
              <w:rPr>
                <w:rFonts w:ascii="楷体" w:hAnsi="楷体" w:eastAsia="楷体" w:cs="楷体_GB2312"/>
                <w:b/>
                <w:color w:val="auto"/>
                <w:sz w:val="24"/>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树立重视法治素养和法治能力用人导向。</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92</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把能不能有效运用法治思维和法治方式深化改革、推动发展、化解矛盾、维护稳定、应对风险作为考察识别干部的重要条件，在相同条件下优先提拔使用法治素养好、依法履职能力强的干部。</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座谈访谈</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县委组织部、县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4" w:hRule="atLeast"/>
        </w:trPr>
        <w:tc>
          <w:tcPr>
            <w:tcW w:w="280" w:type="pct"/>
            <w:vMerge w:val="continue"/>
            <w:noWrap w:val="0"/>
            <w:vAlign w:val="center"/>
          </w:tcPr>
          <w:p>
            <w:pPr>
              <w:widowControl/>
              <w:spacing w:line="0" w:lineRule="atLeast"/>
              <w:textAlignment w:val="top"/>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lang w:val="en"/>
              </w:rPr>
            </w:pPr>
            <w:r>
              <w:rPr>
                <w:rFonts w:hint="eastAsia" w:ascii="仿宋" w:hAnsi="仿宋" w:eastAsia="仿宋" w:cs="仿宋_GB2312"/>
                <w:color w:val="auto"/>
                <w:sz w:val="24"/>
              </w:rPr>
              <w:t>93</w:t>
            </w:r>
          </w:p>
          <w:p>
            <w:pPr>
              <w:widowControl/>
              <w:spacing w:line="0" w:lineRule="atLeast"/>
              <w:jc w:val="center"/>
              <w:textAlignment w:val="center"/>
              <w:rPr>
                <w:rFonts w:hint="eastAsia" w:ascii="仿宋" w:hAnsi="仿宋" w:eastAsia="仿宋" w:cs="仿宋_GB2312"/>
                <w:color w:val="auto"/>
                <w:sz w:val="24"/>
              </w:rPr>
            </w:pP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sz w:val="24"/>
              </w:rPr>
              <w:t>对特权思想严重、法治观念淡薄的干部，及时发现并进行批评教育、督促整改，对问题严重或者违法违纪的干部，依法依纪严肃处理。创建周期内，政府领导班子成员没有因严重违法犯罪受到追究。</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spacing w:line="0" w:lineRule="atLeast"/>
              <w:textAlignment w:val="center"/>
              <w:rPr>
                <w:rFonts w:hint="eastAsia" w:ascii="仿宋" w:hAnsi="仿宋" w:eastAsia="仿宋" w:cs="仿宋_GB2312"/>
                <w:color w:val="auto"/>
                <w:kern w:val="0"/>
                <w:sz w:val="24"/>
                <w:lang w:val="en-US" w:eastAsia="zh-CN" w:bidi="ar"/>
              </w:rPr>
            </w:pPr>
            <w:r>
              <w:rPr>
                <w:rFonts w:hint="eastAsia" w:ascii="仿宋" w:hAnsi="仿宋" w:eastAsia="仿宋" w:cs="仿宋_GB2312"/>
                <w:color w:val="auto"/>
                <w:kern w:val="0"/>
                <w:sz w:val="24"/>
                <w:lang w:bidi="ar"/>
              </w:rPr>
              <w:t>请提供2020年以来，本级政府及其组成部门领导班子成员因严重违纪受到处分、因违法犯罪行为被追究刑事责任的情况说明，包括人员姓名、职务、事由、结果。</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县纪委监委、县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4" w:hRule="atLeast"/>
        </w:trPr>
        <w:tc>
          <w:tcPr>
            <w:tcW w:w="280" w:type="pct"/>
            <w:vMerge w:val="continue"/>
            <w:noWrap w:val="0"/>
            <w:vAlign w:val="center"/>
          </w:tcPr>
          <w:p>
            <w:pPr>
              <w:widowControl/>
              <w:spacing w:line="0" w:lineRule="atLeast"/>
              <w:textAlignment w:val="top"/>
              <w:rPr>
                <w:rFonts w:ascii="楷体" w:hAnsi="楷体" w:eastAsia="楷体" w:cs="黑体"/>
                <w:b/>
                <w:color w:val="auto"/>
                <w:sz w:val="24"/>
              </w:rPr>
            </w:pPr>
          </w:p>
        </w:tc>
        <w:tc>
          <w:tcPr>
            <w:tcW w:w="370" w:type="pct"/>
            <w:vMerge w:val="restart"/>
            <w:noWrap w:val="0"/>
            <w:vAlign w:val="center"/>
          </w:tcPr>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楷体_GB2312"/>
                <w:b/>
                <w:color w:val="auto"/>
                <w:kern w:val="0"/>
                <w:sz w:val="24"/>
                <w:lang w:bidi="ar"/>
              </w:rPr>
            </w:pPr>
          </w:p>
          <w:p>
            <w:pPr>
              <w:spacing w:line="0" w:lineRule="atLeast"/>
              <w:rPr>
                <w:rFonts w:ascii="楷体" w:hAnsi="楷体" w:eastAsia="楷体" w:cs="仿宋_GB2312"/>
                <w:b/>
                <w:color w:val="auto"/>
                <w:sz w:val="24"/>
              </w:rPr>
            </w:pPr>
            <w:r>
              <w:rPr>
                <w:rFonts w:ascii="楷体" w:hAnsi="楷体" w:eastAsia="楷体" w:cs="楷体_GB2312"/>
                <w:b/>
                <w:color w:val="auto"/>
                <w:kern w:val="0"/>
                <w:sz w:val="24"/>
                <w:lang w:bidi="ar"/>
              </w:rPr>
              <w:t>2.</w:t>
            </w:r>
            <w:r>
              <w:rPr>
                <w:rFonts w:ascii="楷体" w:hAnsi="楷体" w:eastAsia="楷体" w:cs="楷体"/>
                <w:b/>
                <w:color w:val="auto"/>
                <w:kern w:val="0"/>
                <w:sz w:val="24"/>
                <w:lang w:bidi="ar"/>
              </w:rPr>
              <w:t>强化对政府工作人员的法治教育培训和考查。</w:t>
            </w:r>
          </w:p>
        </w:tc>
        <w:tc>
          <w:tcPr>
            <w:tcW w:w="248" w:type="pct"/>
            <w:noWrap w:val="0"/>
            <w:vAlign w:val="center"/>
          </w:tcPr>
          <w:p>
            <w:pPr>
              <w:spacing w:line="0" w:lineRule="atLeast"/>
              <w:jc w:val="center"/>
              <w:rPr>
                <w:rFonts w:hint="eastAsia" w:ascii="仿宋" w:hAnsi="仿宋" w:eastAsia="仿宋" w:cs="仿宋_GB2312"/>
                <w:color w:val="auto"/>
                <w:sz w:val="24"/>
                <w:lang w:val="en"/>
              </w:rPr>
            </w:pPr>
            <w:r>
              <w:rPr>
                <w:rFonts w:hint="eastAsia" w:ascii="仿宋" w:hAnsi="仿宋" w:eastAsia="仿宋" w:cs="仿宋_GB2312"/>
                <w:color w:val="auto"/>
                <w:sz w:val="24"/>
              </w:rPr>
              <w:t>94</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深入学习贯彻习近平法治思想，把习近平法治思想、宪法法律列入政府常务会议学习内容，列入本级党校（行政学院）必修课。政府领导班子每年应当举办2期以上法治专题讲座，</w:t>
            </w:r>
            <w:r>
              <w:rPr>
                <w:rStyle w:val="17"/>
                <w:rFonts w:hint="eastAsia" w:ascii="仿宋" w:hAnsi="仿宋" w:eastAsia="仿宋" w:cs="仿宋_GB2312"/>
                <w:color w:val="auto"/>
                <w:lang w:bidi="ar"/>
              </w:rPr>
              <w:t>至少组织开展1次政府及其部门领导班子成员旁听人民法院庭审活动。</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rPr>
            </w:pPr>
            <w:r>
              <w:rPr>
                <w:rFonts w:hint="eastAsia" w:ascii="仿宋" w:hAnsi="仿宋" w:eastAsia="仿宋" w:cs="仿宋"/>
                <w:color w:val="000000"/>
                <w:spacing w:val="7"/>
                <w:kern w:val="0"/>
                <w:sz w:val="24"/>
              </w:rPr>
              <w:t>网络检索</w:t>
            </w:r>
          </w:p>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请提供2020年以来，本级政府开展深入学习贯彻习近平法治思想、学习宪法法律、庭审旁听等工作的情况说明，包括时间、主题、主讲人、参加人员范围等。如有新闻报道，请附网址。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w:t>
            </w:r>
            <w:r>
              <w:rPr>
                <w:rFonts w:hint="eastAsia" w:ascii="仿宋" w:hAnsi="仿宋" w:eastAsia="仿宋" w:cs="仿宋_GB2312"/>
                <w:color w:val="auto"/>
                <w:kern w:val="0"/>
                <w:sz w:val="24"/>
              </w:rPr>
              <w:t>司法局、</w:t>
            </w: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21" w:hRule="atLeast"/>
        </w:trPr>
        <w:tc>
          <w:tcPr>
            <w:tcW w:w="280" w:type="pct"/>
            <w:vMerge w:val="continue"/>
            <w:noWrap w:val="0"/>
            <w:vAlign w:val="center"/>
          </w:tcPr>
          <w:p>
            <w:pPr>
              <w:widowControl/>
              <w:spacing w:line="0" w:lineRule="atLeast"/>
              <w:textAlignment w:val="top"/>
              <w:rPr>
                <w:rFonts w:ascii="楷体" w:hAnsi="楷体" w:eastAsia="楷体" w:cs="黑体"/>
                <w:b/>
                <w:color w:val="auto"/>
                <w:sz w:val="24"/>
              </w:rPr>
            </w:pPr>
          </w:p>
        </w:tc>
        <w:tc>
          <w:tcPr>
            <w:tcW w:w="370" w:type="pct"/>
            <w:vMerge w:val="continue"/>
            <w:noWrap w:val="0"/>
            <w:vAlign w:val="center"/>
          </w:tcPr>
          <w:p>
            <w:pPr>
              <w:spacing w:line="0" w:lineRule="atLeast"/>
              <w:rPr>
                <w:rFonts w:ascii="楷体" w:hAnsi="楷体" w:eastAsia="楷体" w:cs="仿宋_GB2312"/>
                <w:b/>
                <w:color w:val="auto"/>
                <w:sz w:val="24"/>
              </w:rPr>
            </w:pPr>
          </w:p>
        </w:tc>
        <w:tc>
          <w:tcPr>
            <w:tcW w:w="248" w:type="pct"/>
            <w:noWrap w:val="0"/>
            <w:vAlign w:val="center"/>
          </w:tcPr>
          <w:p>
            <w:pPr>
              <w:spacing w:line="0" w:lineRule="atLeast"/>
              <w:jc w:val="center"/>
              <w:rPr>
                <w:rFonts w:hint="eastAsia" w:ascii="仿宋" w:hAnsi="仿宋" w:eastAsia="仿宋" w:cs="仿宋_GB2312"/>
                <w:color w:val="auto"/>
                <w:sz w:val="24"/>
                <w:lang w:val="en"/>
              </w:rPr>
            </w:pPr>
            <w:r>
              <w:rPr>
                <w:rFonts w:hint="eastAsia" w:ascii="仿宋" w:hAnsi="仿宋" w:eastAsia="仿宋" w:cs="仿宋_GB2312"/>
                <w:color w:val="auto"/>
                <w:sz w:val="24"/>
              </w:rPr>
              <w:t>95</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在政府工作人员中普遍开展宪法法律教育，严格落实国家工作人员宪法宣誓制度。将法律知识培训作为公务员初任培训、任职培训的重要内容，将宪法以及与工作密切相关的法律法规纳入培训考试考核内容，将通过法律知识考试作为通过初任培训、任职培训的标准之一。市县政府承担行政执法职能的部门负责人任期内至少接受一次法治专题脱产培训。</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随机抽考</w:t>
            </w:r>
          </w:p>
        </w:tc>
        <w:tc>
          <w:tcPr>
            <w:tcW w:w="1372" w:type="pct"/>
            <w:noWrap w:val="0"/>
            <w:vAlign w:val="center"/>
          </w:tcPr>
          <w:p>
            <w:pPr>
              <w:widowControl/>
              <w:spacing w:line="0" w:lineRule="atLeast"/>
              <w:rPr>
                <w:rFonts w:hint="eastAsia" w:ascii="仿宋" w:hAnsi="仿宋" w:eastAsia="仿宋" w:cs="仿宋_GB2312"/>
                <w:color w:val="auto"/>
                <w:kern w:val="0"/>
                <w:sz w:val="24"/>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县组织部、县司法局等县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restart"/>
            <w:noWrap w:val="0"/>
            <w:vAlign w:val="center"/>
          </w:tcPr>
          <w:p>
            <w:pPr>
              <w:widowControl/>
              <w:spacing w:line="0" w:lineRule="atLeast"/>
              <w:textAlignment w:val="top"/>
              <w:rPr>
                <w:rFonts w:ascii="楷体" w:hAnsi="楷体" w:eastAsia="楷体" w:cs="黑体"/>
                <w:b/>
                <w:color w:val="auto"/>
                <w:sz w:val="24"/>
              </w:rPr>
            </w:pPr>
            <w:r>
              <w:rPr>
                <w:rFonts w:hint="eastAsia" w:ascii="楷体" w:hAnsi="楷体" w:eastAsia="楷体" w:cs="黑体"/>
                <w:b/>
                <w:color w:val="auto"/>
                <w:kern w:val="0"/>
                <w:sz w:val="24"/>
                <w:lang w:bidi="ar"/>
              </w:rPr>
              <w:t>九、法治政府建设组织领导落实到位</w:t>
            </w:r>
          </w:p>
        </w:tc>
        <w:tc>
          <w:tcPr>
            <w:tcW w:w="370" w:type="pct"/>
            <w:vMerge w:val="restart"/>
            <w:noWrap w:val="0"/>
            <w:vAlign w:val="center"/>
          </w:tcPr>
          <w:p>
            <w:pPr>
              <w:widowControl/>
              <w:spacing w:line="0" w:lineRule="atLeast"/>
              <w:textAlignment w:val="top"/>
              <w:rPr>
                <w:rFonts w:ascii="楷体" w:hAnsi="楷体" w:eastAsia="楷体" w:cs="楷体_GB2312"/>
                <w:b/>
                <w:color w:val="auto"/>
                <w:kern w:val="0"/>
                <w:sz w:val="24"/>
                <w:lang w:bidi="ar"/>
              </w:rPr>
            </w:pPr>
            <w:r>
              <w:rPr>
                <w:rFonts w:ascii="楷体" w:hAnsi="楷体" w:eastAsia="楷体" w:cs="楷体_GB2312"/>
                <w:b/>
                <w:color w:val="auto"/>
                <w:kern w:val="0"/>
                <w:sz w:val="24"/>
                <w:lang w:bidi="ar"/>
              </w:rPr>
              <w:t>1.</w:t>
            </w:r>
            <w:r>
              <w:rPr>
                <w:rFonts w:hint="eastAsia" w:ascii="楷体" w:hAnsi="楷体" w:eastAsia="楷体" w:cs="楷体_GB2312"/>
                <w:b/>
                <w:color w:val="auto"/>
                <w:kern w:val="0"/>
                <w:sz w:val="24"/>
                <w:lang w:bidi="ar"/>
              </w:rPr>
              <w:t>加强党对法治政府建设的领导。</w:t>
            </w:r>
          </w:p>
        </w:tc>
        <w:tc>
          <w:tcPr>
            <w:tcW w:w="248" w:type="pct"/>
            <w:noWrap w:val="0"/>
            <w:vAlign w:val="center"/>
          </w:tcPr>
          <w:p>
            <w:pPr>
              <w:spacing w:line="0" w:lineRule="atLeast"/>
              <w:jc w:val="center"/>
              <w:rPr>
                <w:rFonts w:hint="eastAsia" w:ascii="仿宋" w:hAnsi="仿宋" w:eastAsia="仿宋" w:cs="仿宋_GB2312"/>
                <w:color w:val="auto"/>
                <w:kern w:val="0"/>
                <w:sz w:val="24"/>
                <w:lang w:val="en" w:bidi="ar"/>
              </w:rPr>
            </w:pPr>
            <w:r>
              <w:rPr>
                <w:rFonts w:hint="eastAsia" w:ascii="仿宋" w:hAnsi="仿宋" w:eastAsia="仿宋" w:cs="仿宋_GB2312"/>
                <w:color w:val="auto"/>
                <w:sz w:val="24"/>
              </w:rPr>
              <w:t>96</w:t>
            </w:r>
          </w:p>
        </w:tc>
        <w:tc>
          <w:tcPr>
            <w:tcW w:w="1178"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将法治政府建设纳入地区发展总体规划和年度工作计划，党委主要负责人每年召开部署安排法治政府建设年度重点工作的专题会议不少于1次。</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实地核查</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不需提供申报材料。</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县委办公室、县政府办公室、县发改委、县司法局、县直有关单位，各乡（镇、街道）、土门办事处、城南新区、江河新区等有关单位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29" w:hRule="atLeast"/>
        </w:trPr>
        <w:tc>
          <w:tcPr>
            <w:tcW w:w="280" w:type="pct"/>
            <w:vMerge w:val="continue"/>
            <w:noWrap w:val="0"/>
            <w:vAlign w:val="center"/>
          </w:tcPr>
          <w:p>
            <w:pPr>
              <w:widowControl/>
              <w:spacing w:line="0" w:lineRule="atLeast"/>
              <w:textAlignment w:val="top"/>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spacing w:line="0" w:lineRule="atLeast"/>
              <w:jc w:val="center"/>
              <w:rPr>
                <w:rFonts w:hint="eastAsia" w:ascii="仿宋" w:hAnsi="仿宋" w:eastAsia="仿宋" w:cs="仿宋_GB2312"/>
                <w:color w:val="auto"/>
                <w:sz w:val="24"/>
              </w:rPr>
            </w:pPr>
            <w:r>
              <w:rPr>
                <w:rFonts w:hint="eastAsia" w:ascii="仿宋" w:hAnsi="仿宋" w:eastAsia="仿宋" w:cs="仿宋_GB2312"/>
                <w:color w:val="auto"/>
                <w:sz w:val="24"/>
              </w:rPr>
              <w:t>97</w:t>
            </w:r>
          </w:p>
        </w:tc>
        <w:tc>
          <w:tcPr>
            <w:tcW w:w="1178"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每年3月1日前，市县政府向同级党委、人大常委会和上一级政府报告上一年度法治政府建设情况，市县政府部门向本级党委和政府、上一级政府有关部门报告上一年度法治政府建设情况，并在4月1日前通过报刊、政府门户网站等向社会公开。</w:t>
            </w:r>
          </w:p>
        </w:tc>
        <w:tc>
          <w:tcPr>
            <w:tcW w:w="547" w:type="pct"/>
            <w:noWrap w:val="0"/>
            <w:vAlign w:val="center"/>
          </w:tcPr>
          <w:p>
            <w:pPr>
              <w:widowControl/>
              <w:wordWrap w:val="0"/>
              <w:jc w:val="center"/>
              <w:textAlignment w:val="center"/>
              <w:rPr>
                <w:rFonts w:hint="eastAsia" w:ascii="仿宋" w:hAnsi="仿宋" w:eastAsia="仿宋" w:cs="仿宋"/>
                <w:kern w:val="0"/>
                <w:sz w:val="24"/>
                <w:lang w:val="en-US" w:eastAsia="zh-CN" w:bidi="ar"/>
              </w:rPr>
            </w:pPr>
            <w:r>
              <w:rPr>
                <w:rFonts w:hint="eastAsia" w:ascii="仿宋" w:hAnsi="仿宋" w:eastAsia="仿宋" w:cs="仿宋"/>
                <w:kern w:val="0"/>
                <w:sz w:val="24"/>
                <w:lang w:bidi="ar"/>
              </w:rPr>
              <w:t>网络检索</w:t>
            </w:r>
          </w:p>
        </w:tc>
        <w:tc>
          <w:tcPr>
            <w:tcW w:w="1372" w:type="pct"/>
            <w:noWrap w:val="0"/>
            <w:vAlign w:val="center"/>
          </w:tcPr>
          <w:p>
            <w:pPr>
              <w:widowControl/>
              <w:wordWrap w:val="0"/>
              <w:textAlignment w:val="center"/>
              <w:rPr>
                <w:rFonts w:hint="eastAsia" w:ascii="仿宋" w:hAnsi="仿宋" w:eastAsia="仿宋" w:cs="仿宋"/>
                <w:kern w:val="0"/>
                <w:sz w:val="24"/>
                <w:lang w:val="en-US" w:eastAsia="zh-CN" w:bidi="ar"/>
              </w:rPr>
            </w:pPr>
            <w:r>
              <w:rPr>
                <w:rFonts w:hint="eastAsia" w:ascii="仿宋" w:hAnsi="仿宋" w:eastAsia="仿宋" w:cs="仿宋"/>
                <w:kern w:val="0"/>
                <w:sz w:val="24"/>
                <w:lang w:bidi="ar"/>
              </w:rPr>
              <w:t>请提供本级政府及发展改革、财政、民政、科技部门2019年、2020年法治政府建设年度报告及发布网址。</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县政府办公室、县司法局、县政府各部门，各乡（镇、街道）、土门办事处、城南新区、江河新区等有关单位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80" w:type="pct"/>
            <w:vMerge w:val="continue"/>
            <w:noWrap w:val="0"/>
            <w:vAlign w:val="center"/>
          </w:tcPr>
          <w:p>
            <w:pPr>
              <w:widowControl/>
              <w:spacing w:line="0" w:lineRule="atLeast"/>
              <w:textAlignment w:val="top"/>
              <w:rPr>
                <w:rFonts w:ascii="楷体" w:hAnsi="楷体" w:eastAsia="楷体" w:cs="黑体"/>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kern w:val="0"/>
                <w:sz w:val="24"/>
                <w:lang w:bidi="ar"/>
              </w:rPr>
            </w:pPr>
          </w:p>
        </w:tc>
        <w:tc>
          <w:tcPr>
            <w:tcW w:w="248" w:type="pct"/>
            <w:noWrap w:val="0"/>
            <w:vAlign w:val="center"/>
          </w:tcPr>
          <w:p>
            <w:pPr>
              <w:spacing w:line="0" w:lineRule="atLeast"/>
              <w:jc w:val="center"/>
              <w:rPr>
                <w:rFonts w:hint="eastAsia" w:ascii="仿宋" w:hAnsi="仿宋" w:eastAsia="仿宋" w:cs="仿宋_GB2312"/>
                <w:color w:val="auto"/>
                <w:kern w:val="0"/>
                <w:sz w:val="24"/>
                <w:lang w:val="en" w:bidi="ar"/>
              </w:rPr>
            </w:pPr>
            <w:r>
              <w:rPr>
                <w:rFonts w:hint="eastAsia" w:ascii="仿宋" w:hAnsi="仿宋" w:eastAsia="仿宋" w:cs="仿宋_GB2312"/>
                <w:color w:val="auto"/>
                <w:sz w:val="24"/>
              </w:rPr>
              <w:t>98</w:t>
            </w:r>
          </w:p>
        </w:tc>
        <w:tc>
          <w:tcPr>
            <w:tcW w:w="1178" w:type="pct"/>
            <w:noWrap w:val="0"/>
            <w:vAlign w:val="center"/>
          </w:tcPr>
          <w:p>
            <w:pPr>
              <w:spacing w:line="0" w:lineRule="atLeast"/>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党委法治建设议事协调机构的办事机构认真履行推进法治政府建设职责，确保专门工作力量、确保高效规范运转、确保发挥职能作用。</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实地核验</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请提供本级政府党委法治建设议事协调机构的处（科室）名称、编制数和实有人数。设区的市请同时填报所辖区、县的相关情况。</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县委依法治县办、县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4" w:hRule="atLeast"/>
        </w:trPr>
        <w:tc>
          <w:tcPr>
            <w:tcW w:w="28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370" w:type="pct"/>
            <w:vMerge w:val="restart"/>
            <w:noWrap w:val="0"/>
            <w:vAlign w:val="center"/>
          </w:tcPr>
          <w:p>
            <w:pPr>
              <w:widowControl/>
              <w:spacing w:line="0" w:lineRule="atLeast"/>
              <w:textAlignment w:val="top"/>
              <w:rPr>
                <w:rFonts w:ascii="楷体" w:hAnsi="楷体" w:eastAsia="楷体" w:cs="楷体_GB2312"/>
                <w:b/>
                <w:color w:val="auto"/>
                <w:sz w:val="24"/>
              </w:rPr>
            </w:pPr>
            <w:r>
              <w:rPr>
                <w:rFonts w:ascii="楷体" w:hAnsi="楷体" w:eastAsia="楷体" w:cs="楷体_GB2312"/>
                <w:b/>
                <w:color w:val="auto"/>
                <w:kern w:val="0"/>
                <w:sz w:val="24"/>
                <w:lang w:bidi="ar"/>
              </w:rPr>
              <w:t>2.</w:t>
            </w:r>
            <w:r>
              <w:rPr>
                <w:rFonts w:hint="eastAsia" w:ascii="楷体" w:hAnsi="楷体" w:eastAsia="楷体" w:cs="楷体_GB2312"/>
                <w:b/>
                <w:color w:val="auto"/>
                <w:kern w:val="0"/>
                <w:sz w:val="24"/>
                <w:lang w:bidi="ar"/>
              </w:rPr>
              <w:t>强化考核评价和督促落实。</w:t>
            </w:r>
          </w:p>
        </w:tc>
        <w:tc>
          <w:tcPr>
            <w:tcW w:w="248" w:type="pct"/>
            <w:noWrap w:val="0"/>
            <w:vAlign w:val="center"/>
          </w:tcPr>
          <w:p>
            <w:pPr>
              <w:widowControl/>
              <w:spacing w:line="0" w:lineRule="atLeast"/>
              <w:jc w:val="center"/>
              <w:textAlignment w:val="center"/>
              <w:rPr>
                <w:rFonts w:hint="eastAsia" w:ascii="仿宋" w:hAnsi="仿宋" w:eastAsia="仿宋" w:cs="仿宋_GB2312"/>
                <w:color w:val="auto"/>
                <w:kern w:val="0"/>
                <w:sz w:val="24"/>
                <w:lang w:val="en" w:bidi="ar"/>
              </w:rPr>
            </w:pPr>
            <w:r>
              <w:rPr>
                <w:rFonts w:hint="eastAsia" w:ascii="仿宋" w:hAnsi="仿宋" w:eastAsia="仿宋" w:cs="仿宋_GB2312"/>
                <w:color w:val="auto"/>
                <w:sz w:val="24"/>
              </w:rPr>
              <w:t>99</w:t>
            </w:r>
          </w:p>
        </w:tc>
        <w:tc>
          <w:tcPr>
            <w:tcW w:w="1178" w:type="pct"/>
            <w:noWrap w:val="0"/>
            <w:vAlign w:val="center"/>
          </w:tcPr>
          <w:p>
            <w:pPr>
              <w:widowControl/>
              <w:spacing w:line="0" w:lineRule="atLeast"/>
              <w:textAlignment w:val="center"/>
              <w:rPr>
                <w:rFonts w:hint="eastAsia" w:ascii="仿宋" w:hAnsi="仿宋" w:eastAsia="仿宋" w:cs="仿宋_GB2312"/>
                <w:color w:val="auto"/>
                <w:kern w:val="0"/>
                <w:sz w:val="24"/>
                <w:lang w:bidi="ar"/>
              </w:rPr>
            </w:pPr>
            <w:r>
              <w:rPr>
                <w:rFonts w:hint="eastAsia" w:ascii="仿宋" w:hAnsi="仿宋" w:eastAsia="仿宋" w:cs="仿宋_GB2312"/>
                <w:color w:val="auto"/>
                <w:kern w:val="0"/>
                <w:sz w:val="24"/>
                <w:lang w:bidi="ar"/>
              </w:rPr>
              <w:t>党政主要负责人切实履行推进法治建设第一责任人职责，按照有关规定将履行推进法治建设第一责任人职责情况列入年终述职内容。上级党委和政府每年对下级党政主要负责人履行推进法治建设第一责任人职责情况有检查、有督促。</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wordWrap w:val="0"/>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1.请提供本级政府部署将履行推进法治建设第一责任人职责情况列入年终述职内容的情况说明；</w:t>
            </w:r>
          </w:p>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2.请提供2020年以来本级政府开展法治政府建设督察的情况说明。</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县委组织部、县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34" w:hRule="atLeast"/>
        </w:trPr>
        <w:tc>
          <w:tcPr>
            <w:tcW w:w="28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370" w:type="pct"/>
            <w:vMerge w:val="continue"/>
            <w:noWrap w:val="0"/>
            <w:vAlign w:val="center"/>
          </w:tcPr>
          <w:p>
            <w:pPr>
              <w:widowControl/>
              <w:spacing w:line="0" w:lineRule="atLeast"/>
              <w:textAlignment w:val="top"/>
              <w:rPr>
                <w:rFonts w:ascii="楷体" w:hAnsi="楷体" w:eastAsia="楷体" w:cs="楷体_GB2312"/>
                <w:b/>
                <w:color w:val="auto"/>
                <w:sz w:val="24"/>
              </w:rPr>
            </w:pPr>
          </w:p>
        </w:tc>
        <w:tc>
          <w:tcPr>
            <w:tcW w:w="248" w:type="pct"/>
            <w:noWrap w:val="0"/>
            <w:vAlign w:val="center"/>
          </w:tcPr>
          <w:p>
            <w:pPr>
              <w:widowControl/>
              <w:spacing w:line="0" w:lineRule="atLeast"/>
              <w:jc w:val="center"/>
              <w:textAlignment w:val="center"/>
              <w:rPr>
                <w:rFonts w:hint="eastAsia" w:ascii="仿宋" w:hAnsi="仿宋" w:eastAsia="仿宋" w:cs="仿宋_GB2312"/>
                <w:color w:val="auto"/>
                <w:sz w:val="24"/>
              </w:rPr>
            </w:pPr>
            <w:r>
              <w:rPr>
                <w:rFonts w:hint="eastAsia" w:ascii="仿宋" w:hAnsi="仿宋" w:eastAsia="仿宋" w:cs="仿宋_GB2312"/>
                <w:color w:val="auto"/>
                <w:sz w:val="24"/>
              </w:rPr>
              <w:t>100</w:t>
            </w:r>
          </w:p>
        </w:tc>
        <w:tc>
          <w:tcPr>
            <w:tcW w:w="1178" w:type="pct"/>
            <w:noWrap w:val="0"/>
            <w:vAlign w:val="center"/>
          </w:tcPr>
          <w:p>
            <w:pPr>
              <w:widowControl/>
              <w:spacing w:line="0" w:lineRule="atLeast"/>
              <w:textAlignment w:val="center"/>
              <w:rPr>
                <w:rFonts w:hint="eastAsia" w:ascii="仿宋" w:hAnsi="仿宋" w:eastAsia="仿宋" w:cs="仿宋_GB2312"/>
                <w:color w:val="auto"/>
                <w:sz w:val="24"/>
              </w:rPr>
            </w:pPr>
            <w:r>
              <w:rPr>
                <w:rFonts w:hint="eastAsia" w:ascii="仿宋" w:hAnsi="仿宋" w:eastAsia="仿宋" w:cs="仿宋_GB2312"/>
                <w:color w:val="auto"/>
                <w:kern w:val="0"/>
                <w:sz w:val="24"/>
                <w:lang w:bidi="ar"/>
              </w:rPr>
              <w:t>法治建设成效作为衡量各级领导班子和领导干部实绩的重要内容，纳入政绩考核等指标体系。每年对法治政府建设情况开展督察考评，对工作不力、问题较多的单位开展约谈整改。</w:t>
            </w:r>
          </w:p>
        </w:tc>
        <w:tc>
          <w:tcPr>
            <w:tcW w:w="547" w:type="pct"/>
            <w:noWrap w:val="0"/>
            <w:vAlign w:val="center"/>
          </w:tcPr>
          <w:p>
            <w:pPr>
              <w:widowControl/>
              <w:wordWrap w:val="0"/>
              <w:jc w:val="center"/>
              <w:textAlignment w:val="center"/>
              <w:rPr>
                <w:rFonts w:hint="eastAsia" w:ascii="仿宋" w:hAnsi="仿宋" w:eastAsia="仿宋" w:cs="仿宋"/>
                <w:color w:val="000000"/>
                <w:spacing w:val="7"/>
                <w:kern w:val="0"/>
                <w:sz w:val="24"/>
                <w:szCs w:val="24"/>
                <w:lang w:val="en-US" w:eastAsia="zh-CN" w:bidi="ar-SA"/>
              </w:rPr>
            </w:pPr>
            <w:r>
              <w:rPr>
                <w:rFonts w:hint="eastAsia" w:ascii="仿宋" w:hAnsi="仿宋" w:eastAsia="仿宋" w:cs="仿宋"/>
                <w:color w:val="000000"/>
                <w:spacing w:val="7"/>
                <w:kern w:val="0"/>
                <w:sz w:val="24"/>
              </w:rPr>
              <w:t>材料查证</w:t>
            </w:r>
          </w:p>
        </w:tc>
        <w:tc>
          <w:tcPr>
            <w:tcW w:w="1372" w:type="pct"/>
            <w:noWrap w:val="0"/>
            <w:vAlign w:val="center"/>
          </w:tcPr>
          <w:p>
            <w:pPr>
              <w:widowControl/>
              <w:wordWrap w:val="0"/>
              <w:textAlignment w:val="center"/>
              <w:rPr>
                <w:rFonts w:hint="eastAsia" w:ascii="仿宋" w:hAnsi="仿宋" w:eastAsia="仿宋" w:cs="仿宋"/>
                <w:kern w:val="0"/>
                <w:sz w:val="24"/>
                <w:szCs w:val="24"/>
                <w:lang w:val="en-US" w:eastAsia="zh-CN" w:bidi="ar"/>
              </w:rPr>
            </w:pPr>
            <w:r>
              <w:rPr>
                <w:rFonts w:hint="eastAsia" w:ascii="仿宋" w:hAnsi="仿宋" w:eastAsia="仿宋" w:cs="仿宋"/>
                <w:kern w:val="0"/>
                <w:sz w:val="24"/>
                <w:lang w:bidi="ar"/>
              </w:rPr>
              <w:t>请提供2020年法治建设成效在本地区绩效考核指标体系或者经济社会发展综合指标体系等考核体系中的分值权重。（法治建设没有单独列项的可注明各相关项目的分值）</w:t>
            </w:r>
          </w:p>
        </w:tc>
        <w:tc>
          <w:tcPr>
            <w:tcW w:w="1002" w:type="pct"/>
            <w:noWrap w:val="0"/>
            <w:vAlign w:val="center"/>
          </w:tcPr>
          <w:p>
            <w:pPr>
              <w:widowControl/>
              <w:spacing w:line="0" w:lineRule="atLeast"/>
              <w:rPr>
                <w:rFonts w:hint="eastAsia" w:ascii="仿宋" w:hAnsi="仿宋" w:eastAsia="仿宋" w:cs="仿宋_GB2312"/>
                <w:color w:val="auto"/>
                <w:kern w:val="0"/>
                <w:sz w:val="24"/>
                <w:szCs w:val="24"/>
                <w:lang w:val="en-US" w:eastAsia="zh-CN" w:bidi="ar-SA"/>
              </w:rPr>
            </w:pPr>
            <w:r>
              <w:rPr>
                <w:rFonts w:hint="eastAsia" w:ascii="仿宋" w:hAnsi="仿宋" w:eastAsia="仿宋" w:cs="仿宋_GB2312"/>
                <w:color w:val="auto"/>
                <w:kern w:val="0"/>
                <w:sz w:val="24"/>
                <w:lang w:eastAsia="zh-CN"/>
              </w:rPr>
              <w:t>县</w:t>
            </w:r>
            <w:r>
              <w:rPr>
                <w:rFonts w:hint="eastAsia" w:ascii="仿宋" w:hAnsi="仿宋" w:eastAsia="仿宋" w:cs="仿宋_GB2312"/>
                <w:color w:val="auto"/>
                <w:kern w:val="0"/>
                <w:sz w:val="24"/>
              </w:rPr>
              <w:t>直有关单位</w:t>
            </w:r>
            <w:r>
              <w:rPr>
                <w:rFonts w:hint="eastAsia" w:ascii="仿宋" w:hAnsi="仿宋" w:eastAsia="仿宋" w:cs="仿宋_GB2312"/>
                <w:color w:val="auto"/>
                <w:kern w:val="0"/>
                <w:sz w:val="24"/>
                <w:lang w:eastAsia="zh-CN"/>
              </w:rPr>
              <w:t>，各乡（镇、街道）、土门办事处、城南新区、江河新区等有关单位</w:t>
            </w:r>
            <w:r>
              <w:rPr>
                <w:rFonts w:hint="eastAsia" w:ascii="仿宋" w:hAnsi="仿宋" w:eastAsia="仿宋" w:cs="仿宋_GB2312"/>
                <w:color w:val="auto"/>
                <w:kern w:val="0"/>
                <w:sz w:val="24"/>
              </w:rPr>
              <w:t>按职责分工分别负责。</w:t>
            </w:r>
          </w:p>
        </w:tc>
      </w:tr>
    </w:tbl>
    <w:p>
      <w:pPr>
        <w:pStyle w:val="2"/>
        <w:ind w:left="0" w:leftChars="0" w:firstLine="0" w:firstLineChars="0"/>
        <w:rPr>
          <w:rFonts w:hint="eastAsia"/>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sectPr>
          <w:pgSz w:w="16838" w:h="11906" w:orient="landscape"/>
          <w:pgMar w:top="1349" w:right="1270" w:bottom="146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tbl>
      <w:tblPr>
        <w:tblStyle w:val="8"/>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31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310" w:type="dxa"/>
            <w:tcBorders>
              <w:tl2br w:val="nil"/>
              <w:tr2bl w:val="nil"/>
            </w:tcBorders>
          </w:tcPr>
          <w:p>
            <w:pPr>
              <w:pStyle w:val="6"/>
              <w:keepNext w:val="0"/>
              <w:keepLines w:val="0"/>
              <w:widowControl/>
              <w:suppressLineNumbers w:val="0"/>
              <w:spacing w:before="0" w:beforeAutospacing="0" w:after="0" w:afterAutospacing="0"/>
              <w:ind w:right="0"/>
              <w:jc w:val="both"/>
              <w:rPr>
                <w:rFonts w:hint="eastAsia" w:ascii="仿宋_GB2312" w:hAnsi="仿宋_GB2312" w:eastAsia="仿宋_GB2312" w:cs="仿宋_GB2312"/>
                <w:b w:val="0"/>
                <w:bCs w:val="0"/>
                <w:color w:val="auto"/>
                <w:kern w:val="2"/>
                <w:sz w:val="32"/>
                <w:szCs w:val="32"/>
                <w:vertAlign w:val="baseline"/>
                <w:lang w:val="en-US" w:eastAsia="zh-CN" w:bidi="ar-SA"/>
              </w:rPr>
            </w:pPr>
            <w:r>
              <w:rPr>
                <w:rFonts w:hint="default" w:ascii="仿宋_GB2312" w:hAnsi="仿宋_GB2312" w:eastAsia="仿宋_GB2312" w:cs="仿宋_GB2312"/>
                <w:b w:val="0"/>
                <w:i w:val="0"/>
                <w:caps w:val="0"/>
                <w:color w:val="000000"/>
                <w:spacing w:val="0"/>
                <w:w w:val="90"/>
                <w:kern w:val="0"/>
                <w:sz w:val="32"/>
                <w:szCs w:val="32"/>
                <w:shd w:val="clear" w:color="auto" w:fill="FFFFFF"/>
                <w:vertAlign w:val="baseline"/>
                <w:lang w:val="en-US" w:eastAsia="zh-CN" w:bidi="ar"/>
              </w:rPr>
              <w:t>鲁山县法治政府建设领导小组办公室</w:t>
            </w:r>
            <w:r>
              <w:rPr>
                <w:rFonts w:hint="eastAsia" w:ascii="仿宋_GB2312" w:hAnsi="仿宋_GB2312" w:eastAsia="仿宋_GB2312" w:cs="仿宋_GB2312"/>
                <w:b w:val="0"/>
                <w:i w:val="0"/>
                <w:caps w:val="0"/>
                <w:color w:val="000000"/>
                <w:spacing w:val="0"/>
                <w:kern w:val="0"/>
                <w:sz w:val="32"/>
                <w:szCs w:val="32"/>
                <w:shd w:val="clear" w:color="auto" w:fill="FFFFFF"/>
                <w:vertAlign w:val="baseline"/>
                <w:lang w:val="en-US" w:eastAsia="zh-CN" w:bidi="ar"/>
              </w:rPr>
              <w:t xml:space="preserve">           </w:t>
            </w:r>
            <w:r>
              <w:rPr>
                <w:rFonts w:hint="eastAsia" w:ascii="仿宋_GB2312" w:hAnsi="仿宋_GB2312" w:eastAsia="仿宋_GB2312" w:cs="仿宋_GB2312"/>
                <w:b w:val="0"/>
                <w:i w:val="0"/>
                <w:caps w:val="0"/>
                <w:color w:val="000000"/>
                <w:spacing w:val="0"/>
                <w:w w:val="90"/>
                <w:kern w:val="0"/>
                <w:sz w:val="32"/>
                <w:szCs w:val="32"/>
                <w:shd w:val="clear" w:color="auto" w:fill="FFFFFF"/>
                <w:vertAlign w:val="baseline"/>
                <w:lang w:val="en-US" w:eastAsia="zh-CN" w:bidi="ar"/>
              </w:rPr>
              <w:t>2022年3月18日印发</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_GB2312" w:hAnsi="仿宋_GB2312" w:eastAsia="仿宋_GB2312" w:cs="仿宋_GB2312"/>
          <w:b w:val="0"/>
          <w:bCs w:val="0"/>
          <w:color w:val="auto"/>
          <w:kern w:val="2"/>
          <w:sz w:val="32"/>
          <w:szCs w:val="32"/>
          <w:lang w:val="en-US" w:eastAsia="zh-CN" w:bidi="ar-SA"/>
        </w:rPr>
      </w:pPr>
    </w:p>
    <w:sectPr>
      <w:pgSz w:w="11906" w:h="16838"/>
      <w:pgMar w:top="1270" w:right="1463" w:bottom="1440" w:left="1349"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6B81412-0173-48E0-90D6-5459D69EE479}"/>
  </w:font>
  <w:font w:name="Arial">
    <w:panose1 w:val="020B0604020202020204"/>
    <w:charset w:val="01"/>
    <w:family w:val="swiss"/>
    <w:pitch w:val="default"/>
    <w:sig w:usb0="E0002AFF" w:usb1="C0007843" w:usb2="00000009" w:usb3="00000000" w:csb0="400001FF" w:csb1="FFFF0000"/>
    <w:embedRegular r:id="rId2" w:fontKey="{C3889872-BEB2-42B1-8738-8373AA98697C}"/>
  </w:font>
  <w:font w:name="黑体">
    <w:panose1 w:val="02010609060101010101"/>
    <w:charset w:val="86"/>
    <w:family w:val="auto"/>
    <w:pitch w:val="default"/>
    <w:sig w:usb0="800002BF" w:usb1="38CF7CFA" w:usb2="00000016" w:usb3="00000000" w:csb0="00040001" w:csb1="00000000"/>
    <w:embedRegular r:id="rId3" w:fontKey="{9EC907EF-6D57-43DD-AFB8-63D6D87A3939}"/>
  </w:font>
  <w:font w:name="Courier New">
    <w:panose1 w:val="02070309020205020404"/>
    <w:charset w:val="01"/>
    <w:family w:val="modern"/>
    <w:pitch w:val="default"/>
    <w:sig w:usb0="E0002AFF" w:usb1="C0007843" w:usb2="00000009" w:usb3="00000000" w:csb0="400001FF" w:csb1="FFFF0000"/>
    <w:embedRegular r:id="rId4" w:fontKey="{EE9F6A66-4F4F-403B-BC12-9C472C854776}"/>
  </w:font>
  <w:font w:name="Symbol">
    <w:panose1 w:val="05050102010706020507"/>
    <w:charset w:val="02"/>
    <w:family w:val="roman"/>
    <w:pitch w:val="default"/>
    <w:sig w:usb0="00000000" w:usb1="00000000" w:usb2="00000000" w:usb3="00000000" w:csb0="80000000" w:csb1="00000000"/>
    <w:embedRegular r:id="rId5" w:fontKey="{5C7184A4-264E-491C-A682-5F99D1FB7BFE}"/>
  </w:font>
  <w:font w:name="Calibri">
    <w:panose1 w:val="020F0502020204030204"/>
    <w:charset w:val="00"/>
    <w:family w:val="swiss"/>
    <w:pitch w:val="default"/>
    <w:sig w:usb0="E00002FF" w:usb1="4000ACFF" w:usb2="00000001" w:usb3="00000000" w:csb0="2000019F" w:csb1="00000000"/>
    <w:embedRegular r:id="rId6" w:fontKey="{F11A4F75-A970-424B-86D3-2C0927CA8A68}"/>
  </w:font>
  <w:font w:name="??">
    <w:altName w:val="Segoe Print"/>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7" w:fontKey="{892E159B-0D46-4626-B7AA-500034353940}"/>
  </w:font>
  <w:font w:name="仿宋">
    <w:panose1 w:val="02010609060101010101"/>
    <w:charset w:val="86"/>
    <w:family w:val="modern"/>
    <w:pitch w:val="default"/>
    <w:sig w:usb0="800002BF" w:usb1="38CF7CFA" w:usb2="00000016" w:usb3="00000000" w:csb0="00040001" w:csb1="00000000"/>
    <w:embedRegular r:id="rId8" w:fontKey="{A067AE94-5BBC-4ED8-BC2C-6BA3382FAB29}"/>
  </w:font>
  <w:font w:name="方正小标宋简体">
    <w:panose1 w:val="03000509000000000000"/>
    <w:charset w:val="86"/>
    <w:family w:val="script"/>
    <w:pitch w:val="default"/>
    <w:sig w:usb0="00000001" w:usb1="080E0000" w:usb2="00000000" w:usb3="00000000" w:csb0="00040000" w:csb1="00000000"/>
    <w:embedRegular r:id="rId9" w:fontKey="{85B2B794-1005-4EDD-A1AC-129BF1BFBD34}"/>
  </w:font>
  <w:font w:name="方正小标宋_GBK">
    <w:panose1 w:val="03000509000000000000"/>
    <w:charset w:val="86"/>
    <w:family w:val="script"/>
    <w:pitch w:val="default"/>
    <w:sig w:usb0="00000001" w:usb1="080E0000" w:usb2="00000000" w:usb3="00000000" w:csb0="00040000" w:csb1="00000000"/>
    <w:embedRegular r:id="rId10" w:fontKey="{AD2DDD49-A880-4C8E-9E16-7884ACA84978}"/>
  </w:font>
  <w:font w:name="楷体">
    <w:panose1 w:val="02010609060101010101"/>
    <w:charset w:val="86"/>
    <w:family w:val="auto"/>
    <w:pitch w:val="default"/>
    <w:sig w:usb0="800002BF" w:usb1="38CF7CFA" w:usb2="00000016" w:usb3="00000000" w:csb0="00040001" w:csb1="00000000"/>
    <w:embedRegular r:id="rId11" w:fontKey="{5412759D-B5E3-46FE-AFCA-A8B46220537D}"/>
  </w:font>
  <w:font w:name="楷体_GB2312">
    <w:altName w:val="楷体"/>
    <w:panose1 w:val="02010609030101010101"/>
    <w:charset w:val="86"/>
    <w:family w:val="modern"/>
    <w:pitch w:val="default"/>
    <w:sig w:usb0="00000000" w:usb1="00000000" w:usb2="00000000" w:usb3="00000000" w:csb0="00040000" w:csb1="00000000"/>
    <w:embedRegular r:id="rId12" w:fontKey="{CC049EDF-2CB4-425E-ABD5-C4012FA92058}"/>
  </w:font>
  <w:font w:name="Segoe Print">
    <w:panose1 w:val="02000600000000000000"/>
    <w:charset w:val="00"/>
    <w:family w:val="auto"/>
    <w:pitch w:val="default"/>
    <w:sig w:usb0="0000028F" w:usb1="00000000" w:usb2="00000000" w:usb3="00000000" w:csb0="2000009F" w:csb1="47010000"/>
    <w:embedRegular r:id="rId13" w:fontKey="{4A4080E2-0676-48FE-BD5F-CB70421CB3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7AAA00"/>
    <w:multiLevelType w:val="singleLevel"/>
    <w:tmpl w:val="9F7AAA00"/>
    <w:lvl w:ilvl="0" w:tentative="0">
      <w:start w:val="1"/>
      <w:numFmt w:val="chineseCounting"/>
      <w:suff w:val="nothing"/>
      <w:lvlText w:val="%1、"/>
      <w:lvlJc w:val="left"/>
      <w:rPr>
        <w:rFonts w:hint="eastAsia"/>
      </w:rPr>
    </w:lvl>
  </w:abstractNum>
  <w:abstractNum w:abstractNumId="1">
    <w:nsid w:val="B7BE1857"/>
    <w:multiLevelType w:val="singleLevel"/>
    <w:tmpl w:val="B7BE1857"/>
    <w:lvl w:ilvl="0" w:tentative="0">
      <w:start w:val="1"/>
      <w:numFmt w:val="chineseCounting"/>
      <w:suff w:val="nothing"/>
      <w:lvlText w:val="%1、"/>
      <w:lvlJc w:val="left"/>
      <w:rPr>
        <w:rFonts w:hint="eastAsia"/>
      </w:rPr>
    </w:lvl>
  </w:abstractNum>
  <w:abstractNum w:abstractNumId="2">
    <w:nsid w:val="BD11DB70"/>
    <w:multiLevelType w:val="singleLevel"/>
    <w:tmpl w:val="BD11DB70"/>
    <w:lvl w:ilvl="0" w:tentative="0">
      <w:start w:val="1"/>
      <w:numFmt w:val="chineseCounting"/>
      <w:suff w:val="nothing"/>
      <w:lvlText w:val="（%1）"/>
      <w:lvlJc w:val="left"/>
      <w:rPr>
        <w:rFonts w:hint="eastAsia"/>
      </w:rPr>
    </w:lvl>
  </w:abstractNum>
  <w:abstractNum w:abstractNumId="3">
    <w:nsid w:val="1F521BBE"/>
    <w:multiLevelType w:val="singleLevel"/>
    <w:tmpl w:val="1F521BBE"/>
    <w:lvl w:ilvl="0" w:tentative="0">
      <w:start w:val="2"/>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96B18"/>
    <w:rsid w:val="0155656C"/>
    <w:rsid w:val="017E63B3"/>
    <w:rsid w:val="021358C1"/>
    <w:rsid w:val="029A7D90"/>
    <w:rsid w:val="06C86CD5"/>
    <w:rsid w:val="06D05553"/>
    <w:rsid w:val="08065580"/>
    <w:rsid w:val="0842511D"/>
    <w:rsid w:val="09146C53"/>
    <w:rsid w:val="09396643"/>
    <w:rsid w:val="0BED0F30"/>
    <w:rsid w:val="0C4D2117"/>
    <w:rsid w:val="0C544288"/>
    <w:rsid w:val="0CDF70FC"/>
    <w:rsid w:val="0D2918F5"/>
    <w:rsid w:val="0D423292"/>
    <w:rsid w:val="0D7A491E"/>
    <w:rsid w:val="0E6B438E"/>
    <w:rsid w:val="0EB83A78"/>
    <w:rsid w:val="0ECF491D"/>
    <w:rsid w:val="0ECF5396"/>
    <w:rsid w:val="0FC71A98"/>
    <w:rsid w:val="1158509E"/>
    <w:rsid w:val="123840C4"/>
    <w:rsid w:val="12906AB9"/>
    <w:rsid w:val="12E0534B"/>
    <w:rsid w:val="13367661"/>
    <w:rsid w:val="134A6C68"/>
    <w:rsid w:val="14AD1590"/>
    <w:rsid w:val="14CB44CC"/>
    <w:rsid w:val="15520875"/>
    <w:rsid w:val="15725BC9"/>
    <w:rsid w:val="16BD154C"/>
    <w:rsid w:val="1A743EC3"/>
    <w:rsid w:val="1B874E89"/>
    <w:rsid w:val="1C147661"/>
    <w:rsid w:val="1C683995"/>
    <w:rsid w:val="1D76522A"/>
    <w:rsid w:val="1D77006C"/>
    <w:rsid w:val="1D84721B"/>
    <w:rsid w:val="1D8E1F41"/>
    <w:rsid w:val="1DD870C9"/>
    <w:rsid w:val="1EBD624F"/>
    <w:rsid w:val="1F421477"/>
    <w:rsid w:val="1F7C63FB"/>
    <w:rsid w:val="20280539"/>
    <w:rsid w:val="20353CF4"/>
    <w:rsid w:val="21887584"/>
    <w:rsid w:val="21D818E3"/>
    <w:rsid w:val="222E4A33"/>
    <w:rsid w:val="225C75EA"/>
    <w:rsid w:val="227930C6"/>
    <w:rsid w:val="229B7428"/>
    <w:rsid w:val="23ED5B1A"/>
    <w:rsid w:val="24362379"/>
    <w:rsid w:val="25F108D2"/>
    <w:rsid w:val="26057036"/>
    <w:rsid w:val="28F17E5A"/>
    <w:rsid w:val="2AB20A53"/>
    <w:rsid w:val="2BF76147"/>
    <w:rsid w:val="2C131E96"/>
    <w:rsid w:val="2C1874AC"/>
    <w:rsid w:val="2C576226"/>
    <w:rsid w:val="2C7B06C4"/>
    <w:rsid w:val="2CD5058E"/>
    <w:rsid w:val="2D1D14DE"/>
    <w:rsid w:val="2E8E0E31"/>
    <w:rsid w:val="2F4B1946"/>
    <w:rsid w:val="306678CB"/>
    <w:rsid w:val="33370B5F"/>
    <w:rsid w:val="33577981"/>
    <w:rsid w:val="339567BE"/>
    <w:rsid w:val="33E12879"/>
    <w:rsid w:val="35AD6EB7"/>
    <w:rsid w:val="366539A2"/>
    <w:rsid w:val="366B4A73"/>
    <w:rsid w:val="38041602"/>
    <w:rsid w:val="38C06F01"/>
    <w:rsid w:val="38DA238F"/>
    <w:rsid w:val="3A460515"/>
    <w:rsid w:val="3A8C79E3"/>
    <w:rsid w:val="3BD83ED8"/>
    <w:rsid w:val="3C1A7270"/>
    <w:rsid w:val="3CA84A33"/>
    <w:rsid w:val="3D51281E"/>
    <w:rsid w:val="3D546A5D"/>
    <w:rsid w:val="3D942CFC"/>
    <w:rsid w:val="3E1529E5"/>
    <w:rsid w:val="3E371A14"/>
    <w:rsid w:val="3FA7706D"/>
    <w:rsid w:val="407E6BEC"/>
    <w:rsid w:val="40BE4663"/>
    <w:rsid w:val="40C70113"/>
    <w:rsid w:val="41362456"/>
    <w:rsid w:val="417317DA"/>
    <w:rsid w:val="418073C7"/>
    <w:rsid w:val="418238EE"/>
    <w:rsid w:val="41BB75FC"/>
    <w:rsid w:val="424857F7"/>
    <w:rsid w:val="424D2410"/>
    <w:rsid w:val="42734FE4"/>
    <w:rsid w:val="44A125ED"/>
    <w:rsid w:val="44A65BEB"/>
    <w:rsid w:val="44BD176A"/>
    <w:rsid w:val="45795008"/>
    <w:rsid w:val="45C229EF"/>
    <w:rsid w:val="46AB721F"/>
    <w:rsid w:val="48BF2D31"/>
    <w:rsid w:val="49265796"/>
    <w:rsid w:val="4A9C0CEE"/>
    <w:rsid w:val="4BF02492"/>
    <w:rsid w:val="4D9C7768"/>
    <w:rsid w:val="4EE27864"/>
    <w:rsid w:val="4F633C52"/>
    <w:rsid w:val="4FD86DCF"/>
    <w:rsid w:val="504A7CCC"/>
    <w:rsid w:val="505E5526"/>
    <w:rsid w:val="50E83F14"/>
    <w:rsid w:val="511C5AD0"/>
    <w:rsid w:val="519F1952"/>
    <w:rsid w:val="5233653E"/>
    <w:rsid w:val="53162517"/>
    <w:rsid w:val="54A208B6"/>
    <w:rsid w:val="56B45E9F"/>
    <w:rsid w:val="570C6471"/>
    <w:rsid w:val="5743735C"/>
    <w:rsid w:val="58267243"/>
    <w:rsid w:val="598F5A36"/>
    <w:rsid w:val="5B0B7B3A"/>
    <w:rsid w:val="5B5C4D58"/>
    <w:rsid w:val="5B5C6B06"/>
    <w:rsid w:val="5DAB78D0"/>
    <w:rsid w:val="60A70C43"/>
    <w:rsid w:val="60AE7E03"/>
    <w:rsid w:val="60C34F31"/>
    <w:rsid w:val="64D8544F"/>
    <w:rsid w:val="65BE73F6"/>
    <w:rsid w:val="6716791C"/>
    <w:rsid w:val="67582877"/>
    <w:rsid w:val="67BF615D"/>
    <w:rsid w:val="6955754C"/>
    <w:rsid w:val="6976327C"/>
    <w:rsid w:val="6CFE3C2E"/>
    <w:rsid w:val="6DCE5641"/>
    <w:rsid w:val="6E2532D2"/>
    <w:rsid w:val="6EFC1D3A"/>
    <w:rsid w:val="713F20E3"/>
    <w:rsid w:val="71745370"/>
    <w:rsid w:val="73EE4B92"/>
    <w:rsid w:val="766C008D"/>
    <w:rsid w:val="77021AE9"/>
    <w:rsid w:val="78FF4906"/>
    <w:rsid w:val="7A172335"/>
    <w:rsid w:val="7A5275FA"/>
    <w:rsid w:val="7A8D0632"/>
    <w:rsid w:val="7AE73CD4"/>
    <w:rsid w:val="7B3E5C49"/>
    <w:rsid w:val="7B9D008B"/>
    <w:rsid w:val="7C016BE2"/>
    <w:rsid w:val="7C0E407C"/>
    <w:rsid w:val="7C0F2FD1"/>
    <w:rsid w:val="7CC84BE3"/>
    <w:rsid w:val="7CFF57D6"/>
    <w:rsid w:val="7D6E64F9"/>
    <w:rsid w:val="7E8B1A1E"/>
    <w:rsid w:val="7E977CD1"/>
    <w:rsid w:val="7F053A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9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3"/>
    <w:basedOn w:val="1"/>
    <w:next w:val="1"/>
    <w:semiHidden/>
    <w:qFormat/>
    <w:uiPriority w:val="99"/>
    <w:pPr>
      <w:ind w:left="420"/>
    </w:pPr>
    <w:rPr>
      <w:rFonts w:ascii="??" w:hAnsi="??" w:cs="??"/>
      <w:b/>
      <w:bCs/>
      <w:sz w:val="30"/>
      <w:szCs w:val="30"/>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pPr>
      <w:spacing w:before="100" w:beforeAutospacing="1" w:line="0" w:lineRule="atLeast"/>
      <w:jc w:val="left"/>
    </w:p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page number"/>
    <w:basedOn w:val="9"/>
    <w:qFormat/>
    <w:uiPriority w:val="0"/>
  </w:style>
  <w:style w:type="paragraph" w:customStyle="1" w:styleId="12">
    <w:name w:val="Body text|2"/>
    <w:basedOn w:val="1"/>
    <w:qFormat/>
    <w:uiPriority w:val="0"/>
    <w:pPr>
      <w:widowControl w:val="0"/>
      <w:adjustRightInd/>
      <w:snapToGrid/>
      <w:spacing w:after="0" w:line="583" w:lineRule="exact"/>
      <w:ind w:firstLine="650"/>
      <w:jc w:val="both"/>
    </w:pPr>
    <w:rPr>
      <w:rFonts w:ascii="宋体" w:hAnsi="宋体" w:eastAsia="宋体" w:cs="宋体"/>
      <w:kern w:val="2"/>
      <w:sz w:val="32"/>
      <w:szCs w:val="32"/>
      <w:lang w:val="zh-TW" w:eastAsia="zh-TW" w:bidi="zh-TW"/>
    </w:rPr>
  </w:style>
  <w:style w:type="paragraph" w:customStyle="1" w:styleId="13">
    <w:name w:val="Body text|1"/>
    <w:basedOn w:val="1"/>
    <w:qFormat/>
    <w:uiPriority w:val="0"/>
    <w:pPr>
      <w:widowControl w:val="0"/>
      <w:adjustRightInd/>
      <w:snapToGrid/>
      <w:spacing w:after="0" w:line="439" w:lineRule="auto"/>
      <w:ind w:firstLine="400"/>
      <w:jc w:val="both"/>
    </w:pPr>
    <w:rPr>
      <w:rFonts w:ascii="宋体" w:hAnsi="宋体" w:eastAsia="宋体" w:cs="宋体"/>
      <w:kern w:val="2"/>
      <w:sz w:val="28"/>
      <w:szCs w:val="28"/>
      <w:lang w:val="zh-TW" w:eastAsia="zh-TW" w:bidi="zh-TW"/>
    </w:rPr>
  </w:style>
  <w:style w:type="character" w:customStyle="1" w:styleId="14">
    <w:name w:val="font51"/>
    <w:basedOn w:val="9"/>
    <w:qFormat/>
    <w:uiPriority w:val="0"/>
    <w:rPr>
      <w:rFonts w:ascii="黑体" w:eastAsia="黑体" w:cs="黑体"/>
      <w:color w:val="000000"/>
      <w:sz w:val="24"/>
      <w:szCs w:val="24"/>
      <w:u w:val="none"/>
    </w:rPr>
  </w:style>
  <w:style w:type="character" w:customStyle="1" w:styleId="15">
    <w:name w:val="font11"/>
    <w:basedOn w:val="9"/>
    <w:qFormat/>
    <w:uiPriority w:val="0"/>
    <w:rPr>
      <w:rFonts w:ascii="仿宋_GB2312" w:eastAsia="仿宋_GB2312" w:cs="仿宋_GB2312"/>
      <w:b/>
      <w:color w:val="000000"/>
      <w:sz w:val="24"/>
      <w:szCs w:val="24"/>
      <w:u w:val="none"/>
    </w:rPr>
  </w:style>
  <w:style w:type="paragraph" w:styleId="16">
    <w:name w:val="List Paragraph"/>
    <w:basedOn w:val="1"/>
    <w:qFormat/>
    <w:uiPriority w:val="34"/>
    <w:pPr>
      <w:ind w:firstLine="420" w:firstLineChars="200"/>
    </w:pPr>
  </w:style>
  <w:style w:type="character" w:customStyle="1" w:styleId="17">
    <w:name w:val="font31"/>
    <w:basedOn w:val="9"/>
    <w:qFormat/>
    <w:uiPriority w:val="0"/>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21892</Words>
  <Characters>22338</Characters>
  <Lines>0</Lines>
  <Paragraphs>0</Paragraphs>
  <TotalTime>15</TotalTime>
  <ScaleCrop>false</ScaleCrop>
  <LinksUpToDate>false</LinksUpToDate>
  <CharactersWithSpaces>22400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2022-03-12T23:53:00Z</dcterms:created>
  <dc:creator>Administrator</dc:creator>
  <cp:lastModifiedBy>大罗</cp:lastModifiedBy>
  <cp:lastPrinted>2022-03-24T02:44:03Z</cp:lastPrinted>
  <dcterms:modified xsi:type="dcterms:W3CDTF">2022-03-24T02:44:55Z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8D6EEA893F2344DDAE74BEF44EEDA879</vt:lpwstr>
  </property>
  <property fmtid="{D5CDD505-2E9C-101B-9397-08002B2CF9AE}" pid="4" name="KSOSaveFontToCloudKey">
    <vt:lpwstr>393655653_embed</vt:lpwstr>
  </property>
</Properties>
</file>