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宋体"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jc w:val="center"/>
        <w:textAlignment w:val="auto"/>
        <w:outlineLvl w:val="9"/>
        <w:rPr>
          <w:rFonts w:hint="eastAsia" w:ascii="方正小标宋_GBK" w:hAnsi="宋体" w:eastAsia="方正小标宋_GBK"/>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195" w:firstLineChars="36"/>
        <w:jc w:val="center"/>
        <w:textAlignment w:val="auto"/>
        <w:outlineLvl w:val="9"/>
        <w:rPr>
          <w:rFonts w:hint="eastAsia" w:ascii="仿宋_GB2312" w:hAnsi="方正小标宋简体" w:eastAsia="仿宋_GB2312"/>
          <w:sz w:val="32"/>
          <w:szCs w:val="32"/>
        </w:rPr>
      </w:pPr>
      <w:r>
        <w:rPr>
          <w:rFonts w:hint="eastAsia" w:ascii="楷体_GB2312" w:hAnsi="宋体" w:eastAsia="楷体_GB2312"/>
          <w:b/>
          <w:w w:val="75"/>
          <w:sz w:val="72"/>
          <w:szCs w:val="72"/>
        </w:rPr>
        <w:t xml:space="preserve">                        </w:t>
      </w:r>
      <w:r>
        <w:rPr>
          <w:rFonts w:hint="eastAsia" w:ascii="楷体_GB2312" w:hAnsi="方正小标宋简体" w:eastAsia="楷体_GB2312"/>
          <w:sz w:val="52"/>
          <w:szCs w:val="52"/>
        </w:rPr>
        <w:t xml:space="preserve">                         </w:t>
      </w:r>
    </w:p>
    <w:p>
      <w:pPr>
        <w:keepNext w:val="0"/>
        <w:keepLines w:val="0"/>
        <w:pageBreakBefore w:val="0"/>
        <w:widowControl/>
        <w:tabs>
          <w:tab w:val="left" w:pos="5760"/>
        </w:tabs>
        <w:kinsoku/>
        <w:wordWrap/>
        <w:overflowPunct/>
        <w:topLinePunct w:val="0"/>
        <w:autoSpaceDE/>
        <w:autoSpaceDN/>
        <w:bidi w:val="0"/>
        <w:adjustRightInd/>
        <w:spacing w:before="234" w:beforeLines="75" w:beforeAutospacing="0" w:line="600" w:lineRule="exact"/>
        <w:ind w:right="0" w:rightChars="0"/>
        <w:jc w:val="center"/>
        <w:textAlignment w:val="auto"/>
        <w:outlineLvl w:val="9"/>
        <w:rPr>
          <w:rFonts w:ascii="仿宋_GB2312" w:hAnsi="Verdana" w:eastAsia="仿宋_GB2312" w:cs="宋体"/>
          <w:kern w:val="0"/>
          <w:sz w:val="32"/>
          <w:szCs w:val="32"/>
        </w:rPr>
      </w:pPr>
      <w:r>
        <w:rPr>
          <w:rFonts w:hint="eastAsia" w:ascii="仿宋_GB2312" w:hAnsi="Verdana" w:eastAsia="仿宋_GB2312" w:cs="宋体"/>
          <w:kern w:val="0"/>
          <w:sz w:val="32"/>
          <w:szCs w:val="32"/>
        </w:rPr>
        <w:t>鲁</w:t>
      </w:r>
      <w:r>
        <w:rPr>
          <w:rFonts w:hint="eastAsia" w:ascii="仿宋_GB2312" w:hAnsi="Verdana" w:eastAsia="仿宋_GB2312" w:cs="宋体"/>
          <w:kern w:val="0"/>
          <w:sz w:val="32"/>
          <w:szCs w:val="32"/>
          <w:lang w:eastAsia="zh-CN"/>
        </w:rPr>
        <w:t>法政</w:t>
      </w:r>
      <w:r>
        <w:rPr>
          <w:rFonts w:hint="eastAsia" w:ascii="仿宋_GB2312" w:hAnsi="Verdana" w:eastAsia="仿宋_GB2312" w:cs="宋体"/>
          <w:kern w:val="0"/>
          <w:sz w:val="32"/>
          <w:szCs w:val="32"/>
        </w:rPr>
        <w:t>〔</w:t>
      </w:r>
      <w:r>
        <w:rPr>
          <w:rFonts w:ascii="仿宋_GB2312" w:hAnsi="Verdana" w:eastAsia="仿宋_GB2312" w:cs="宋体"/>
          <w:kern w:val="0"/>
          <w:sz w:val="32"/>
          <w:szCs w:val="32"/>
        </w:rPr>
        <w:t>20</w:t>
      </w:r>
      <w:r>
        <w:rPr>
          <w:rFonts w:hint="eastAsia" w:ascii="仿宋_GB2312" w:hAnsi="Verdana" w:eastAsia="仿宋_GB2312" w:cs="宋体"/>
          <w:kern w:val="0"/>
          <w:sz w:val="32"/>
          <w:szCs w:val="32"/>
          <w:lang w:val="en-US" w:eastAsia="zh-CN"/>
        </w:rPr>
        <w:t>21</w:t>
      </w:r>
      <w:r>
        <w:rPr>
          <w:rFonts w:hint="eastAsia" w:ascii="仿宋_GB2312" w:hAnsi="Verdana" w:eastAsia="仿宋_GB2312" w:cs="宋体"/>
          <w:kern w:val="0"/>
          <w:sz w:val="32"/>
          <w:szCs w:val="32"/>
        </w:rPr>
        <w:t>〕</w:t>
      </w:r>
      <w:r>
        <w:rPr>
          <w:rFonts w:hint="eastAsia" w:ascii="仿宋_GB2312" w:hAnsi="Verdana" w:eastAsia="仿宋_GB2312" w:cs="宋体"/>
          <w:kern w:val="0"/>
          <w:sz w:val="32"/>
          <w:szCs w:val="32"/>
          <w:lang w:val="en-US" w:eastAsia="zh-CN"/>
        </w:rPr>
        <w:t>3</w:t>
      </w:r>
      <w:r>
        <w:rPr>
          <w:rFonts w:hint="eastAsia" w:ascii="仿宋_GB2312" w:hAnsi="Verdana" w:eastAsia="仿宋_GB2312" w:cs="宋体"/>
          <w:kern w:val="0"/>
          <w:sz w:val="32"/>
          <w:szCs w:val="32"/>
        </w:rPr>
        <w:t>号</w:t>
      </w:r>
    </w:p>
    <w:p>
      <w:pPr>
        <w:keepNext w:val="0"/>
        <w:keepLines w:val="0"/>
        <w:pageBreakBefore w:val="0"/>
        <w:tabs>
          <w:tab w:val="left" w:pos="7200"/>
          <w:tab w:val="left" w:pos="7740"/>
        </w:tabs>
        <w:kinsoku/>
        <w:wordWrap/>
        <w:overflowPunct/>
        <w:topLinePunct w:val="0"/>
        <w:autoSpaceDE/>
        <w:autoSpaceDN/>
        <w:bidi w:val="0"/>
        <w:adjustRightInd/>
        <w:spacing w:line="600" w:lineRule="exact"/>
        <w:ind w:right="0" w:rightChars="0"/>
        <w:jc w:val="center"/>
        <w:textAlignment w:val="auto"/>
        <w:outlineLvl w:val="9"/>
        <w:rPr>
          <w:rFonts w:hint="eastAsia" w:ascii="仿宋_GB2312" w:hAnsi="方正小标宋简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鲁山县法治政府建设领导小组</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w w:val="95"/>
          <w:sz w:val="44"/>
          <w:szCs w:val="44"/>
          <w:lang w:val="en-US" w:eastAsia="zh-CN"/>
        </w:rPr>
      </w:pPr>
      <w:r>
        <w:rPr>
          <w:rFonts w:hint="eastAsia" w:ascii="方正小标宋_GBK" w:hAnsi="方正小标宋_GBK" w:eastAsia="方正小标宋_GBK" w:cs="方正小标宋_GBK"/>
          <w:w w:val="95"/>
          <w:sz w:val="44"/>
          <w:szCs w:val="44"/>
          <w:lang w:val="en-US" w:eastAsia="zh-CN"/>
        </w:rPr>
        <w:t>关于印发</w:t>
      </w:r>
      <w:r>
        <w:rPr>
          <w:rFonts w:hint="eastAsia" w:ascii="方正小标宋_GBK" w:hAnsi="方正小标宋_GBK" w:eastAsia="方正小标宋_GBK" w:cs="方正小标宋_GBK"/>
          <w:w w:val="95"/>
          <w:sz w:val="44"/>
          <w:szCs w:val="44"/>
          <w:lang w:eastAsia="zh-CN"/>
        </w:rPr>
        <w:t>2021年度鲁山县领导干部学法计划</w:t>
      </w:r>
      <w:r>
        <w:rPr>
          <w:rFonts w:hint="eastAsia" w:ascii="方正小标宋_GBK" w:hAnsi="方正小标宋_GBK" w:eastAsia="方正小标宋_GBK" w:cs="方正小标宋_GBK"/>
          <w:w w:val="95"/>
          <w:sz w:val="44"/>
          <w:szCs w:val="44"/>
          <w:lang w:val="en-US" w:eastAsia="zh-CN"/>
        </w:rPr>
        <w:t>的</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通  知</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方正小标宋_GBK" w:hAnsi="方正小标宋_GBK" w:eastAsia="方正小标宋_GBK" w:cs="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default" w:ascii="方正小标宋_GBK" w:hAnsi="方正小标宋_GBK" w:eastAsia="方正小标宋_GBK" w:cs="方正小标宋_GBK"/>
          <w:sz w:val="44"/>
          <w:szCs w:val="44"/>
          <w:lang w:val="en-US" w:eastAsia="zh-CN"/>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各乡（镇、街道），产业集聚区管委会、城南新区管委会、江河新区、土门办事处，县直各单位：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现将《2021年度鲁山县领导干部学法计划》印发给你们，请认真贯彻执行。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righ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 xml:space="preserve">2021年4月25日    </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2021年度鲁山县领导干部学法计划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为进一步推动领导干部学法工作，提升领导干部依法行政的能力和水平，切实提高运用法治思维和法治方式深化改革、推动发展、化解矛盾、维护稳定、应对风险的能力，根据上级部署，结合我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实际，特制定2021年度鲁山县领导干部学法计划。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一、指导思想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和习近平法治思想为指导，以理论联系实际、学法用法相结合为原则，大力推动领导干部带头尊法学法守法用法，熟练掌握履职履责必需的法律知识，自觉养成办事依法、遇事找法、解决问题用法、化解矛盾靠法的行为习惯，深入推进依法行政，加快法治政府建设，为</w:t>
      </w:r>
      <w:r>
        <w:rPr>
          <w:rFonts w:hint="eastAsia" w:ascii="仿宋_GB2312" w:hAnsi="仿宋_GB2312" w:eastAsia="仿宋_GB2312" w:cs="仿宋_GB2312"/>
          <w:sz w:val="32"/>
          <w:szCs w:val="32"/>
          <w:lang w:val="en-US" w:eastAsia="zh-CN"/>
        </w:rPr>
        <w:t>助力我市</w:t>
      </w:r>
      <w:r>
        <w:rPr>
          <w:rFonts w:hint="eastAsia" w:ascii="仿宋_GB2312" w:hAnsi="仿宋_GB2312" w:eastAsia="仿宋_GB2312" w:cs="仿宋_GB2312"/>
          <w:sz w:val="32"/>
          <w:szCs w:val="32"/>
        </w:rPr>
        <w:t>加快建设全国转型发展示范市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同时将鲁山打造为全省法治政府建设示范县，实现“六县”战略</w:t>
      </w:r>
      <w:r>
        <w:rPr>
          <w:rFonts w:hint="eastAsia" w:ascii="仿宋_GB2312" w:hAnsi="仿宋_GB2312" w:eastAsia="仿宋_GB2312" w:cs="仿宋_GB2312"/>
          <w:sz w:val="32"/>
          <w:szCs w:val="32"/>
        </w:rPr>
        <w:t>，争当中原更加出彩样板区提供有力法治保障。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二、目标任务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深入系统的学法活动，不断提高领导干部依法决策、依法行政、依法管理的能力，逐步实现由依靠行政手段管理向运用法治方式管理的转变，不断提高领导干部学法用法的计划性、系统性和针对性，推进领导干部学法用法的规范化、制度化、常态化建设，促进领导干部学法用法工作深入健康发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三、学法安排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（一）政府常务会议学法、部门办公会议(党委、党组会议）学法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val="en-US" w:eastAsia="zh-CN"/>
        </w:rPr>
        <w:t>县、乡</w:t>
      </w:r>
      <w:r>
        <w:rPr>
          <w:rFonts w:hint="eastAsia" w:ascii="仿宋_GB2312" w:hAnsi="仿宋_GB2312" w:eastAsia="仿宋_GB2312" w:cs="仿宋_GB2312"/>
          <w:sz w:val="32"/>
          <w:szCs w:val="32"/>
        </w:rPr>
        <w:t>两级政府及</w:t>
      </w:r>
      <w:r>
        <w:rPr>
          <w:rFonts w:hint="eastAsia" w:ascii="仿宋_GB2312" w:hAnsi="仿宋_GB2312" w:eastAsia="仿宋_GB2312" w:cs="仿宋_GB2312"/>
          <w:sz w:val="32"/>
          <w:szCs w:val="32"/>
          <w:lang w:val="en-US" w:eastAsia="zh-CN"/>
        </w:rPr>
        <w:t>县政府各职能</w:t>
      </w:r>
      <w:r>
        <w:rPr>
          <w:rFonts w:hint="eastAsia" w:ascii="仿宋_GB2312" w:hAnsi="仿宋_GB2312" w:eastAsia="仿宋_GB2312" w:cs="仿宋_GB2312"/>
          <w:sz w:val="32"/>
          <w:szCs w:val="32"/>
        </w:rPr>
        <w:t>部门应至少</w:t>
      </w:r>
      <w:r>
        <w:rPr>
          <w:rFonts w:hint="eastAsia" w:ascii="仿宋_GB2312" w:hAnsi="仿宋_GB2312" w:eastAsia="仿宋_GB2312" w:cs="仿宋_GB2312"/>
          <w:sz w:val="32"/>
          <w:szCs w:val="32"/>
          <w:lang w:val="en-US" w:eastAsia="zh-CN"/>
        </w:rPr>
        <w:t>自行</w:t>
      </w:r>
      <w:r>
        <w:rPr>
          <w:rFonts w:hint="eastAsia" w:ascii="仿宋_GB2312" w:hAnsi="仿宋_GB2312" w:eastAsia="仿宋_GB2312" w:cs="仿宋_GB2312"/>
          <w:sz w:val="32"/>
          <w:szCs w:val="32"/>
        </w:rPr>
        <w:t>组织4次集中学法，原则上每季度1次，学法内容可参照附件，也可根据实际情况自行制定。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参加人员：</w:t>
      </w:r>
      <w:r>
        <w:rPr>
          <w:rFonts w:hint="eastAsia" w:ascii="仿宋_GB2312" w:hAnsi="仿宋_GB2312" w:eastAsia="仿宋_GB2312" w:cs="仿宋_GB2312"/>
          <w:sz w:val="32"/>
          <w:szCs w:val="32"/>
          <w:lang w:val="en-US" w:eastAsia="zh-CN"/>
        </w:rPr>
        <w:t>县、乡</w:t>
      </w:r>
      <w:r>
        <w:rPr>
          <w:rFonts w:hint="eastAsia" w:ascii="仿宋_GB2312" w:hAnsi="仿宋_GB2312" w:eastAsia="仿宋_GB2312" w:cs="仿宋_GB2312"/>
          <w:sz w:val="32"/>
          <w:szCs w:val="32"/>
        </w:rPr>
        <w:t>两级政府以及</w:t>
      </w:r>
      <w:r>
        <w:rPr>
          <w:rFonts w:hint="eastAsia" w:ascii="仿宋_GB2312" w:hAnsi="仿宋_GB2312" w:eastAsia="仿宋_GB2312" w:cs="仿宋_GB2312"/>
          <w:sz w:val="32"/>
          <w:szCs w:val="32"/>
          <w:lang w:val="en-US" w:eastAsia="zh-CN"/>
        </w:rPr>
        <w:t>县政府各职能</w:t>
      </w:r>
      <w:r>
        <w:rPr>
          <w:rFonts w:hint="eastAsia" w:ascii="仿宋_GB2312" w:hAnsi="仿宋_GB2312" w:eastAsia="仿宋_GB2312" w:cs="仿宋_GB2312"/>
          <w:sz w:val="32"/>
          <w:szCs w:val="32"/>
        </w:rPr>
        <w:t>部门领导班子成员。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（二）领导干部法治专题讲座</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val="en-US" w:eastAsia="zh-CN"/>
        </w:rPr>
        <w:t>县、乡</w:t>
      </w:r>
      <w:r>
        <w:rPr>
          <w:rFonts w:hint="eastAsia" w:ascii="仿宋_GB2312" w:hAnsi="仿宋_GB2312" w:eastAsia="仿宋_GB2312" w:cs="仿宋_GB2312"/>
          <w:sz w:val="32"/>
          <w:szCs w:val="32"/>
        </w:rPr>
        <w:t>两级政府应至少组织2次法治专题讲座，可以邀请政府法律顾问、有关专家学者、上级领导对法治政府建设和政府法制工作的有关内容进行授课。</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参加人员：</w:t>
      </w:r>
      <w:r>
        <w:rPr>
          <w:rFonts w:hint="eastAsia" w:ascii="仿宋_GB2312" w:hAnsi="仿宋_GB2312" w:eastAsia="仿宋_GB2312" w:cs="仿宋_GB2312"/>
          <w:sz w:val="32"/>
          <w:szCs w:val="32"/>
          <w:lang w:val="en-US" w:eastAsia="zh-CN"/>
        </w:rPr>
        <w:t>县、乡</w:t>
      </w:r>
      <w:r>
        <w:rPr>
          <w:rFonts w:hint="eastAsia" w:ascii="仿宋_GB2312" w:hAnsi="仿宋_GB2312" w:eastAsia="仿宋_GB2312" w:cs="仿宋_GB2312"/>
          <w:sz w:val="32"/>
          <w:szCs w:val="32"/>
        </w:rPr>
        <w:t>政府领导班子。</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（三）领导干部法治专题培训班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政府应至少举办1次领导干部法治专题培训班。</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参加人员：</w:t>
      </w:r>
      <w:r>
        <w:rPr>
          <w:rFonts w:hint="eastAsia" w:ascii="仿宋_GB2312" w:hAnsi="仿宋_GB2312" w:eastAsia="仿宋_GB2312" w:cs="仿宋_GB2312"/>
          <w:sz w:val="32"/>
          <w:szCs w:val="32"/>
          <w:lang w:val="en-US" w:eastAsia="zh-CN"/>
        </w:rPr>
        <w:t>县、乡</w:t>
      </w:r>
      <w:r>
        <w:rPr>
          <w:rFonts w:hint="eastAsia" w:ascii="仿宋_GB2312" w:hAnsi="仿宋_GB2312" w:eastAsia="仿宋_GB2312" w:cs="仿宋_GB2312"/>
          <w:sz w:val="32"/>
          <w:szCs w:val="32"/>
        </w:rPr>
        <w:t>两级政府及</w:t>
      </w:r>
      <w:r>
        <w:rPr>
          <w:rFonts w:hint="eastAsia" w:ascii="仿宋_GB2312" w:hAnsi="仿宋_GB2312" w:eastAsia="仿宋_GB2312" w:cs="仿宋_GB2312"/>
          <w:sz w:val="32"/>
          <w:szCs w:val="32"/>
          <w:lang w:val="en-US" w:eastAsia="zh-CN"/>
        </w:rPr>
        <w:t>县政府各职能</w:t>
      </w:r>
      <w:r>
        <w:rPr>
          <w:rFonts w:hint="eastAsia" w:ascii="仿宋_GB2312" w:hAnsi="仿宋_GB2312" w:eastAsia="仿宋_GB2312" w:cs="仿宋_GB2312"/>
          <w:sz w:val="32"/>
          <w:szCs w:val="32"/>
        </w:rPr>
        <w:t>部门相关领导干部。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四、学习要求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（一)高度重视。</w:t>
      </w:r>
      <w:r>
        <w:rPr>
          <w:rFonts w:hint="eastAsia" w:ascii="仿宋_GB2312" w:hAnsi="仿宋_GB2312" w:eastAsia="仿宋_GB2312" w:cs="仿宋_GB2312"/>
          <w:sz w:val="32"/>
          <w:szCs w:val="32"/>
        </w:rPr>
        <w:t>各部门要高度重视，深入贯彻中共中央、国务院《法治政府建设实施纲要(2015-2020年）》（中发〔</w:t>
      </w:r>
      <w:r>
        <w:rPr>
          <w:rFonts w:hint="eastAsia" w:ascii="仿宋_GB2312" w:hAnsi="仿宋_GB2312" w:eastAsia="仿宋_GB2312" w:cs="仿宋_GB2312"/>
          <w:sz w:val="32"/>
          <w:szCs w:val="32"/>
          <w:lang w:val="en-US" w:eastAsia="zh-CN"/>
        </w:rPr>
        <w:t>2015</w:t>
      </w:r>
      <w:r>
        <w:rPr>
          <w:rFonts w:hint="eastAsia" w:ascii="仿宋_GB2312" w:hAnsi="仿宋_GB2312" w:eastAsia="仿宋_GB2312" w:cs="仿宋_GB2312"/>
          <w:sz w:val="32"/>
          <w:szCs w:val="32"/>
        </w:rPr>
        <w:t>〕36号）、《河南省法治政府建设实施方案(2016-2020年)》（豫发〔</w:t>
      </w:r>
      <w:r>
        <w:rPr>
          <w:rFonts w:hint="eastAsia" w:ascii="仿宋_GB2312" w:hAnsi="仿宋_GB2312" w:eastAsia="仿宋_GB2312" w:cs="仿宋_GB2312"/>
          <w:sz w:val="32"/>
          <w:szCs w:val="32"/>
          <w:lang w:val="en-US" w:eastAsia="zh-CN"/>
        </w:rPr>
        <w:t>2016</w:t>
      </w:r>
      <w:r>
        <w:rPr>
          <w:rFonts w:hint="eastAsia" w:ascii="仿宋_GB2312" w:hAnsi="仿宋_GB2312" w:eastAsia="仿宋_GB2312" w:cs="仿宋_GB2312"/>
          <w:sz w:val="32"/>
          <w:szCs w:val="32"/>
        </w:rPr>
        <w:t>〕31号）、《平顶山市法治政府建设实施方案（2016-2020年）》(平发〔2017〕3号）等文件精神，把思想和行动统一到</w:t>
      </w:r>
      <w:r>
        <w:rPr>
          <w:rFonts w:hint="eastAsia" w:ascii="仿宋_GB2312" w:hAnsi="仿宋_GB2312" w:eastAsia="仿宋_GB2312" w:cs="仿宋_GB2312"/>
          <w:sz w:val="32"/>
          <w:szCs w:val="32"/>
          <w:lang w:val="en-US" w:eastAsia="zh-CN"/>
        </w:rPr>
        <w:t>县委、县政府</w:t>
      </w:r>
      <w:r>
        <w:rPr>
          <w:rFonts w:hint="eastAsia" w:ascii="仿宋_GB2312" w:hAnsi="仿宋_GB2312" w:eastAsia="仿宋_GB2312" w:cs="仿宋_GB2312"/>
          <w:sz w:val="32"/>
          <w:szCs w:val="32"/>
        </w:rPr>
        <w:t>的决策部署上来，紧紧围绕</w:t>
      </w:r>
      <w:r>
        <w:rPr>
          <w:rFonts w:hint="eastAsia" w:ascii="仿宋_GB2312" w:hAnsi="仿宋_GB2312" w:eastAsia="仿宋_GB2312" w:cs="仿宋_GB2312"/>
          <w:sz w:val="32"/>
          <w:szCs w:val="32"/>
          <w:lang w:val="en-US" w:eastAsia="zh-CN"/>
        </w:rPr>
        <w:t>县政府</w:t>
      </w:r>
      <w:r>
        <w:rPr>
          <w:rFonts w:hint="eastAsia" w:ascii="仿宋_GB2312" w:hAnsi="仿宋_GB2312" w:eastAsia="仿宋_GB2312" w:cs="仿宋_GB2312"/>
          <w:sz w:val="32"/>
          <w:szCs w:val="32"/>
        </w:rPr>
        <w:t>中心工作和当前我</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的重点难点问题，科学安排学法内容，建立健全领导干部学法制度，切实提高领导干部依法行政意识和能力。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（二）精心组织。</w:t>
      </w:r>
      <w:r>
        <w:rPr>
          <w:rFonts w:hint="eastAsia" w:ascii="仿宋_GB2312" w:hAnsi="仿宋_GB2312" w:eastAsia="仿宋_GB2312" w:cs="仿宋_GB2312"/>
          <w:sz w:val="32"/>
          <w:szCs w:val="32"/>
        </w:rPr>
        <w:t>各部门主要负责人是落实学法制度的第一责任人，要加强领导，精心组织实施学法活动，推进学法工作制度化、常态化、规范化，确保学法计划、内容、人员、时间、效果“五落实”；要深入实施政府法律顾问制度，加强管理和服务，为广大领导干部学法用法提供师资保障与智力支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（三）加强考核。</w:t>
      </w:r>
      <w:r>
        <w:rPr>
          <w:rFonts w:hint="eastAsia" w:ascii="仿宋_GB2312" w:hAnsi="仿宋_GB2312" w:eastAsia="仿宋_GB2312" w:cs="仿宋_GB2312"/>
          <w:sz w:val="32"/>
          <w:szCs w:val="32"/>
        </w:rPr>
        <w:t>各部门领导干部学法活动情况纳入依法行政目标考核体系。年终考核时，对领导干部进行现场依法行政能力测试，并将测试结果纳入年终考核总成绩。</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val="en-US" w:eastAsia="zh-CN"/>
        </w:rPr>
        <w:t>乡（镇、街道）、</w:t>
      </w:r>
      <w:r>
        <w:rPr>
          <w:rFonts w:hint="eastAsia" w:ascii="仿宋_GB2312" w:hAnsi="仿宋_GB2312" w:eastAsia="仿宋_GB2312" w:cs="仿宋_GB2312"/>
          <w:sz w:val="32"/>
          <w:szCs w:val="32"/>
        </w:rPr>
        <w:t>各部门要参照本计划，研究制定符合本地本部门实际的学法计划，及时报送</w:t>
      </w:r>
      <w:r>
        <w:rPr>
          <w:rFonts w:hint="eastAsia" w:ascii="仿宋_GB2312" w:hAnsi="仿宋_GB2312" w:eastAsia="仿宋_GB2312" w:cs="仿宋_GB2312"/>
          <w:sz w:val="32"/>
          <w:szCs w:val="32"/>
          <w:lang w:val="en-US" w:eastAsia="zh-CN"/>
        </w:rPr>
        <w:t>县</w:t>
      </w:r>
      <w:r>
        <w:rPr>
          <w:rFonts w:hint="eastAsia" w:ascii="仿宋_GB2312" w:hAnsi="仿宋_GB2312" w:eastAsia="仿宋_GB2312" w:cs="仿宋_GB2312"/>
          <w:sz w:val="32"/>
          <w:szCs w:val="32"/>
        </w:rPr>
        <w:t>法治政府建设领导小组办公室备案。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鲁山县</w:t>
      </w:r>
      <w:r>
        <w:rPr>
          <w:rFonts w:hint="eastAsia" w:ascii="仿宋_GB2312" w:hAnsi="仿宋_GB2312" w:eastAsia="仿宋_GB2312" w:cs="仿宋_GB2312"/>
          <w:sz w:val="32"/>
          <w:szCs w:val="32"/>
        </w:rPr>
        <w:t>领导干部学法计划表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附件</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b/>
          <w:bCs/>
          <w:sz w:val="44"/>
          <w:szCs w:val="44"/>
          <w:lang w:eastAsia="zh-CN"/>
        </w:rPr>
      </w:pPr>
      <w:r>
        <w:rPr>
          <w:rFonts w:hint="eastAsia" w:ascii="方正小标宋简体" w:hAnsi="方正小标宋简体" w:eastAsia="方正小标宋简体" w:cs="方正小标宋简体"/>
          <w:sz w:val="44"/>
          <w:szCs w:val="44"/>
          <w:lang w:val="en-US" w:eastAsia="zh-CN"/>
        </w:rPr>
        <w:t>鲁山</w:t>
      </w:r>
      <w:r>
        <w:rPr>
          <w:rFonts w:hint="eastAsia" w:ascii="方正小标宋简体" w:hAnsi="方正小标宋简体" w:eastAsia="方正小标宋简体" w:cs="方正小标宋简体"/>
          <w:sz w:val="44"/>
          <w:szCs w:val="44"/>
          <w:lang w:eastAsia="zh-CN"/>
        </w:rPr>
        <w:t>县</w:t>
      </w:r>
      <w:r>
        <w:rPr>
          <w:rFonts w:hint="eastAsia" w:ascii="方正小标宋简体" w:hAnsi="方正小标宋简体" w:eastAsia="方正小标宋简体" w:cs="方正小标宋简体"/>
          <w:sz w:val="44"/>
          <w:szCs w:val="44"/>
          <w:lang w:val="en-US" w:eastAsia="zh-CN"/>
        </w:rPr>
        <w:t>领导干部</w:t>
      </w:r>
      <w:r>
        <w:rPr>
          <w:rFonts w:hint="eastAsia" w:ascii="方正小标宋简体" w:hAnsi="方正小标宋简体" w:eastAsia="方正小标宋简体" w:cs="方正小标宋简体"/>
          <w:sz w:val="44"/>
          <w:szCs w:val="44"/>
          <w:lang w:eastAsia="zh-CN"/>
        </w:rPr>
        <w:t>学法计划</w:t>
      </w:r>
      <w:r>
        <w:rPr>
          <w:rFonts w:hint="eastAsia" w:ascii="方正小标宋简体" w:hAnsi="方正小标宋简体" w:eastAsia="方正小标宋简体" w:cs="方正小标宋简体"/>
          <w:b/>
          <w:bCs/>
          <w:sz w:val="44"/>
          <w:szCs w:val="44"/>
          <w:lang w:eastAsia="zh-CN"/>
        </w:rPr>
        <w:t>表</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b/>
          <w:bCs/>
          <w:sz w:val="44"/>
          <w:szCs w:val="44"/>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765"/>
        <w:gridCol w:w="2134"/>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序号</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名称</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颁布机关</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施行时间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《中华人民共和国行政处罚法》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2021年7月15日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《排污许可管理条例》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2021年3月1日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3</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《企业名称登记管理规定》</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2021年3月1日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4</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《政府督查工作条例》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2021年2月1日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5</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《中华人民共和国社区矫正法》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2020年7月1日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6</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《中华人民共和国森林法》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2020年7月1日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7</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《中华人民共和国基本医疗卫生与健康促进法》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8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2020年6月1日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8</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《保障农民工工资支付条例》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2020年5月1日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9</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《优化营商环境条例》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10</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《中华人民共和国外商投资法实施条例》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2020年1月1日</w:t>
            </w:r>
          </w:p>
        </w:tc>
      </w:tr>
    </w:tbl>
    <w:p>
      <w:pPr>
        <w:rPr>
          <w:rFonts w:hint="eastAsia" w:ascii="仿宋_GB2312" w:hAnsi="仿宋_GB2312" w:eastAsia="仿宋_GB2312" w:cs="仿宋_GB2312"/>
          <w:sz w:val="32"/>
          <w:szCs w:val="32"/>
          <w:lang w:eastAsia="zh-CN"/>
        </w:rPr>
      </w:pPr>
    </w:p>
    <w:p>
      <w:pPr>
        <w:rPr>
          <w:rFonts w:hint="eastAsia" w:ascii="仿宋_GB2312" w:hAnsi="仿宋_GB2312" w:eastAsia="仿宋_GB2312" w:cs="仿宋_GB2312"/>
          <w:sz w:val="32"/>
          <w:szCs w:val="32"/>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3765"/>
        <w:gridCol w:w="2134"/>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11</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《中华人民共和国药品管理法》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2019年12月1日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12</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《重大行政决策程序暂行条例》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w w:val="80"/>
                <w:sz w:val="32"/>
                <w:szCs w:val="32"/>
                <w:vertAlign w:val="baseline"/>
                <w:lang w:val="en-US" w:eastAsia="zh-CN"/>
              </w:rPr>
            </w:pPr>
            <w:r>
              <w:rPr>
                <w:rFonts w:hint="eastAsia" w:ascii="仿宋_GB2312" w:hAnsi="仿宋_GB2312" w:eastAsia="仿宋_GB2312" w:cs="仿宋_GB2312"/>
                <w:w w:val="80"/>
                <w:sz w:val="32"/>
                <w:szCs w:val="32"/>
                <w:vertAlign w:val="baseline"/>
                <w:lang w:val="en-US" w:eastAsia="zh-CN"/>
              </w:rPr>
              <w:t>2019年9月1日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13</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《政府投资条例》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2019年7月1日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14</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《中华人民共和国政府信息公开条例》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2019年5月15日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15</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《融资担保公司监督管理条例》</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国务院</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2017年10月1日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16</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《中华人民共和国统计法》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2010年1月1日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17</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《中华人民共和国农产品质量安全法》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8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2006年11月1日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18</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《中华人民共和国农业法》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2003年3月1日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19</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《中华人民共和国土地管理法》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1999年1月1日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20</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《中华人民共和国城市房地产管理法》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1995年1月1日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96"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21</w:t>
            </w:r>
          </w:p>
        </w:tc>
        <w:tc>
          <w:tcPr>
            <w:tcW w:w="37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eastAsia="zh-CN"/>
              </w:rPr>
              <w:t>《中华人民共和国审计法》</w:t>
            </w:r>
          </w:p>
        </w:tc>
        <w:tc>
          <w:tcPr>
            <w:tcW w:w="2134"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全国人大常委会</w:t>
            </w:r>
          </w:p>
        </w:tc>
        <w:tc>
          <w:tcPr>
            <w:tcW w:w="2265" w:type="dxa"/>
            <w:vAlign w:val="top"/>
          </w:tcPr>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仿宋_GB2312" w:hAnsi="仿宋_GB2312" w:eastAsia="仿宋_GB2312" w:cs="仿宋_GB2312"/>
                <w:w w:val="80"/>
                <w:sz w:val="32"/>
                <w:szCs w:val="32"/>
                <w:vertAlign w:val="baseline"/>
                <w:lang w:eastAsia="zh-CN"/>
              </w:rPr>
            </w:pPr>
            <w:r>
              <w:rPr>
                <w:rFonts w:hint="eastAsia" w:ascii="仿宋_GB2312" w:hAnsi="仿宋_GB2312" w:eastAsia="仿宋_GB2312" w:cs="仿宋_GB2312"/>
                <w:w w:val="80"/>
                <w:sz w:val="32"/>
                <w:szCs w:val="32"/>
                <w:vertAlign w:val="baseline"/>
                <w:lang w:val="en-US" w:eastAsia="zh-CN"/>
              </w:rPr>
              <w:t>1995年1月1日</w:t>
            </w:r>
          </w:p>
        </w:tc>
      </w:tr>
    </w:tbl>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ascii="仿宋_GB2312" w:eastAsia="仿宋_GB2312"/>
          <w:sz w:val="32"/>
          <w:szCs w:val="32"/>
        </w:rPr>
      </w:pPr>
      <w:r>
        <w:rPr>
          <w:rFonts w:hint="eastAsia" w:ascii="仿宋_GB2312" w:hAnsi="仿宋_GB2312" w:eastAsia="仿宋_GB2312" w:cs="仿宋_GB2312"/>
          <w:sz w:val="32"/>
          <w:szCs w:val="32"/>
          <w:lang w:eastAsia="zh-CN"/>
        </w:rPr>
        <w:t>注：</w:t>
      </w:r>
      <w:r>
        <w:rPr>
          <w:rFonts w:hint="eastAsia" w:ascii="仿宋_GB2312" w:hAnsi="仿宋_GB2312" w:eastAsia="仿宋_GB2312" w:cs="仿宋_GB2312"/>
          <w:sz w:val="32"/>
          <w:szCs w:val="32"/>
        </w:rPr>
        <w:t>学法计划</w:t>
      </w:r>
      <w:r>
        <w:rPr>
          <w:rFonts w:hint="eastAsia" w:ascii="仿宋_GB2312" w:hAnsi="仿宋_GB2312" w:eastAsia="仿宋_GB2312" w:cs="仿宋_GB2312"/>
          <w:sz w:val="32"/>
          <w:szCs w:val="32"/>
          <w:lang w:eastAsia="zh-CN"/>
        </w:rPr>
        <w:t>和内容</w:t>
      </w:r>
      <w:r>
        <w:rPr>
          <w:rFonts w:hint="eastAsia" w:ascii="仿宋_GB2312" w:hAnsi="仿宋_GB2312" w:eastAsia="仿宋_GB2312" w:cs="仿宋_GB2312"/>
          <w:sz w:val="32"/>
          <w:szCs w:val="32"/>
        </w:rPr>
        <w:t>可根据实际工作需要或国家出台的新法新规作</w:t>
      </w:r>
      <w:r>
        <w:rPr>
          <w:rFonts w:hint="eastAsia" w:ascii="仿宋_GB2312" w:hAnsi="仿宋_GB2312" w:eastAsia="仿宋_GB2312" w:cs="仿宋_GB2312"/>
          <w:sz w:val="32"/>
          <w:szCs w:val="32"/>
          <w:lang w:eastAsia="zh-CN"/>
        </w:rPr>
        <w:t>相应</w:t>
      </w:r>
      <w:r>
        <w:rPr>
          <w:rFonts w:hint="eastAsia" w:ascii="仿宋_GB2312" w:hAnsi="仿宋_GB2312" w:eastAsia="仿宋_GB2312" w:cs="仿宋_GB2312"/>
          <w:sz w:val="32"/>
          <w:szCs w:val="32"/>
        </w:rPr>
        <w:t>调整。</w:t>
      </w:r>
    </w:p>
    <w:sectPr>
      <w:footerReference r:id="rId3" w:type="default"/>
      <w:pgSz w:w="11906" w:h="16838"/>
      <w:pgMar w:top="1984" w:right="1474" w:bottom="1814"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BCAC6ED-58D0-4594-A087-EC9887A8219B}"/>
  </w:font>
  <w:font w:name="Arial">
    <w:panose1 w:val="020B0604020202020204"/>
    <w:charset w:val="01"/>
    <w:family w:val="swiss"/>
    <w:pitch w:val="default"/>
    <w:sig w:usb0="E0002EFF" w:usb1="C000785B" w:usb2="00000009" w:usb3="00000000" w:csb0="400001FF" w:csb1="FFFF0000"/>
    <w:embedRegular r:id="rId2" w:fontKey="{7770456F-389C-49C8-8473-F83F507BE1E4}"/>
  </w:font>
  <w:font w:name="黑体">
    <w:panose1 w:val="02010609060101010101"/>
    <w:charset w:val="86"/>
    <w:family w:val="auto"/>
    <w:pitch w:val="default"/>
    <w:sig w:usb0="800002BF" w:usb1="38CF7CFA" w:usb2="00000016" w:usb3="00000000" w:csb0="00040001" w:csb1="00000000"/>
    <w:embedRegular r:id="rId3" w:fontKey="{7C5882FC-0F15-4BAF-BA81-78E126ABE257}"/>
  </w:font>
  <w:font w:name="Courier New">
    <w:panose1 w:val="02070309020205020404"/>
    <w:charset w:val="01"/>
    <w:family w:val="modern"/>
    <w:pitch w:val="default"/>
    <w:sig w:usb0="E0002EFF" w:usb1="C0007843" w:usb2="00000009" w:usb3="00000000" w:csb0="400001FF" w:csb1="FFFF0000"/>
    <w:embedRegular r:id="rId4" w:fontKey="{FF68C2FB-4B39-46E1-8EFF-5BD8112270A4}"/>
  </w:font>
  <w:font w:name="Symbol">
    <w:panose1 w:val="05050102010706020507"/>
    <w:charset w:val="02"/>
    <w:family w:val="roman"/>
    <w:pitch w:val="default"/>
    <w:sig w:usb0="00000000" w:usb1="00000000" w:usb2="00000000" w:usb3="00000000" w:csb0="80000000" w:csb1="00000000"/>
    <w:embedRegular r:id="rId5" w:fontKey="{E0011CD2-2F57-4BC5-8C31-974AD7B5A615}"/>
  </w:font>
  <w:font w:name="Calibri">
    <w:panose1 w:val="020F0502020204030204"/>
    <w:charset w:val="00"/>
    <w:family w:val="swiss"/>
    <w:pitch w:val="default"/>
    <w:sig w:usb0="E4002EFF" w:usb1="C000247B" w:usb2="00000009" w:usb3="00000000" w:csb0="200001FF" w:csb1="00000000"/>
    <w:embedRegular r:id="rId6" w:fontKey="{BB2E54A4-00FE-47E3-8EF4-983A33F2386E}"/>
  </w:font>
  <w:font w:name="方正大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7" w:fontKey="{CEB3F8F2-2E9E-47E3-8AE7-513E26FD7677}"/>
  </w:font>
  <w:font w:name="方正小标宋简体">
    <w:panose1 w:val="03000509000000000000"/>
    <w:charset w:val="86"/>
    <w:family w:val="script"/>
    <w:pitch w:val="default"/>
    <w:sig w:usb0="00000001" w:usb1="080E0000" w:usb2="00000000" w:usb3="00000000" w:csb0="00040000" w:csb1="00000000"/>
    <w:embedRegular r:id="rId8" w:fontKey="{12096E75-FC72-47C8-947F-4282F3F3C528}"/>
  </w:font>
  <w:font w:name="楷体_GB2312">
    <w:panose1 w:val="02010609030101010101"/>
    <w:charset w:val="86"/>
    <w:family w:val="modern"/>
    <w:pitch w:val="default"/>
    <w:sig w:usb0="00000001" w:usb1="080E0000" w:usb2="00000000" w:usb3="00000000" w:csb0="00040000" w:csb1="00000000"/>
    <w:embedRegular r:id="rId9" w:fontKey="{07BAE1CC-231B-4997-9D3C-6C5B7CBD63A7}"/>
  </w:font>
  <w:font w:name="Verdana">
    <w:panose1 w:val="020B0604030504040204"/>
    <w:charset w:val="00"/>
    <w:family w:val="swiss"/>
    <w:pitch w:val="default"/>
    <w:sig w:usb0="A00006FF" w:usb1="4000205B" w:usb2="00000010" w:usb3="00000000" w:csb0="2000019F" w:csb1="00000000"/>
    <w:embedRegular r:id="rId10" w:fontKey="{1A6EDC7E-CD51-4B57-BC47-5540C093EF54}"/>
  </w:font>
  <w:font w:name="方正小标宋_GBK">
    <w:panose1 w:val="03000509000000000000"/>
    <w:charset w:val="86"/>
    <w:family w:val="script"/>
    <w:pitch w:val="default"/>
    <w:sig w:usb0="00000001" w:usb1="080E0000" w:usb2="00000000" w:usb3="00000000" w:csb0="00040000" w:csb1="00000000"/>
    <w:embedRegular r:id="rId11" w:fontKey="{B2DEF5FA-FC29-437C-9A40-AA7A754F36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- 1 -</w:t>
                    </w:r>
                    <w:r>
                      <w:rPr>
                        <w:rFonts w:hint="eastAsia" w:ascii="宋体" w:hAnsi="宋体" w:eastAsia="宋体" w:cs="宋体"/>
                        <w:sz w:val="24"/>
                        <w:szCs w:val="24"/>
                      </w:rP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iMmRlNzBhMWY3MzRkZjM3NjM4ZDgyNjkxM2E1NDcifQ=="/>
  </w:docVars>
  <w:rsids>
    <w:rsidRoot w:val="53814CB2"/>
    <w:rsid w:val="000C0F00"/>
    <w:rsid w:val="000F16AD"/>
    <w:rsid w:val="001126F3"/>
    <w:rsid w:val="00162513"/>
    <w:rsid w:val="00227CD4"/>
    <w:rsid w:val="00277F70"/>
    <w:rsid w:val="002A7C5D"/>
    <w:rsid w:val="0033642C"/>
    <w:rsid w:val="00353FDB"/>
    <w:rsid w:val="003703AA"/>
    <w:rsid w:val="00397071"/>
    <w:rsid w:val="004129B0"/>
    <w:rsid w:val="0055597B"/>
    <w:rsid w:val="005662DF"/>
    <w:rsid w:val="00684FF4"/>
    <w:rsid w:val="006A3F7B"/>
    <w:rsid w:val="006E6AB8"/>
    <w:rsid w:val="0075320A"/>
    <w:rsid w:val="0075494D"/>
    <w:rsid w:val="00790870"/>
    <w:rsid w:val="00794EBF"/>
    <w:rsid w:val="007D30C2"/>
    <w:rsid w:val="00822586"/>
    <w:rsid w:val="00855B9A"/>
    <w:rsid w:val="00885345"/>
    <w:rsid w:val="00967947"/>
    <w:rsid w:val="00A428A1"/>
    <w:rsid w:val="00A737AD"/>
    <w:rsid w:val="00A9119F"/>
    <w:rsid w:val="00AD45C8"/>
    <w:rsid w:val="00AD7E7D"/>
    <w:rsid w:val="00BA2976"/>
    <w:rsid w:val="00BD0847"/>
    <w:rsid w:val="00C4248B"/>
    <w:rsid w:val="00C869D0"/>
    <w:rsid w:val="00D00C42"/>
    <w:rsid w:val="00DC62ED"/>
    <w:rsid w:val="00DD1025"/>
    <w:rsid w:val="00DE2B30"/>
    <w:rsid w:val="00E14E3D"/>
    <w:rsid w:val="00E304CC"/>
    <w:rsid w:val="00E60593"/>
    <w:rsid w:val="00E63A43"/>
    <w:rsid w:val="00EB6599"/>
    <w:rsid w:val="00F52B47"/>
    <w:rsid w:val="00F801E5"/>
    <w:rsid w:val="00FB6422"/>
    <w:rsid w:val="00FC3EDF"/>
    <w:rsid w:val="013031C9"/>
    <w:rsid w:val="021A0269"/>
    <w:rsid w:val="02555652"/>
    <w:rsid w:val="0278300C"/>
    <w:rsid w:val="02F60BF9"/>
    <w:rsid w:val="039A0C4E"/>
    <w:rsid w:val="03AD4664"/>
    <w:rsid w:val="03EB7C9E"/>
    <w:rsid w:val="040A6462"/>
    <w:rsid w:val="04687293"/>
    <w:rsid w:val="05254C52"/>
    <w:rsid w:val="05785FE0"/>
    <w:rsid w:val="05953C4D"/>
    <w:rsid w:val="066A22B9"/>
    <w:rsid w:val="073276E4"/>
    <w:rsid w:val="07D52964"/>
    <w:rsid w:val="07DB197D"/>
    <w:rsid w:val="081C3AED"/>
    <w:rsid w:val="08D65FEB"/>
    <w:rsid w:val="09B41A3E"/>
    <w:rsid w:val="0A0035DD"/>
    <w:rsid w:val="0A60434A"/>
    <w:rsid w:val="0B6655FE"/>
    <w:rsid w:val="0BC51B7B"/>
    <w:rsid w:val="0CD64D87"/>
    <w:rsid w:val="0D8201B3"/>
    <w:rsid w:val="0E3F1D94"/>
    <w:rsid w:val="0E79000A"/>
    <w:rsid w:val="11250BE3"/>
    <w:rsid w:val="11DB3591"/>
    <w:rsid w:val="12A362C1"/>
    <w:rsid w:val="12E17938"/>
    <w:rsid w:val="1408069D"/>
    <w:rsid w:val="1578508B"/>
    <w:rsid w:val="159F74CD"/>
    <w:rsid w:val="15E7599C"/>
    <w:rsid w:val="1614106B"/>
    <w:rsid w:val="168108C2"/>
    <w:rsid w:val="16A54550"/>
    <w:rsid w:val="16DA50BB"/>
    <w:rsid w:val="1A786A14"/>
    <w:rsid w:val="1DF330E1"/>
    <w:rsid w:val="1E0F4DF1"/>
    <w:rsid w:val="1E277ED2"/>
    <w:rsid w:val="1E4B10A6"/>
    <w:rsid w:val="1EAC1044"/>
    <w:rsid w:val="1EC0482C"/>
    <w:rsid w:val="1F985916"/>
    <w:rsid w:val="20C51993"/>
    <w:rsid w:val="21157196"/>
    <w:rsid w:val="21A149EB"/>
    <w:rsid w:val="22601437"/>
    <w:rsid w:val="227F7086"/>
    <w:rsid w:val="22E67C08"/>
    <w:rsid w:val="22FF6968"/>
    <w:rsid w:val="23AE7928"/>
    <w:rsid w:val="2419640C"/>
    <w:rsid w:val="24230740"/>
    <w:rsid w:val="24E02123"/>
    <w:rsid w:val="24E204E8"/>
    <w:rsid w:val="24F94724"/>
    <w:rsid w:val="24F96DEB"/>
    <w:rsid w:val="25B35D20"/>
    <w:rsid w:val="25C849E5"/>
    <w:rsid w:val="25D37609"/>
    <w:rsid w:val="26A85CA4"/>
    <w:rsid w:val="27223EFA"/>
    <w:rsid w:val="277A112D"/>
    <w:rsid w:val="28CB500C"/>
    <w:rsid w:val="29262ED5"/>
    <w:rsid w:val="2A8C1B91"/>
    <w:rsid w:val="2ABB03C9"/>
    <w:rsid w:val="2AC73AFB"/>
    <w:rsid w:val="2AD2345E"/>
    <w:rsid w:val="2B120B2B"/>
    <w:rsid w:val="2B7B2588"/>
    <w:rsid w:val="2C0F7E60"/>
    <w:rsid w:val="2D967F18"/>
    <w:rsid w:val="2E0244DC"/>
    <w:rsid w:val="2E9D197B"/>
    <w:rsid w:val="2F2C266A"/>
    <w:rsid w:val="2F387D4E"/>
    <w:rsid w:val="2F81614B"/>
    <w:rsid w:val="2F8A5AD3"/>
    <w:rsid w:val="2FF759F8"/>
    <w:rsid w:val="30C65161"/>
    <w:rsid w:val="31196A2F"/>
    <w:rsid w:val="32A65FED"/>
    <w:rsid w:val="33AB2458"/>
    <w:rsid w:val="33D2386C"/>
    <w:rsid w:val="33EE600A"/>
    <w:rsid w:val="355545AB"/>
    <w:rsid w:val="361757E8"/>
    <w:rsid w:val="36BB3108"/>
    <w:rsid w:val="380A6737"/>
    <w:rsid w:val="38A92D05"/>
    <w:rsid w:val="392B2C93"/>
    <w:rsid w:val="3B2E1533"/>
    <w:rsid w:val="3B9769DB"/>
    <w:rsid w:val="3C034CC0"/>
    <w:rsid w:val="3C835454"/>
    <w:rsid w:val="3CF02644"/>
    <w:rsid w:val="3E183970"/>
    <w:rsid w:val="3E5B1153"/>
    <w:rsid w:val="3E7D2D6A"/>
    <w:rsid w:val="3ED16638"/>
    <w:rsid w:val="3F75356A"/>
    <w:rsid w:val="3F8E1AF4"/>
    <w:rsid w:val="401E155E"/>
    <w:rsid w:val="40685665"/>
    <w:rsid w:val="407A725C"/>
    <w:rsid w:val="40E6373C"/>
    <w:rsid w:val="410369D9"/>
    <w:rsid w:val="41160E70"/>
    <w:rsid w:val="41187481"/>
    <w:rsid w:val="415062E5"/>
    <w:rsid w:val="433A7CD6"/>
    <w:rsid w:val="43817A68"/>
    <w:rsid w:val="4390578B"/>
    <w:rsid w:val="44227C90"/>
    <w:rsid w:val="463A6E5C"/>
    <w:rsid w:val="46BD72A2"/>
    <w:rsid w:val="470D7FE0"/>
    <w:rsid w:val="474242DC"/>
    <w:rsid w:val="47545587"/>
    <w:rsid w:val="47E33912"/>
    <w:rsid w:val="49547E2C"/>
    <w:rsid w:val="49E608C4"/>
    <w:rsid w:val="4A6F6889"/>
    <w:rsid w:val="4B2B4DFF"/>
    <w:rsid w:val="4B725FBE"/>
    <w:rsid w:val="4CB823EA"/>
    <w:rsid w:val="4DC35C6A"/>
    <w:rsid w:val="4EE14724"/>
    <w:rsid w:val="4F412740"/>
    <w:rsid w:val="4FA74C26"/>
    <w:rsid w:val="4FBF035B"/>
    <w:rsid w:val="50697EF3"/>
    <w:rsid w:val="50721A9E"/>
    <w:rsid w:val="509A214D"/>
    <w:rsid w:val="514B4BD2"/>
    <w:rsid w:val="515D6018"/>
    <w:rsid w:val="52341F84"/>
    <w:rsid w:val="52F11F1D"/>
    <w:rsid w:val="532D3220"/>
    <w:rsid w:val="537E2AFB"/>
    <w:rsid w:val="53814CB2"/>
    <w:rsid w:val="54814729"/>
    <w:rsid w:val="551616A2"/>
    <w:rsid w:val="551E6F64"/>
    <w:rsid w:val="563B192C"/>
    <w:rsid w:val="56657BEE"/>
    <w:rsid w:val="56AB6110"/>
    <w:rsid w:val="56D45B28"/>
    <w:rsid w:val="57110AC0"/>
    <w:rsid w:val="57B92BDA"/>
    <w:rsid w:val="587F2527"/>
    <w:rsid w:val="58DA2E4A"/>
    <w:rsid w:val="5917046E"/>
    <w:rsid w:val="59725F2D"/>
    <w:rsid w:val="59DA272B"/>
    <w:rsid w:val="5B8F716B"/>
    <w:rsid w:val="5BB20114"/>
    <w:rsid w:val="5D07488C"/>
    <w:rsid w:val="5DCD1050"/>
    <w:rsid w:val="5E374E6A"/>
    <w:rsid w:val="5E9C0A8A"/>
    <w:rsid w:val="5ED4476D"/>
    <w:rsid w:val="5EDC327B"/>
    <w:rsid w:val="5FF3313C"/>
    <w:rsid w:val="605140EE"/>
    <w:rsid w:val="60C7692C"/>
    <w:rsid w:val="61047D11"/>
    <w:rsid w:val="61F1528E"/>
    <w:rsid w:val="6347044A"/>
    <w:rsid w:val="63A66829"/>
    <w:rsid w:val="64801AB9"/>
    <w:rsid w:val="64E25A1B"/>
    <w:rsid w:val="65984158"/>
    <w:rsid w:val="65E348CC"/>
    <w:rsid w:val="66C827F6"/>
    <w:rsid w:val="670E3594"/>
    <w:rsid w:val="68CD5085"/>
    <w:rsid w:val="699410DF"/>
    <w:rsid w:val="69B20201"/>
    <w:rsid w:val="6A0177A6"/>
    <w:rsid w:val="6A1E369A"/>
    <w:rsid w:val="6B312BE2"/>
    <w:rsid w:val="6C47242B"/>
    <w:rsid w:val="6C67617A"/>
    <w:rsid w:val="6CF00B8D"/>
    <w:rsid w:val="6D715C35"/>
    <w:rsid w:val="6DD6599A"/>
    <w:rsid w:val="6E4F2C8A"/>
    <w:rsid w:val="6E8D663D"/>
    <w:rsid w:val="6E941307"/>
    <w:rsid w:val="6EED342F"/>
    <w:rsid w:val="6F434771"/>
    <w:rsid w:val="70164E5C"/>
    <w:rsid w:val="70EC29A1"/>
    <w:rsid w:val="72065D35"/>
    <w:rsid w:val="72585D5C"/>
    <w:rsid w:val="749E43A6"/>
    <w:rsid w:val="74BB38C1"/>
    <w:rsid w:val="754D453F"/>
    <w:rsid w:val="76034A28"/>
    <w:rsid w:val="76354D84"/>
    <w:rsid w:val="769C1D09"/>
    <w:rsid w:val="76C14E3D"/>
    <w:rsid w:val="773570CC"/>
    <w:rsid w:val="795F455E"/>
    <w:rsid w:val="7A2E0263"/>
    <w:rsid w:val="7A5C1DFF"/>
    <w:rsid w:val="7AF80AEA"/>
    <w:rsid w:val="7B0929D4"/>
    <w:rsid w:val="7B4C46A8"/>
    <w:rsid w:val="7DCD2E37"/>
    <w:rsid w:val="7E4F0935"/>
    <w:rsid w:val="7EB84C60"/>
    <w:rsid w:val="7EF54637"/>
    <w:rsid w:val="7F4B6313"/>
    <w:rsid w:val="7F6A14C8"/>
    <w:rsid w:val="7FDC02F5"/>
    <w:rsid w:val="7FE04D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qFormat/>
    <w:uiPriority w:val="99"/>
    <w:pPr>
      <w:tabs>
        <w:tab w:val="center" w:pos="4153"/>
        <w:tab w:val="right" w:pos="8306"/>
      </w:tabs>
      <w:snapToGrid w:val="0"/>
      <w:jc w:val="left"/>
    </w:pPr>
    <w:rPr>
      <w:sz w:val="18"/>
      <w:szCs w:val="18"/>
    </w:rPr>
  </w:style>
  <w:style w:type="paragraph" w:styleId="3">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FollowedHyperlink"/>
    <w:basedOn w:val="7"/>
    <w:qFormat/>
    <w:uiPriority w:val="0"/>
    <w:rPr>
      <w:color w:val="222222"/>
      <w:u w:val="none"/>
    </w:rPr>
  </w:style>
  <w:style w:type="character" w:styleId="10">
    <w:name w:val="Hyperlink"/>
    <w:basedOn w:val="7"/>
    <w:qFormat/>
    <w:uiPriority w:val="0"/>
    <w:rPr>
      <w:color w:val="222222"/>
      <w:u w:val="none"/>
    </w:rPr>
  </w:style>
  <w:style w:type="character" w:customStyle="1" w:styleId="11">
    <w:name w:val="页眉 Char"/>
    <w:basedOn w:val="7"/>
    <w:link w:val="3"/>
    <w:qFormat/>
    <w:uiPriority w:val="0"/>
    <w:rPr>
      <w:kern w:val="2"/>
      <w:sz w:val="18"/>
      <w:szCs w:val="18"/>
    </w:rPr>
  </w:style>
  <w:style w:type="character" w:customStyle="1" w:styleId="12">
    <w:name w:val="页脚 Char"/>
    <w:basedOn w:val="7"/>
    <w:link w:val="2"/>
    <w:qFormat/>
    <w:uiPriority w:val="99"/>
    <w:rPr>
      <w:kern w:val="2"/>
      <w:sz w:val="18"/>
      <w:szCs w:val="18"/>
    </w:rPr>
  </w:style>
  <w:style w:type="paragraph" w:styleId="13">
    <w:name w:val="List Paragraph"/>
    <w:basedOn w:val="1"/>
    <w:unhideWhenUsed/>
    <w:qFormat/>
    <w:uiPriority w:val="99"/>
    <w:pPr>
      <w:ind w:firstLine="420" w:firstLineChars="200"/>
    </w:pPr>
  </w:style>
  <w:style w:type="character" w:customStyle="1" w:styleId="14">
    <w:name w:val="total"/>
    <w:basedOn w:val="7"/>
    <w:qFormat/>
    <w:uiPriority w:val="0"/>
    <w:rPr>
      <w:color w:val="FFFFFF"/>
      <w:shd w:val="clear" w:fill="C80000"/>
    </w:rPr>
  </w:style>
  <w:style w:type="character" w:customStyle="1" w:styleId="15">
    <w:name w:val="hit"/>
    <w:basedOn w:val="7"/>
    <w:qFormat/>
    <w:uiPriority w:val="0"/>
  </w:style>
  <w:style w:type="character" w:customStyle="1" w:styleId="16">
    <w:name w:val="time"/>
    <w:basedOn w:val="7"/>
    <w:qFormat/>
    <w:uiPriority w:val="0"/>
  </w:style>
  <w:style w:type="character" w:customStyle="1" w:styleId="17">
    <w:name w:val="zl_txt"/>
    <w:basedOn w:val="7"/>
    <w:qFormat/>
    <w:uiPriority w:val="0"/>
    <w:rPr>
      <w:color w:val="FFFFFF"/>
    </w:rPr>
  </w:style>
  <w:style w:type="character" w:customStyle="1" w:styleId="18">
    <w:name w:val="st"/>
    <w:basedOn w:val="7"/>
    <w:qFormat/>
    <w:uiPriority w:val="0"/>
    <w:rPr>
      <w:color w:val="999999"/>
    </w:rPr>
  </w:style>
  <w:style w:type="character" w:customStyle="1" w:styleId="19">
    <w:name w:val="more"/>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2E65F-419A-4A9F-B2B3-7D2F84D9D5D6}">
  <ds:schemaRefs/>
</ds:datastoreItem>
</file>

<file path=docProps/app.xml><?xml version="1.0" encoding="utf-8"?>
<Properties xmlns="http://schemas.openxmlformats.org/officeDocument/2006/extended-properties" xmlns:vt="http://schemas.openxmlformats.org/officeDocument/2006/docPropsVTypes">
  <Template>Normal.dotm</Template>
  <Pages>6</Pages>
  <Words>1978</Words>
  <Characters>2123</Characters>
  <Lines>2</Lines>
  <Paragraphs>18</Paragraphs>
  <TotalTime>46</TotalTime>
  <ScaleCrop>false</ScaleCrop>
  <LinksUpToDate>false</LinksUpToDate>
  <CharactersWithSpaces>2178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2019-08-24T12:55:00Z</dcterms:created>
  <dc:creator>Administrator</dc:creator>
  <cp:lastModifiedBy>不丸了</cp:lastModifiedBy>
  <cp:lastPrinted>2022-03-18T03:43:00Z</cp:lastPrinted>
  <dcterms:modified xsi:type="dcterms:W3CDTF">2023-02-16T02:16:39Z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393655653_embed</vt:lpwstr>
  </property>
  <property fmtid="{D5CDD505-2E9C-101B-9397-08002B2CF9AE}" pid="4" name="ICV">
    <vt:lpwstr>36253D8FC39B43F1A07274DCF7C8AF2F</vt:lpwstr>
  </property>
</Properties>
</file>