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center"/>
        <w:rPr>
          <w:rFonts w:hint="eastAsia"/>
          <w:sz w:val="32"/>
          <w:szCs w:val="24"/>
          <w:lang w:val="en-US" w:eastAsia="zh-CN"/>
        </w:rPr>
      </w:pPr>
    </w:p>
    <w:p>
      <w:pPr>
        <w:widowControl w:val="0"/>
        <w:numPr>
          <w:ilvl w:val="0"/>
          <w:numId w:val="0"/>
        </w:numPr>
        <w:jc w:val="center"/>
        <w:rPr>
          <w:rFonts w:hint="eastAsia"/>
          <w:sz w:val="32"/>
          <w:szCs w:val="24"/>
          <w:lang w:val="en-US" w:eastAsia="zh-CN"/>
        </w:rPr>
      </w:pPr>
    </w:p>
    <w:p>
      <w:pPr>
        <w:widowControl w:val="0"/>
        <w:numPr>
          <w:ilvl w:val="0"/>
          <w:numId w:val="0"/>
        </w:numPr>
        <w:jc w:val="center"/>
        <w:rPr>
          <w:rFonts w:hint="eastAsia"/>
          <w:sz w:val="32"/>
          <w:szCs w:val="24"/>
          <w:lang w:val="en-US" w:eastAsia="zh-CN"/>
        </w:rPr>
      </w:pPr>
    </w:p>
    <w:p>
      <w:pPr>
        <w:widowControl w:val="0"/>
        <w:numPr>
          <w:ilvl w:val="0"/>
          <w:numId w:val="0"/>
        </w:numPr>
        <w:jc w:val="center"/>
        <w:rPr>
          <w:rFonts w:hint="eastAsia"/>
          <w:sz w:val="32"/>
          <w:szCs w:val="24"/>
          <w:lang w:val="en-US" w:eastAsia="zh-CN"/>
        </w:rPr>
      </w:pPr>
    </w:p>
    <w:p>
      <w:pPr>
        <w:widowControl w:val="0"/>
        <w:numPr>
          <w:ilvl w:val="0"/>
          <w:numId w:val="0"/>
        </w:numPr>
        <w:jc w:val="center"/>
        <w:rPr>
          <w:rFonts w:hint="eastAsia"/>
          <w:sz w:val="32"/>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jc w:val="both"/>
        <w:textAlignment w:val="auto"/>
        <w:rPr>
          <w:rFonts w:hint="eastAsia"/>
          <w:sz w:val="32"/>
          <w:szCs w:val="24"/>
          <w:lang w:val="en-US" w:eastAsia="zh-CN"/>
        </w:rPr>
      </w:pPr>
    </w:p>
    <w:p>
      <w:pPr>
        <w:widowControl w:val="0"/>
        <w:numPr>
          <w:ilvl w:val="0"/>
          <w:numId w:val="0"/>
        </w:numPr>
        <w:jc w:val="center"/>
        <w:rPr>
          <w:rFonts w:hint="eastAsia"/>
          <w:sz w:val="32"/>
          <w:szCs w:val="24"/>
          <w:lang w:val="en-US" w:eastAsia="zh-CN"/>
        </w:rPr>
      </w:pPr>
    </w:p>
    <w:p>
      <w:pPr>
        <w:widowControl w:val="0"/>
        <w:numPr>
          <w:ilvl w:val="0"/>
          <w:numId w:val="0"/>
        </w:numPr>
        <w:jc w:val="center"/>
        <w:rPr>
          <w:rFonts w:hint="default"/>
          <w:sz w:val="32"/>
          <w:szCs w:val="24"/>
          <w:lang w:val="en-US" w:eastAsia="zh-CN"/>
        </w:rPr>
      </w:pPr>
      <w:r>
        <w:rPr>
          <w:rFonts w:hint="eastAsia"/>
          <w:sz w:val="32"/>
          <w:szCs w:val="24"/>
          <w:lang w:val="en-US" w:eastAsia="zh-CN"/>
        </w:rPr>
        <w:t>鲁法政办</w:t>
      </w:r>
      <w:r>
        <w:rPr>
          <w:rFonts w:hint="eastAsia" w:ascii="仿宋_GB2312" w:hAnsi="仿宋_GB2312" w:eastAsia="仿宋_GB2312" w:cs="仿宋_GB2312"/>
          <w:sz w:val="32"/>
          <w:szCs w:val="24"/>
          <w:lang w:val="en-US" w:eastAsia="zh-CN"/>
        </w:rPr>
        <w:t>〔</w:t>
      </w:r>
      <w:r>
        <w:rPr>
          <w:rFonts w:hint="eastAsia" w:cs="仿宋_GB2312"/>
          <w:sz w:val="32"/>
          <w:szCs w:val="24"/>
          <w:lang w:val="en-US" w:eastAsia="zh-CN"/>
        </w:rPr>
        <w:t>2023</w:t>
      </w:r>
      <w:r>
        <w:rPr>
          <w:rFonts w:hint="eastAsia" w:ascii="仿宋_GB2312" w:hAnsi="仿宋_GB2312" w:eastAsia="仿宋_GB2312" w:cs="仿宋_GB2312"/>
          <w:sz w:val="32"/>
          <w:szCs w:val="24"/>
          <w:lang w:val="en-US" w:eastAsia="zh-CN"/>
        </w:rPr>
        <w:t>〕</w:t>
      </w:r>
      <w:r>
        <w:rPr>
          <w:rFonts w:hint="eastAsia" w:cs="仿宋_GB2312"/>
          <w:sz w:val="32"/>
          <w:szCs w:val="24"/>
          <w:highlight w:val="none"/>
          <w:lang w:val="en-US" w:eastAsia="zh-CN"/>
        </w:rPr>
        <w:t>6号</w:t>
      </w:r>
    </w:p>
    <w:p>
      <w:pPr>
        <w:keepNext w:val="0"/>
        <w:keepLines w:val="0"/>
        <w:pageBreakBefore w:val="0"/>
        <w:widowControl w:val="0"/>
        <w:numPr>
          <w:ilvl w:val="0"/>
          <w:numId w:val="0"/>
        </w:numPr>
        <w:kinsoku/>
        <w:wordWrap/>
        <w:overflowPunct/>
        <w:topLinePunct w:val="0"/>
        <w:autoSpaceDE/>
        <w:autoSpaceDN/>
        <w:bidi w:val="0"/>
        <w:adjustRightInd/>
        <w:snapToGrid/>
        <w:spacing w:line="1200" w:lineRule="exact"/>
        <w:jc w:val="center"/>
        <w:textAlignment w:val="auto"/>
        <w:rPr>
          <w:rFonts w:hint="eastAsia"/>
          <w:sz w:val="32"/>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36"/>
          <w:lang w:val="en-US" w:eastAsia="zh-CN"/>
        </w:rPr>
      </w:pPr>
      <w:r>
        <w:rPr>
          <w:rFonts w:hint="eastAsia" w:ascii="方正小标宋简体" w:hAnsi="方正小标宋简体" w:eastAsia="方正小标宋简体" w:cs="方正小标宋简体"/>
          <w:sz w:val="44"/>
          <w:szCs w:val="36"/>
          <w:lang w:val="en-US" w:eastAsia="zh-CN"/>
        </w:rPr>
        <w:t>鲁山县法治政府建设领导小组办公室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36"/>
          <w:lang w:val="en-US" w:eastAsia="zh-CN"/>
        </w:rPr>
      </w:pPr>
      <w:r>
        <w:rPr>
          <w:rFonts w:hint="eastAsia" w:ascii="方正小标宋简体" w:hAnsi="方正小标宋简体" w:eastAsia="方正小标宋简体" w:cs="方正小标宋简体"/>
          <w:sz w:val="44"/>
          <w:szCs w:val="36"/>
          <w:lang w:val="en-US" w:eastAsia="zh-CN"/>
        </w:rPr>
        <w:t>关于印发2023年</w:t>
      </w:r>
      <w:bookmarkStart w:id="0" w:name="_GoBack"/>
      <w:bookmarkEnd w:id="0"/>
      <w:r>
        <w:rPr>
          <w:rFonts w:hint="eastAsia" w:ascii="方正小标宋简体" w:hAnsi="方正小标宋简体" w:eastAsia="方正小标宋简体" w:cs="方正小标宋简体"/>
          <w:sz w:val="44"/>
          <w:szCs w:val="36"/>
          <w:lang w:val="en-US" w:eastAsia="zh-CN"/>
        </w:rPr>
        <w:t>度全县推进服务型行政执法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36"/>
          <w:lang w:val="en-US" w:eastAsia="zh-CN"/>
        </w:rPr>
      </w:pPr>
      <w:r>
        <w:rPr>
          <w:rFonts w:hint="eastAsia" w:ascii="方正小标宋简体" w:hAnsi="方正小标宋简体" w:eastAsia="方正小标宋简体" w:cs="方正小标宋简体"/>
          <w:sz w:val="44"/>
          <w:szCs w:val="36"/>
          <w:lang w:val="en-US" w:eastAsia="zh-CN"/>
        </w:rPr>
        <w:t>建设工作要点的通知</w:t>
      </w:r>
    </w:p>
    <w:p>
      <w:pPr>
        <w:widowControl w:val="0"/>
        <w:numPr>
          <w:ilvl w:val="0"/>
          <w:numId w:val="0"/>
        </w:numPr>
        <w:jc w:val="left"/>
        <w:rPr>
          <w:rFonts w:hint="eastAsia"/>
          <w:sz w:val="32"/>
          <w:szCs w:val="24"/>
          <w:lang w:val="en-US" w:eastAsia="zh-CN"/>
        </w:rPr>
      </w:pPr>
    </w:p>
    <w:p>
      <w:pPr>
        <w:widowControl w:val="0"/>
        <w:numPr>
          <w:ilvl w:val="0"/>
          <w:numId w:val="0"/>
        </w:numPr>
        <w:jc w:val="left"/>
        <w:rPr>
          <w:rFonts w:hint="eastAsia"/>
          <w:sz w:val="32"/>
          <w:szCs w:val="24"/>
          <w:lang w:val="en-US" w:eastAsia="zh-CN"/>
        </w:rPr>
      </w:pPr>
      <w:r>
        <w:rPr>
          <w:rFonts w:hint="eastAsia"/>
          <w:sz w:val="32"/>
          <w:szCs w:val="24"/>
          <w:lang w:val="en-US" w:eastAsia="zh-CN"/>
        </w:rPr>
        <w:t>各行政执法单位：</w:t>
      </w:r>
    </w:p>
    <w:p>
      <w:pPr>
        <w:widowControl w:val="0"/>
        <w:numPr>
          <w:ilvl w:val="0"/>
          <w:numId w:val="0"/>
        </w:numPr>
        <w:ind w:firstLine="631"/>
        <w:jc w:val="left"/>
        <w:rPr>
          <w:rFonts w:hint="eastAsia"/>
          <w:sz w:val="32"/>
          <w:szCs w:val="24"/>
          <w:lang w:val="en-US" w:eastAsia="zh-CN"/>
        </w:rPr>
      </w:pPr>
      <w:r>
        <w:rPr>
          <w:rFonts w:hint="eastAsia"/>
          <w:sz w:val="32"/>
          <w:szCs w:val="24"/>
          <w:lang w:val="en-US" w:eastAsia="zh-CN"/>
        </w:rPr>
        <w:t>现将《2023年度全县推进服务型行政执法建设工作要点》印发给你们，请结合实际，抓好贯彻落实。</w:t>
      </w:r>
    </w:p>
    <w:p>
      <w:pPr>
        <w:widowControl w:val="0"/>
        <w:numPr>
          <w:ilvl w:val="0"/>
          <w:numId w:val="0"/>
        </w:numPr>
        <w:ind w:firstLine="631"/>
        <w:jc w:val="left"/>
        <w:rPr>
          <w:rFonts w:hint="eastAsia"/>
          <w:sz w:val="32"/>
          <w:szCs w:val="24"/>
          <w:lang w:val="en-US" w:eastAsia="zh-CN"/>
        </w:rPr>
      </w:pPr>
    </w:p>
    <w:p>
      <w:pPr>
        <w:widowControl w:val="0"/>
        <w:numPr>
          <w:ilvl w:val="0"/>
          <w:numId w:val="0"/>
        </w:numPr>
        <w:jc w:val="left"/>
        <w:rPr>
          <w:rFonts w:hint="eastAsia"/>
          <w:sz w:val="32"/>
          <w:szCs w:val="24"/>
          <w:lang w:val="en-US" w:eastAsia="zh-CN"/>
        </w:rPr>
      </w:pPr>
    </w:p>
    <w:p>
      <w:pPr>
        <w:widowControl w:val="0"/>
        <w:numPr>
          <w:ilvl w:val="0"/>
          <w:numId w:val="0"/>
        </w:numPr>
        <w:wordWrap w:val="0"/>
        <w:ind w:firstLine="2516" w:firstLineChars="796"/>
        <w:jc w:val="right"/>
        <w:rPr>
          <w:rFonts w:hint="default"/>
          <w:sz w:val="32"/>
          <w:szCs w:val="24"/>
          <w:lang w:val="en-US" w:eastAsia="zh-CN"/>
        </w:rPr>
      </w:pPr>
      <w:r>
        <w:rPr>
          <w:rFonts w:hint="eastAsia"/>
          <w:sz w:val="32"/>
          <w:szCs w:val="24"/>
          <w:lang w:val="en-US" w:eastAsia="zh-CN"/>
        </w:rPr>
        <w:t xml:space="preserve">鲁山县法治政府建设领导小组办公室 </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jc w:val="right"/>
        <w:textAlignment w:val="auto"/>
        <w:rPr>
          <w:rFonts w:hint="default"/>
          <w:sz w:val="32"/>
          <w:szCs w:val="24"/>
          <w:lang w:val="en-US" w:eastAsia="zh-CN"/>
        </w:rPr>
        <w:sectPr>
          <w:pgSz w:w="11906" w:h="16838"/>
          <w:pgMar w:top="2098" w:right="1474" w:bottom="1984" w:left="1587" w:header="0" w:footer="1531" w:gutter="0"/>
          <w:pgNumType w:fmt="decimal"/>
          <w:cols w:space="720" w:num="1"/>
          <w:rtlGutter w:val="0"/>
          <w:docGrid w:type="linesAndChars" w:linePitch="579" w:charSpace="-842"/>
        </w:sectPr>
      </w:pPr>
      <w:r>
        <w:rPr>
          <w:rFonts w:hint="eastAsia"/>
          <w:sz w:val="32"/>
          <w:szCs w:val="24"/>
          <w:lang w:val="en-US" w:eastAsia="zh-CN"/>
        </w:rPr>
        <w:fldChar w:fldCharType="begin"/>
      </w:r>
      <w:r>
        <w:rPr>
          <w:rFonts w:hint="eastAsia"/>
          <w:sz w:val="32"/>
          <w:szCs w:val="24"/>
          <w:lang w:val="en-US" w:eastAsia="zh-CN"/>
        </w:rPr>
        <w:instrText xml:space="preserve">Time \@ "yyyy年M月d日"</w:instrText>
      </w:r>
      <w:r>
        <w:rPr>
          <w:rFonts w:hint="eastAsia"/>
          <w:sz w:val="32"/>
          <w:szCs w:val="24"/>
          <w:lang w:val="en-US" w:eastAsia="zh-CN"/>
        </w:rPr>
        <w:fldChar w:fldCharType="separate"/>
      </w:r>
      <w:r>
        <w:rPr>
          <w:rFonts w:hint="eastAsia"/>
          <w:sz w:val="32"/>
          <w:szCs w:val="24"/>
          <w:lang w:val="en-US" w:eastAsia="zh-CN"/>
        </w:rPr>
        <w:t>2023年7月12日</w:t>
      </w:r>
      <w:r>
        <w:rPr>
          <w:rFonts w:hint="eastAsia"/>
          <w:sz w:val="32"/>
          <w:szCs w:val="24"/>
          <w:lang w:val="en-US" w:eastAsia="zh-CN"/>
        </w:rPr>
        <w:fldChar w:fldCharType="end"/>
      </w:r>
      <w:r>
        <w:rPr>
          <w:rFonts w:hint="eastAsia"/>
          <w:sz w:val="32"/>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36"/>
          <w:lang w:val="en-US" w:eastAsia="zh-CN"/>
        </w:rPr>
      </w:pPr>
      <w:r>
        <w:rPr>
          <w:rFonts w:hint="eastAsia" w:ascii="方正小标宋简体" w:hAnsi="方正小标宋简体" w:eastAsia="方正小标宋简体" w:cs="方正小标宋简体"/>
          <w:sz w:val="44"/>
          <w:szCs w:val="36"/>
          <w:lang w:val="en-US" w:eastAsia="zh-CN"/>
        </w:rPr>
        <w:t>2023年度全县推进服务型行政执法</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36"/>
          <w:lang w:val="en-US" w:eastAsia="zh-CN"/>
        </w:rPr>
      </w:pPr>
      <w:r>
        <w:rPr>
          <w:rFonts w:hint="eastAsia" w:ascii="方正小标宋简体" w:hAnsi="方正小标宋简体" w:eastAsia="方正小标宋简体" w:cs="方正小标宋简体"/>
          <w:sz w:val="44"/>
          <w:szCs w:val="36"/>
          <w:lang w:val="en-US" w:eastAsia="zh-CN"/>
        </w:rPr>
        <w:t>建设工作要点</w:t>
      </w:r>
    </w:p>
    <w:p>
      <w:pPr>
        <w:widowControl w:val="0"/>
        <w:numPr>
          <w:ilvl w:val="0"/>
          <w:numId w:val="0"/>
        </w:numPr>
        <w:ind w:firstLine="631"/>
        <w:jc w:val="left"/>
        <w:rPr>
          <w:rFonts w:hint="eastAsia"/>
          <w:sz w:val="32"/>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left"/>
        <w:textAlignment w:val="auto"/>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一、明确工作任务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left"/>
        <w:textAlignment w:val="auto"/>
        <w:rPr>
          <w:rFonts w:hint="default"/>
          <w:sz w:val="32"/>
          <w:szCs w:val="24"/>
          <w:lang w:val="en-US" w:eastAsia="zh-CN"/>
        </w:rPr>
      </w:pPr>
      <w:r>
        <w:rPr>
          <w:rFonts w:hint="eastAsia" w:ascii="楷体_GB2312" w:hAnsi="楷体_GB2312" w:eastAsia="楷体_GB2312" w:cs="楷体_GB2312"/>
          <w:sz w:val="32"/>
          <w:szCs w:val="24"/>
          <w:lang w:val="en-US" w:eastAsia="zh-CN"/>
        </w:rPr>
        <w:t>（一）服务中心大局。</w:t>
      </w:r>
      <w:r>
        <w:rPr>
          <w:rFonts w:hint="eastAsia"/>
          <w:sz w:val="32"/>
          <w:szCs w:val="24"/>
          <w:lang w:val="en-US" w:eastAsia="zh-CN"/>
        </w:rPr>
        <w:t>各行政执法单位要认真贯彻落实“全省推进服务型行政执法创新工作交流会”及市会议精神，结合“放管服”改革、优化营商环境、“三个一批、万人助万企”等中心工作，积极探索拓展服务领域，在更大范围、更多领域方便群众和企业办事，在全覆盖上下功夫；对已有的服务项目，采取措施继续提高服务质量，要最大化减少证明材料、减少办理环节、压缩办理时限，在提高效率上下功夫；要将服务理念有效融入日常监管和行政执法全过程、各方面，实现管理、执法和服务有机统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left"/>
        <w:textAlignment w:val="auto"/>
        <w:rPr>
          <w:rFonts w:hint="default"/>
          <w:sz w:val="32"/>
          <w:szCs w:val="24"/>
          <w:lang w:val="en-US" w:eastAsia="zh-CN"/>
        </w:rPr>
      </w:pPr>
      <w:r>
        <w:rPr>
          <w:rFonts w:hint="eastAsia" w:ascii="楷体_GB2312" w:hAnsi="楷体_GB2312" w:eastAsia="楷体_GB2312" w:cs="楷体_GB2312"/>
          <w:sz w:val="32"/>
          <w:szCs w:val="24"/>
          <w:lang w:val="en-US" w:eastAsia="zh-CN"/>
        </w:rPr>
        <w:t>（二）聚焦人民满意。</w:t>
      </w:r>
      <w:r>
        <w:rPr>
          <w:rFonts w:hint="eastAsia"/>
          <w:sz w:val="32"/>
          <w:szCs w:val="24"/>
          <w:lang w:val="en-US" w:eastAsia="zh-CN"/>
        </w:rPr>
        <w:t>各行政执法单位要按照中共中央办公厅印发的《关于在全党大兴调研研究的工作方法》和我省的实施方案要求，坚持问题导向，深入基层调研。要聚焦人民群众新需求，了解人民群众办事的难点是什么、堵点在哪里，厘清本地本系统现有服务项目、服务能力、服务水平和人民群众需求之间的差距，要注重“互联网+大数据”在管理、执法、服务中的深度应用，及时回应人民群众新期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left"/>
        <w:textAlignment w:val="auto"/>
        <w:rPr>
          <w:rFonts w:hint="default"/>
          <w:sz w:val="32"/>
          <w:szCs w:val="24"/>
          <w:lang w:val="en-US" w:eastAsia="zh-CN"/>
        </w:rPr>
      </w:pPr>
      <w:r>
        <w:rPr>
          <w:rFonts w:hint="eastAsia" w:ascii="楷体_GB2312" w:hAnsi="楷体_GB2312" w:eastAsia="楷体_GB2312" w:cs="楷体_GB2312"/>
          <w:sz w:val="32"/>
          <w:szCs w:val="24"/>
          <w:lang w:val="en-US" w:eastAsia="zh-CN"/>
        </w:rPr>
        <w:t>（三）持续探索创新。</w:t>
      </w:r>
      <w:r>
        <w:rPr>
          <w:rFonts w:hint="eastAsia"/>
          <w:sz w:val="32"/>
          <w:szCs w:val="24"/>
          <w:lang w:val="en-US" w:eastAsia="zh-CN"/>
        </w:rPr>
        <w:t>各行政执法单位应当结合行政职权和工作实际，探索创新服务型行政执法新举措，以“小切口”体现“大服务”。同时，建立基层服务型行政执法联系点、联系员制度，完善满意度调查和意见建议征集机制。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left"/>
        <w:textAlignment w:val="auto"/>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二、提升工作能力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left"/>
        <w:textAlignment w:val="auto"/>
        <w:rPr>
          <w:rFonts w:hint="default"/>
          <w:sz w:val="32"/>
          <w:szCs w:val="24"/>
          <w:lang w:val="en-US" w:eastAsia="zh-CN"/>
        </w:rPr>
      </w:pPr>
      <w:r>
        <w:rPr>
          <w:rFonts w:hint="eastAsia" w:ascii="楷体_GB2312" w:hAnsi="楷体_GB2312" w:eastAsia="楷体_GB2312" w:cs="楷体_GB2312"/>
          <w:sz w:val="32"/>
          <w:szCs w:val="24"/>
          <w:lang w:val="en-US" w:eastAsia="zh-CN"/>
        </w:rPr>
        <w:t>（四）深化“微宣讲、走基层”活动。</w:t>
      </w:r>
      <w:r>
        <w:rPr>
          <w:rFonts w:hint="eastAsia"/>
          <w:sz w:val="32"/>
          <w:szCs w:val="24"/>
          <w:lang w:val="en-US" w:eastAsia="zh-CN"/>
        </w:rPr>
        <w:t>各行政执法单位要持续开展“微宣讲、走基层”活动。突出“微”字，内容上，结合基层执法人员现有水平，一次讲透一个知识点；时间上，结合基层现实工作特点，一次安排一个课时；方法上，结合常见案例、事例，寓服务理念于执法实践中。突出“走”字，授课员要深入基层单位和执法一线，既可以通过小讲堂、小培训等授课形式讲解，也可以通过小调研、小讲座等互动形式交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left"/>
        <w:textAlignment w:val="auto"/>
        <w:rPr>
          <w:rFonts w:hint="default"/>
          <w:sz w:val="32"/>
          <w:szCs w:val="24"/>
          <w:lang w:val="en-US" w:eastAsia="zh-CN"/>
        </w:rPr>
      </w:pPr>
      <w:r>
        <w:rPr>
          <w:rFonts w:hint="eastAsia" w:ascii="楷体_GB2312" w:hAnsi="楷体_GB2312" w:eastAsia="楷体_GB2312" w:cs="楷体_GB2312"/>
          <w:sz w:val="32"/>
          <w:szCs w:val="24"/>
          <w:lang w:val="en-US" w:eastAsia="zh-CN"/>
        </w:rPr>
        <w:t>（五）打造“有温度”的执法模式。</w:t>
      </w:r>
      <w:r>
        <w:rPr>
          <w:rFonts w:hint="eastAsia"/>
          <w:sz w:val="32"/>
          <w:szCs w:val="24"/>
          <w:lang w:val="en-US" w:eastAsia="zh-CN"/>
        </w:rPr>
        <w:t>各单位要深入推行行政调解“三个融入”和行政指导融入行政处罚工作，通过召开专题部署会和经验交流座谈会，建章立制，推广使用省行政指导、行政调解规范文书，制作行政指导、行政调解案卷，统一登记、归档。公安、生态环境、住房和城乡建设、交通运输、农业农村、应急管理、市场监管、医保、税务等9个系统要深入推行相对人法律风险防控制度，采取多种形式宣传对口省、市直部门公布的行政相对人违法风险点，结合实际制定、推广防控措施。相关单位要在广泛宣传和实施防控措施上下功夫，切实将工作落实到日常监管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left"/>
        <w:textAlignment w:val="auto"/>
        <w:rPr>
          <w:rFonts w:hint="default"/>
          <w:sz w:val="32"/>
          <w:szCs w:val="24"/>
          <w:lang w:val="en-US" w:eastAsia="zh-CN"/>
        </w:rPr>
      </w:pPr>
      <w:r>
        <w:rPr>
          <w:rFonts w:hint="eastAsia" w:ascii="楷体_GB2312" w:hAnsi="楷体_GB2312" w:eastAsia="楷体_GB2312" w:cs="楷体_GB2312"/>
          <w:sz w:val="32"/>
          <w:szCs w:val="24"/>
          <w:lang w:val="en-US" w:eastAsia="zh-CN"/>
        </w:rPr>
        <w:t>（六）常态化组织比武练兵。</w:t>
      </w:r>
      <w:r>
        <w:rPr>
          <w:rFonts w:hint="eastAsia"/>
          <w:sz w:val="32"/>
          <w:szCs w:val="24"/>
          <w:lang w:val="en-US" w:eastAsia="zh-CN"/>
        </w:rPr>
        <w:t>各行政执法单位要结合“微宣讲、走基层”活动，定期组织基层执法人员开展服务型行政执法比武活动，通过现场测试、执法观察、案卷评查、满意度调查等方式，比一比谁的理论知识掌握最牢，看一看谁的执法方式运用最佳，评一评谁的执法案卷制作最好，议一议谁的执法满意度最高。通过参加市法治政府建设领导小组办公室组织的“学习贯彻党的二十大精神暨第三届全市服务型行政执法比武活动”（见附件），以赛促学习、以赛促提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left"/>
        <w:textAlignment w:val="auto"/>
        <w:rPr>
          <w:rFonts w:hint="default"/>
          <w:sz w:val="32"/>
          <w:szCs w:val="24"/>
          <w:lang w:val="en-US" w:eastAsia="zh-CN"/>
        </w:rPr>
      </w:pPr>
      <w:r>
        <w:rPr>
          <w:rFonts w:hint="eastAsia" w:ascii="楷体_GB2312" w:hAnsi="楷体_GB2312" w:eastAsia="楷体_GB2312" w:cs="楷体_GB2312"/>
          <w:sz w:val="32"/>
          <w:szCs w:val="24"/>
          <w:lang w:val="en-US" w:eastAsia="zh-CN"/>
        </w:rPr>
        <w:t>（七）广泛开展创建示范活动。</w:t>
      </w:r>
      <w:r>
        <w:rPr>
          <w:rFonts w:hint="eastAsia"/>
          <w:sz w:val="32"/>
          <w:szCs w:val="24"/>
          <w:lang w:val="en-US" w:eastAsia="zh-CN"/>
        </w:rPr>
        <w:t>持续开展服务型行政执法示范点（标兵）创建示范活动，并将“结对子、传帮带”、理论测试、案卷评查，作为培育、验收服务型行政执法示范点（标兵）的关键环节，各单位要按照《创建示范活动管理办法（试行）》的要求，积极广泛地参与，以创建促提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left"/>
        <w:textAlignment w:val="auto"/>
        <w:rPr>
          <w:rFonts w:hint="default" w:ascii="黑体" w:hAnsi="黑体" w:eastAsia="黑体" w:cs="黑体"/>
          <w:sz w:val="32"/>
          <w:szCs w:val="24"/>
          <w:lang w:val="en-US" w:eastAsia="zh-CN"/>
        </w:rPr>
      </w:pPr>
      <w:r>
        <w:rPr>
          <w:rFonts w:hint="eastAsia" w:ascii="黑体" w:hAnsi="黑体" w:eastAsia="黑体" w:cs="黑体"/>
          <w:sz w:val="32"/>
          <w:szCs w:val="24"/>
          <w:lang w:val="en-US" w:eastAsia="zh-CN"/>
        </w:rPr>
        <w:t>三、加强工作保障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1"/>
        <w:jc w:val="left"/>
        <w:textAlignment w:val="auto"/>
        <w:rPr>
          <w:rFonts w:hint="default"/>
          <w:sz w:val="32"/>
          <w:szCs w:val="24"/>
          <w:lang w:val="en-US" w:eastAsia="zh-CN"/>
        </w:rPr>
      </w:pPr>
      <w:r>
        <w:rPr>
          <w:rFonts w:hint="eastAsia" w:ascii="楷体_GB2312" w:hAnsi="楷体_GB2312" w:eastAsia="楷体_GB2312" w:cs="楷体_GB2312"/>
          <w:sz w:val="32"/>
          <w:szCs w:val="24"/>
          <w:lang w:val="en-US" w:eastAsia="zh-CN"/>
        </w:rPr>
        <w:t>（八）加强组织领导。</w:t>
      </w:r>
      <w:r>
        <w:rPr>
          <w:rFonts w:hint="eastAsia"/>
          <w:sz w:val="32"/>
          <w:szCs w:val="24"/>
          <w:lang w:val="en-US" w:eastAsia="zh-CN"/>
        </w:rPr>
        <w:t>自今年始，年度服务型行政执法工作评价将更侧重于实地核验和群众满意度调查。各行政执法单位要高度重视，进一步明确责任分工，按照时间节点，抓实、抓紧、抓出成效。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1"/>
        <w:jc w:val="left"/>
        <w:textAlignment w:val="auto"/>
        <w:rPr>
          <w:rFonts w:hint="default"/>
          <w:sz w:val="32"/>
          <w:szCs w:val="24"/>
          <w:lang w:val="en-US" w:eastAsia="zh-CN"/>
        </w:rPr>
      </w:pPr>
      <w:r>
        <w:rPr>
          <w:rFonts w:hint="eastAsia" w:ascii="楷体_GB2312" w:hAnsi="楷体_GB2312" w:eastAsia="楷体_GB2312" w:cs="楷体_GB2312"/>
          <w:sz w:val="32"/>
          <w:szCs w:val="24"/>
          <w:lang w:val="en-US" w:eastAsia="zh-CN"/>
        </w:rPr>
        <w:t>（九）注重培育指导。</w:t>
      </w:r>
      <w:r>
        <w:rPr>
          <w:rFonts w:hint="eastAsia"/>
          <w:sz w:val="32"/>
          <w:szCs w:val="24"/>
          <w:lang w:val="en-US" w:eastAsia="zh-CN"/>
        </w:rPr>
        <w:t>县法治政府建设领导小组办公室将选取部分单位，以“问需于民、问计于民”为原则，进行重点培育指导。同时，各单位要以问题为导向，通过收集发现、研究解决基层推进服务型行政执法中的问题，促进依法行政水平整体提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1"/>
        <w:jc w:val="left"/>
        <w:textAlignment w:val="auto"/>
        <w:rPr>
          <w:rFonts w:hint="eastAsia"/>
          <w:sz w:val="32"/>
          <w:szCs w:val="24"/>
          <w:lang w:val="en-US" w:eastAsia="zh-CN"/>
        </w:rPr>
      </w:pPr>
      <w:r>
        <w:rPr>
          <w:rFonts w:hint="eastAsia" w:ascii="楷体_GB2312" w:hAnsi="楷体_GB2312" w:eastAsia="楷体_GB2312" w:cs="楷体_GB2312"/>
          <w:sz w:val="32"/>
          <w:szCs w:val="24"/>
          <w:lang w:val="en-US" w:eastAsia="zh-CN"/>
        </w:rPr>
        <w:t>（十）大力宣传引导。</w:t>
      </w:r>
      <w:r>
        <w:rPr>
          <w:rFonts w:hint="eastAsia"/>
          <w:sz w:val="32"/>
          <w:szCs w:val="24"/>
          <w:lang w:val="en-US" w:eastAsia="zh-CN"/>
        </w:rPr>
        <w:t>各行政执法单位要积极挖掘、总结服务型行政执法亮点做法、典型案例，注重数据分析对比，广泛宣传报道，切实提升人民群众知晓率和满意度。各单位要深入挖掘和积极总结服务型行政执法典型案例，每季度上报不少于1个案例，在每季度结束前报送至鲁山县法治政府建设领导小组办公室（司法大楼504房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1"/>
        <w:jc w:val="left"/>
        <w:textAlignment w:val="auto"/>
        <w:rPr>
          <w:rFonts w:hint="default"/>
          <w:sz w:val="32"/>
          <w:szCs w:val="24"/>
          <w:lang w:val="en-US" w:eastAsia="zh-CN"/>
        </w:rPr>
      </w:pPr>
      <w:r>
        <w:rPr>
          <w:rFonts w:hint="eastAsia" w:ascii="楷体_GB2312" w:hAnsi="楷体_GB2312" w:eastAsia="楷体_GB2312" w:cs="楷体_GB2312"/>
          <w:sz w:val="32"/>
          <w:szCs w:val="24"/>
          <w:lang w:val="en-US" w:eastAsia="zh-CN"/>
        </w:rPr>
        <w:t>（十一）强化督导考核。</w:t>
      </w:r>
      <w:r>
        <w:rPr>
          <w:rFonts w:hint="eastAsia"/>
          <w:sz w:val="32"/>
          <w:szCs w:val="24"/>
          <w:lang w:val="en-US" w:eastAsia="zh-CN"/>
        </w:rPr>
        <w:t>县法治政府建设领导小组办公室将加强对各行政执法单位推进工作的督导考核，对承担重点任务或在工作中探索创新、表现突出的，在考核中酌情加分；对存在不作为或者乱作为、牟利执法、粗暴执法等侵犯公民、法人或者其他组织合法权益的，在考核中予以扣分，并建议有关单位依规依纪依法追究责任、责令整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1"/>
        <w:jc w:val="left"/>
        <w:textAlignment w:val="auto"/>
        <w:rPr>
          <w:rFonts w:hint="eastAsia"/>
          <w:sz w:val="32"/>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1"/>
        <w:jc w:val="left"/>
        <w:textAlignment w:val="auto"/>
        <w:rPr>
          <w:rFonts w:hint="eastAsia"/>
          <w:sz w:val="32"/>
          <w:szCs w:val="24"/>
          <w:lang w:val="en-US" w:eastAsia="zh-CN"/>
        </w:rPr>
      </w:pPr>
      <w:r>
        <w:rPr>
          <w:rFonts w:hint="eastAsia"/>
          <w:sz w:val="32"/>
          <w:szCs w:val="24"/>
          <w:lang w:val="en-US" w:eastAsia="zh-CN"/>
        </w:rPr>
        <w:t>联系人：高浩博  联系电话：0375-7653158</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1"/>
        <w:jc w:val="left"/>
        <w:textAlignment w:val="auto"/>
        <w:rPr>
          <w:rFonts w:hint="default"/>
          <w:sz w:val="32"/>
          <w:szCs w:val="24"/>
          <w:lang w:val="en-US" w:eastAsia="zh-CN"/>
        </w:rPr>
      </w:pPr>
      <w:r>
        <w:rPr>
          <w:rFonts w:hint="eastAsia"/>
          <w:sz w:val="32"/>
          <w:szCs w:val="24"/>
          <w:lang w:val="en-US" w:eastAsia="zh-CN"/>
        </w:rPr>
        <w:t>邮  箱：lsxfzzx@163.com</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sz w:val="32"/>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580" w:hanging="1580" w:hangingChars="500"/>
        <w:jc w:val="left"/>
        <w:textAlignment w:val="auto"/>
        <w:rPr>
          <w:rFonts w:hint="eastAsia"/>
          <w:sz w:val="32"/>
          <w:szCs w:val="24"/>
          <w:lang w:val="en-US" w:eastAsia="zh-CN"/>
        </w:rPr>
      </w:pPr>
      <w:r>
        <w:rPr>
          <w:rFonts w:hint="eastAsia"/>
          <w:sz w:val="32"/>
          <w:szCs w:val="24"/>
          <w:lang w:val="en-US" w:eastAsia="zh-CN"/>
        </w:rPr>
        <w:t xml:space="preserve">    附件：学习贯彻党的二十大精神暨参加全市第三届服务型行政执法比武活动方案</w:t>
      </w:r>
    </w:p>
    <w:p>
      <w:pPr>
        <w:rPr>
          <w:rFonts w:hint="eastAsia"/>
          <w:sz w:val="32"/>
          <w:szCs w:val="24"/>
          <w:lang w:val="en-US" w:eastAsia="zh-CN"/>
        </w:rPr>
      </w:pPr>
      <w:r>
        <w:rPr>
          <w:rFonts w:hint="eastAsia"/>
          <w:sz w:val="32"/>
          <w:szCs w:val="24"/>
          <w:lang w:val="en-US" w:eastAsia="zh-CN"/>
        </w:rPr>
        <w:br w:type="page"/>
      </w:r>
    </w:p>
    <w:p>
      <w:pPr>
        <w:widowControl w:val="0"/>
        <w:numPr>
          <w:ilvl w:val="0"/>
          <w:numId w:val="0"/>
        </w:numPr>
        <w:ind w:left="1580" w:hanging="1580" w:hangingChars="500"/>
        <w:jc w:val="left"/>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附  件</w:t>
      </w:r>
    </w:p>
    <w:p>
      <w:pPr>
        <w:widowControl w:val="0"/>
        <w:numPr>
          <w:ilvl w:val="0"/>
          <w:numId w:val="0"/>
        </w:numPr>
        <w:ind w:left="1580" w:hanging="1580" w:hangingChars="500"/>
        <w:jc w:val="left"/>
        <w:rPr>
          <w:rFonts w:hint="default"/>
          <w:sz w:val="32"/>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hanging="2180" w:hangingChars="500"/>
        <w:jc w:val="center"/>
        <w:textAlignment w:val="auto"/>
        <w:rPr>
          <w:rFonts w:hint="eastAsia" w:ascii="方正小标宋简体" w:hAnsi="方正小标宋简体" w:eastAsia="方正小标宋简体" w:cs="方正小标宋简体"/>
          <w:sz w:val="44"/>
          <w:szCs w:val="36"/>
          <w:lang w:val="en-US" w:eastAsia="zh-CN"/>
        </w:rPr>
      </w:pPr>
      <w:r>
        <w:rPr>
          <w:rFonts w:hint="eastAsia" w:ascii="方正小标宋简体" w:hAnsi="方正小标宋简体" w:eastAsia="方正小标宋简体" w:cs="方正小标宋简体"/>
          <w:sz w:val="44"/>
          <w:szCs w:val="36"/>
          <w:lang w:val="en-US" w:eastAsia="zh-CN"/>
        </w:rPr>
        <w:t>学习贯彻党的二十大精神暨</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0" w:hanging="2180" w:hangingChars="500"/>
        <w:jc w:val="center"/>
        <w:textAlignment w:val="auto"/>
        <w:rPr>
          <w:rFonts w:hint="eastAsia" w:ascii="方正小标宋简体" w:hAnsi="方正小标宋简体" w:eastAsia="方正小标宋简体" w:cs="方正小标宋简体"/>
          <w:sz w:val="44"/>
          <w:szCs w:val="36"/>
          <w:lang w:val="en-US" w:eastAsia="zh-CN"/>
        </w:rPr>
      </w:pPr>
      <w:r>
        <w:rPr>
          <w:rFonts w:hint="eastAsia" w:ascii="方正小标宋简体" w:hAnsi="方正小标宋简体" w:eastAsia="方正小标宋简体" w:cs="方正小标宋简体"/>
          <w:sz w:val="44"/>
          <w:szCs w:val="36"/>
          <w:lang w:val="en-US" w:eastAsia="zh-CN"/>
        </w:rPr>
        <w:t>参加全市第三届服务型行政执法比武活动方案</w:t>
      </w:r>
    </w:p>
    <w:p>
      <w:pPr>
        <w:widowControl w:val="0"/>
        <w:numPr>
          <w:ilvl w:val="0"/>
          <w:numId w:val="0"/>
        </w:numPr>
        <w:jc w:val="left"/>
        <w:rPr>
          <w:rFonts w:hint="eastAsia"/>
          <w:sz w:val="32"/>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left"/>
        <w:textAlignment w:val="auto"/>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一、参赛单位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left"/>
        <w:textAlignment w:val="auto"/>
        <w:rPr>
          <w:rFonts w:hint="eastAsia"/>
          <w:sz w:val="32"/>
          <w:szCs w:val="24"/>
          <w:lang w:val="en-US" w:eastAsia="zh-CN"/>
        </w:rPr>
      </w:pPr>
      <w:r>
        <w:rPr>
          <w:rFonts w:hint="eastAsia"/>
          <w:sz w:val="32"/>
          <w:szCs w:val="24"/>
          <w:lang w:val="en-US" w:eastAsia="zh-CN"/>
        </w:rPr>
        <w:t>全县各行政执法单位（含乡镇综合行政执法队）。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left"/>
        <w:textAlignment w:val="auto"/>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二、具体环节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left"/>
        <w:textAlignment w:val="auto"/>
        <w:rPr>
          <w:rFonts w:hint="eastAsia" w:ascii="楷体_GB2312" w:hAnsi="楷体_GB2312" w:eastAsia="楷体_GB2312" w:cs="楷体_GB2312"/>
          <w:sz w:val="32"/>
          <w:szCs w:val="24"/>
          <w:lang w:val="en-US" w:eastAsia="zh-CN"/>
        </w:rPr>
      </w:pPr>
      <w:r>
        <w:rPr>
          <w:rFonts w:hint="eastAsia" w:ascii="楷体_GB2312" w:hAnsi="楷体_GB2312" w:eastAsia="楷体_GB2312" w:cs="楷体_GB2312"/>
          <w:sz w:val="32"/>
          <w:szCs w:val="24"/>
          <w:lang w:val="en-US" w:eastAsia="zh-CN"/>
        </w:rPr>
        <w:t>（一）理论测试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left"/>
        <w:textAlignment w:val="auto"/>
        <w:rPr>
          <w:rFonts w:hint="eastAsia"/>
          <w:sz w:val="32"/>
          <w:szCs w:val="24"/>
          <w:lang w:val="en-US" w:eastAsia="zh-CN"/>
        </w:rPr>
      </w:pPr>
      <w:r>
        <w:rPr>
          <w:rFonts w:hint="eastAsia"/>
          <w:sz w:val="32"/>
          <w:szCs w:val="24"/>
          <w:lang w:val="en-US" w:eastAsia="zh-CN"/>
        </w:rPr>
        <w:t>测试范围：省统一发布的知识点（党的二十大精神、《民法典》《行政处罚法》和服务型行政执法相关知识）。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left"/>
        <w:textAlignment w:val="auto"/>
        <w:rPr>
          <w:rFonts w:hint="eastAsia"/>
          <w:sz w:val="32"/>
          <w:szCs w:val="24"/>
          <w:lang w:val="en-US" w:eastAsia="zh-CN"/>
        </w:rPr>
      </w:pPr>
      <w:r>
        <w:rPr>
          <w:rFonts w:hint="eastAsia"/>
          <w:sz w:val="32"/>
          <w:szCs w:val="24"/>
          <w:lang w:val="en-US" w:eastAsia="zh-CN"/>
        </w:rPr>
        <w:t>参加人员：本单位50周岁以下（年龄计算时间截至2023年12月31日）行政执法人员和机关正式工作人员。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left"/>
        <w:textAlignment w:val="auto"/>
        <w:rPr>
          <w:rFonts w:hint="eastAsia"/>
          <w:sz w:val="32"/>
          <w:szCs w:val="24"/>
          <w:lang w:val="en-US" w:eastAsia="zh-CN"/>
        </w:rPr>
      </w:pPr>
      <w:r>
        <w:rPr>
          <w:rFonts w:hint="eastAsia"/>
          <w:sz w:val="32"/>
          <w:szCs w:val="24"/>
          <w:lang w:val="en-US" w:eastAsia="zh-CN"/>
        </w:rPr>
        <w:t>参加人数：从各行政执法单位随机抽调，共计150人（约占全县行政执法人员的十分之一）。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left"/>
        <w:textAlignment w:val="auto"/>
        <w:rPr>
          <w:rFonts w:hint="eastAsia"/>
          <w:sz w:val="32"/>
          <w:szCs w:val="24"/>
          <w:lang w:val="en-US" w:eastAsia="zh-CN"/>
        </w:rPr>
      </w:pPr>
      <w:r>
        <w:rPr>
          <w:rFonts w:hint="eastAsia"/>
          <w:sz w:val="32"/>
          <w:szCs w:val="24"/>
          <w:lang w:val="en-US" w:eastAsia="zh-CN"/>
        </w:rPr>
        <w:t>测试方法：分别组织现场测试，题型为单项选择、多项选择、填空、判断。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left"/>
        <w:textAlignment w:val="auto"/>
        <w:rPr>
          <w:rFonts w:hint="default"/>
          <w:sz w:val="32"/>
          <w:szCs w:val="24"/>
          <w:lang w:val="en-US" w:eastAsia="zh-CN"/>
        </w:rPr>
      </w:pPr>
      <w:r>
        <w:rPr>
          <w:rFonts w:hint="eastAsia"/>
          <w:sz w:val="32"/>
          <w:szCs w:val="24"/>
          <w:lang w:val="en-US" w:eastAsia="zh-CN"/>
        </w:rPr>
        <w:t>评判方式：取平均分，缺考按零分计算。</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left"/>
        <w:textAlignment w:val="auto"/>
        <w:rPr>
          <w:rFonts w:hint="default"/>
          <w:sz w:val="32"/>
          <w:szCs w:val="24"/>
          <w:lang w:val="en-US" w:eastAsia="zh-CN"/>
        </w:rPr>
      </w:pPr>
      <w:r>
        <w:rPr>
          <w:rFonts w:hint="eastAsia"/>
          <w:sz w:val="32"/>
          <w:szCs w:val="24"/>
          <w:lang w:val="en-US" w:eastAsia="zh-CN"/>
        </w:rPr>
        <w:t>测试时间：根据市法治政府建设领导小组办公室的工作部署，另行通知。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left"/>
        <w:textAlignment w:val="auto"/>
        <w:rPr>
          <w:rFonts w:hint="default" w:ascii="楷体_GB2312" w:hAnsi="楷体_GB2312" w:eastAsia="楷体_GB2312" w:cs="楷体_GB2312"/>
          <w:sz w:val="32"/>
          <w:szCs w:val="24"/>
          <w:lang w:val="en-US" w:eastAsia="zh-CN"/>
        </w:rPr>
      </w:pPr>
      <w:r>
        <w:rPr>
          <w:rFonts w:hint="eastAsia" w:ascii="楷体_GB2312" w:hAnsi="楷体_GB2312" w:eastAsia="楷体_GB2312" w:cs="楷体_GB2312"/>
          <w:sz w:val="32"/>
          <w:szCs w:val="24"/>
          <w:lang w:val="en-US" w:eastAsia="zh-CN"/>
        </w:rPr>
        <w:t>（二）案卷评查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1"/>
        <w:jc w:val="left"/>
        <w:textAlignment w:val="auto"/>
        <w:rPr>
          <w:rFonts w:hint="default"/>
          <w:sz w:val="32"/>
          <w:szCs w:val="24"/>
          <w:lang w:val="en-US" w:eastAsia="zh-CN"/>
        </w:rPr>
      </w:pPr>
      <w:r>
        <w:rPr>
          <w:rFonts w:hint="eastAsia"/>
          <w:sz w:val="32"/>
          <w:szCs w:val="24"/>
          <w:lang w:val="en-US" w:eastAsia="zh-CN"/>
        </w:rPr>
        <w:t>评查对象：2022年以来形成的行政执法案卷。各相关执法单位选取本部门优秀的行政指导和行政调解案卷各1本（复印件），由县法治政府建设领导小组办公室推荐至上级部门参与评查。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1"/>
        <w:jc w:val="left"/>
        <w:textAlignment w:val="auto"/>
        <w:rPr>
          <w:rFonts w:hint="eastAsia"/>
          <w:sz w:val="32"/>
          <w:szCs w:val="24"/>
          <w:lang w:val="en-US" w:eastAsia="zh-CN"/>
        </w:rPr>
      </w:pPr>
      <w:r>
        <w:rPr>
          <w:rFonts w:hint="eastAsia"/>
          <w:sz w:val="32"/>
          <w:szCs w:val="24"/>
          <w:lang w:val="en-US" w:eastAsia="zh-CN"/>
        </w:rPr>
        <w:t>评查标准：根据《河南省行政指导文书示范文本（修订）》《河南省行政指导文书使用说明》《河南省行政调解文书示范文本》《河南省行政调解文书使用说明》和行政调解告知引导制度、行政指导融入行政处罚制度等相关要求评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1"/>
        <w:jc w:val="left"/>
        <w:textAlignment w:val="auto"/>
        <w:rPr>
          <w:rFonts w:hint="default"/>
          <w:sz w:val="32"/>
          <w:szCs w:val="24"/>
          <w:lang w:val="en-US" w:eastAsia="zh-CN"/>
        </w:rPr>
      </w:pPr>
      <w:r>
        <w:rPr>
          <w:rFonts w:hint="eastAsia"/>
          <w:sz w:val="32"/>
          <w:szCs w:val="24"/>
          <w:lang w:val="en-US" w:eastAsia="zh-CN"/>
        </w:rPr>
        <w:t>评查时间：根据市法治政府建设领导小组办公室的工作部署，结合年度考核时间予以安排。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1"/>
        <w:jc w:val="left"/>
        <w:textAlignment w:val="auto"/>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三、结果认定和运用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1"/>
        <w:jc w:val="left"/>
        <w:textAlignment w:val="auto"/>
        <w:rPr>
          <w:rFonts w:hint="eastAsia"/>
          <w:sz w:val="32"/>
          <w:szCs w:val="24"/>
          <w:lang w:val="en-US" w:eastAsia="zh-CN"/>
        </w:rPr>
      </w:pPr>
      <w:r>
        <w:rPr>
          <w:rFonts w:hint="eastAsia"/>
          <w:sz w:val="32"/>
          <w:szCs w:val="24"/>
          <w:lang w:val="en-US" w:eastAsia="zh-CN"/>
        </w:rPr>
        <w:t>最终得分认定：参赛队伍得分=理论测试平均分×70%+案卷评查×30%</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1"/>
        <w:jc w:val="left"/>
        <w:textAlignment w:val="auto"/>
        <w:rPr>
          <w:rFonts w:hint="default"/>
          <w:sz w:val="32"/>
          <w:szCs w:val="24"/>
          <w:lang w:val="en-US" w:eastAsia="zh-CN"/>
        </w:rPr>
      </w:pPr>
      <w:r>
        <w:rPr>
          <w:rFonts w:hint="eastAsia"/>
          <w:sz w:val="32"/>
          <w:szCs w:val="24"/>
          <w:lang w:val="en-US" w:eastAsia="zh-CN"/>
        </w:rPr>
        <w:t>各单位得分情况将纳入法治政府建设年度考核，对成绩优秀的单位通报表扬，对存在作弊行为或弄虚作假、敷衍搪塞的单位和个人进行通报批评。</w:t>
      </w:r>
    </w:p>
    <w:p>
      <w:pPr>
        <w:widowControl w:val="0"/>
        <w:numPr>
          <w:ilvl w:val="0"/>
          <w:numId w:val="0"/>
        </w:numPr>
        <w:jc w:val="left"/>
        <w:rPr>
          <w:rFonts w:hint="default"/>
          <w:sz w:val="32"/>
          <w:szCs w:val="24"/>
          <w:lang w:val="en-US" w:eastAsia="zh-CN"/>
        </w:rPr>
      </w:pPr>
    </w:p>
    <w:p>
      <w:pPr>
        <w:widowControl w:val="0"/>
        <w:numPr>
          <w:ilvl w:val="0"/>
          <w:numId w:val="0"/>
        </w:numPr>
        <w:ind w:firstLine="631"/>
        <w:jc w:val="left"/>
        <w:rPr>
          <w:rFonts w:hint="default"/>
          <w:sz w:val="32"/>
          <w:szCs w:val="24"/>
          <w:lang w:val="en-US" w:eastAsia="zh-CN"/>
        </w:rPr>
      </w:pPr>
    </w:p>
    <w:p>
      <w:pPr>
        <w:widowControl w:val="0"/>
        <w:numPr>
          <w:ilvl w:val="0"/>
          <w:numId w:val="0"/>
        </w:numPr>
        <w:ind w:firstLine="631"/>
        <w:jc w:val="left"/>
        <w:rPr>
          <w:rFonts w:hint="default"/>
          <w:sz w:val="32"/>
          <w:szCs w:val="24"/>
          <w:lang w:val="en-US" w:eastAsia="zh-CN"/>
        </w:rPr>
      </w:pPr>
    </w:p>
    <w:p>
      <w:pPr>
        <w:widowControl w:val="0"/>
        <w:numPr>
          <w:ilvl w:val="0"/>
          <w:numId w:val="0"/>
        </w:numPr>
        <w:ind w:firstLine="631"/>
        <w:jc w:val="left"/>
        <w:rPr>
          <w:rFonts w:hint="default"/>
          <w:sz w:val="32"/>
          <w:szCs w:val="24"/>
          <w:lang w:val="en-US" w:eastAsia="zh-CN"/>
        </w:rPr>
      </w:pPr>
    </w:p>
    <w:p>
      <w:pPr>
        <w:widowControl w:val="0"/>
        <w:numPr>
          <w:ilvl w:val="0"/>
          <w:numId w:val="0"/>
        </w:numPr>
        <w:ind w:firstLine="631"/>
        <w:jc w:val="left"/>
        <w:rPr>
          <w:rFonts w:hint="default"/>
          <w:sz w:val="32"/>
          <w:szCs w:val="24"/>
          <w:lang w:val="en-US" w:eastAsia="zh-CN"/>
        </w:rPr>
      </w:pPr>
    </w:p>
    <w:p>
      <w:pPr>
        <w:widowControl w:val="0"/>
        <w:numPr>
          <w:ilvl w:val="0"/>
          <w:numId w:val="0"/>
        </w:numPr>
        <w:ind w:firstLine="631"/>
        <w:jc w:val="left"/>
        <w:rPr>
          <w:rFonts w:hint="default"/>
          <w:sz w:val="32"/>
          <w:szCs w:val="24"/>
          <w:lang w:val="en-US" w:eastAsia="zh-CN"/>
        </w:rPr>
      </w:pPr>
    </w:p>
    <w:p>
      <w:pPr>
        <w:widowControl w:val="0"/>
        <w:numPr>
          <w:ilvl w:val="0"/>
          <w:numId w:val="0"/>
        </w:numPr>
        <w:ind w:firstLine="631"/>
        <w:jc w:val="left"/>
        <w:rPr>
          <w:rFonts w:hint="default"/>
          <w:sz w:val="32"/>
          <w:szCs w:val="24"/>
          <w:lang w:val="en-US" w:eastAsia="zh-CN"/>
        </w:rPr>
      </w:pPr>
    </w:p>
    <w:p>
      <w:pPr>
        <w:widowControl w:val="0"/>
        <w:numPr>
          <w:ilvl w:val="0"/>
          <w:numId w:val="0"/>
        </w:numPr>
        <w:ind w:firstLine="631"/>
        <w:jc w:val="left"/>
        <w:rPr>
          <w:rFonts w:hint="default"/>
          <w:sz w:val="32"/>
          <w:szCs w:val="24"/>
          <w:lang w:val="en-US" w:eastAsia="zh-CN"/>
        </w:rPr>
        <w:sectPr>
          <w:footerReference r:id="rId3" w:type="default"/>
          <w:pgSz w:w="11906" w:h="16838"/>
          <w:pgMar w:top="2098" w:right="1474" w:bottom="1984" w:left="1587" w:header="0" w:footer="1531" w:gutter="0"/>
          <w:pgNumType w:fmt="decimal" w:start="2"/>
          <w:cols w:space="720" w:num="1"/>
          <w:rtlGutter w:val="0"/>
          <w:docGrid w:type="linesAndChars" w:linePitch="579" w:charSpace="-842"/>
        </w:sectPr>
      </w:pPr>
    </w:p>
    <w:p>
      <w:pPr>
        <w:widowControl w:val="0"/>
        <w:numPr>
          <w:ilvl w:val="0"/>
          <w:numId w:val="0"/>
        </w:numPr>
        <w:ind w:firstLine="631"/>
        <w:jc w:val="left"/>
        <w:rPr>
          <w:rFonts w:hint="default"/>
          <w:sz w:val="32"/>
          <w:szCs w:val="24"/>
          <w:lang w:val="en-US" w:eastAsia="zh-CN"/>
        </w:rPr>
      </w:pPr>
    </w:p>
    <w:p>
      <w:pPr>
        <w:widowControl w:val="0"/>
        <w:numPr>
          <w:ilvl w:val="0"/>
          <w:numId w:val="0"/>
        </w:numPr>
        <w:ind w:firstLine="631"/>
        <w:jc w:val="left"/>
        <w:rPr>
          <w:rFonts w:hint="default"/>
          <w:sz w:val="32"/>
          <w:szCs w:val="24"/>
          <w:lang w:val="en-US" w:eastAsia="zh-CN"/>
        </w:rPr>
      </w:pPr>
    </w:p>
    <w:p>
      <w:pPr>
        <w:widowControl w:val="0"/>
        <w:numPr>
          <w:ilvl w:val="0"/>
          <w:numId w:val="0"/>
        </w:numPr>
        <w:ind w:firstLine="631"/>
        <w:jc w:val="left"/>
        <w:rPr>
          <w:rFonts w:hint="default"/>
          <w:sz w:val="32"/>
          <w:szCs w:val="24"/>
          <w:lang w:val="en-US" w:eastAsia="zh-CN"/>
        </w:rPr>
      </w:pPr>
    </w:p>
    <w:p>
      <w:pPr>
        <w:widowControl w:val="0"/>
        <w:numPr>
          <w:ilvl w:val="0"/>
          <w:numId w:val="0"/>
        </w:numPr>
        <w:ind w:firstLine="631"/>
        <w:jc w:val="left"/>
        <w:rPr>
          <w:rFonts w:hint="default"/>
          <w:sz w:val="32"/>
          <w:szCs w:val="24"/>
          <w:lang w:val="en-US" w:eastAsia="zh-CN"/>
        </w:rPr>
      </w:pPr>
    </w:p>
    <w:p>
      <w:pPr>
        <w:widowControl w:val="0"/>
        <w:numPr>
          <w:ilvl w:val="0"/>
          <w:numId w:val="0"/>
        </w:numPr>
        <w:ind w:firstLine="631"/>
        <w:jc w:val="left"/>
        <w:rPr>
          <w:rFonts w:hint="default"/>
          <w:sz w:val="32"/>
          <w:szCs w:val="24"/>
          <w:lang w:val="en-US" w:eastAsia="zh-CN"/>
        </w:rPr>
      </w:pPr>
    </w:p>
    <w:p>
      <w:pPr>
        <w:widowControl w:val="0"/>
        <w:numPr>
          <w:ilvl w:val="0"/>
          <w:numId w:val="0"/>
        </w:numPr>
        <w:ind w:firstLine="631"/>
        <w:jc w:val="left"/>
        <w:rPr>
          <w:rFonts w:hint="default"/>
          <w:sz w:val="32"/>
          <w:szCs w:val="24"/>
          <w:lang w:val="en-US" w:eastAsia="zh-CN"/>
        </w:rPr>
      </w:pPr>
    </w:p>
    <w:p>
      <w:pPr>
        <w:widowControl w:val="0"/>
        <w:numPr>
          <w:ilvl w:val="0"/>
          <w:numId w:val="0"/>
        </w:numPr>
        <w:ind w:firstLine="631"/>
        <w:jc w:val="left"/>
        <w:rPr>
          <w:rFonts w:hint="default"/>
          <w:sz w:val="32"/>
          <w:szCs w:val="24"/>
          <w:lang w:val="en-US" w:eastAsia="zh-CN"/>
        </w:rPr>
      </w:pPr>
    </w:p>
    <w:p>
      <w:pPr>
        <w:widowControl w:val="0"/>
        <w:numPr>
          <w:ilvl w:val="0"/>
          <w:numId w:val="0"/>
        </w:numPr>
        <w:ind w:firstLine="631"/>
        <w:jc w:val="left"/>
        <w:rPr>
          <w:rFonts w:hint="default"/>
          <w:sz w:val="32"/>
          <w:szCs w:val="24"/>
          <w:lang w:val="en-US" w:eastAsia="zh-CN"/>
        </w:rPr>
      </w:pPr>
    </w:p>
    <w:p>
      <w:pPr>
        <w:widowControl w:val="0"/>
        <w:numPr>
          <w:ilvl w:val="0"/>
          <w:numId w:val="0"/>
        </w:numPr>
        <w:ind w:firstLine="631"/>
        <w:jc w:val="left"/>
        <w:rPr>
          <w:rFonts w:hint="default"/>
          <w:sz w:val="32"/>
          <w:szCs w:val="24"/>
          <w:lang w:val="en-US" w:eastAsia="zh-CN"/>
        </w:rPr>
      </w:pPr>
    </w:p>
    <w:p>
      <w:pPr>
        <w:widowControl w:val="0"/>
        <w:numPr>
          <w:ilvl w:val="0"/>
          <w:numId w:val="0"/>
        </w:numPr>
        <w:ind w:firstLine="631"/>
        <w:jc w:val="left"/>
        <w:rPr>
          <w:rFonts w:hint="default"/>
          <w:sz w:val="32"/>
          <w:szCs w:val="24"/>
          <w:lang w:val="en-US" w:eastAsia="zh-CN"/>
        </w:rPr>
      </w:pPr>
    </w:p>
    <w:p>
      <w:pPr>
        <w:widowControl w:val="0"/>
        <w:numPr>
          <w:ilvl w:val="0"/>
          <w:numId w:val="0"/>
        </w:numPr>
        <w:ind w:firstLine="631"/>
        <w:jc w:val="left"/>
        <w:rPr>
          <w:rFonts w:hint="default"/>
          <w:sz w:val="32"/>
          <w:szCs w:val="24"/>
          <w:lang w:val="en-US" w:eastAsia="zh-CN"/>
        </w:rPr>
      </w:pPr>
    </w:p>
    <w:p>
      <w:pPr>
        <w:widowControl w:val="0"/>
        <w:numPr>
          <w:ilvl w:val="0"/>
          <w:numId w:val="0"/>
        </w:numPr>
        <w:ind w:firstLine="631"/>
        <w:jc w:val="left"/>
        <w:rPr>
          <w:rFonts w:hint="default"/>
          <w:sz w:val="32"/>
          <w:szCs w:val="24"/>
          <w:lang w:val="en-US" w:eastAsia="zh-CN"/>
        </w:rPr>
      </w:pPr>
    </w:p>
    <w:p>
      <w:pPr>
        <w:widowControl w:val="0"/>
        <w:numPr>
          <w:ilvl w:val="0"/>
          <w:numId w:val="0"/>
        </w:numPr>
        <w:ind w:firstLine="631"/>
        <w:jc w:val="left"/>
        <w:rPr>
          <w:rFonts w:hint="default"/>
          <w:sz w:val="32"/>
          <w:szCs w:val="24"/>
          <w:lang w:val="en-US" w:eastAsia="zh-CN"/>
        </w:rPr>
      </w:pPr>
    </w:p>
    <w:p>
      <w:pPr>
        <w:widowControl w:val="0"/>
        <w:numPr>
          <w:ilvl w:val="0"/>
          <w:numId w:val="0"/>
        </w:numPr>
        <w:ind w:firstLine="631"/>
        <w:jc w:val="left"/>
        <w:rPr>
          <w:rFonts w:hint="default"/>
          <w:sz w:val="32"/>
          <w:szCs w:val="24"/>
          <w:lang w:val="en-US" w:eastAsia="zh-CN"/>
        </w:rPr>
      </w:pPr>
    </w:p>
    <w:p>
      <w:pPr>
        <w:widowControl w:val="0"/>
        <w:numPr>
          <w:ilvl w:val="0"/>
          <w:numId w:val="0"/>
        </w:numPr>
        <w:ind w:firstLine="631"/>
        <w:jc w:val="left"/>
        <w:rPr>
          <w:rFonts w:hint="default"/>
          <w:sz w:val="32"/>
          <w:szCs w:val="24"/>
          <w:lang w:val="en-US" w:eastAsia="zh-CN"/>
        </w:rPr>
      </w:pPr>
    </w:p>
    <w:p>
      <w:pPr>
        <w:widowControl w:val="0"/>
        <w:numPr>
          <w:ilvl w:val="0"/>
          <w:numId w:val="0"/>
        </w:numPr>
        <w:ind w:firstLine="631"/>
        <w:jc w:val="left"/>
        <w:rPr>
          <w:rFonts w:hint="default"/>
          <w:sz w:val="32"/>
          <w:szCs w:val="24"/>
          <w:lang w:val="en-US" w:eastAsia="zh-CN"/>
        </w:rPr>
      </w:pPr>
    </w:p>
    <w:p>
      <w:pPr>
        <w:widowControl w:val="0"/>
        <w:numPr>
          <w:ilvl w:val="0"/>
          <w:numId w:val="0"/>
        </w:numPr>
        <w:ind w:firstLine="631"/>
        <w:jc w:val="left"/>
        <w:rPr>
          <w:rFonts w:hint="default"/>
          <w:sz w:val="32"/>
          <w:szCs w:val="24"/>
          <w:lang w:val="en-US" w:eastAsia="zh-CN"/>
        </w:rPr>
      </w:pPr>
    </w:p>
    <w:p>
      <w:pPr>
        <w:widowControl w:val="0"/>
        <w:numPr>
          <w:ilvl w:val="0"/>
          <w:numId w:val="0"/>
        </w:numPr>
        <w:ind w:firstLine="631"/>
        <w:jc w:val="left"/>
        <w:rPr>
          <w:rFonts w:hint="default"/>
          <w:sz w:val="32"/>
          <w:szCs w:val="24"/>
          <w:lang w:val="en-US" w:eastAsia="zh-CN"/>
        </w:rPr>
      </w:pPr>
    </w:p>
    <w:p>
      <w:pPr>
        <w:widowControl w:val="0"/>
        <w:numPr>
          <w:ilvl w:val="0"/>
          <w:numId w:val="0"/>
        </w:numPr>
        <w:ind w:firstLine="631"/>
        <w:jc w:val="left"/>
        <w:rPr>
          <w:rFonts w:hint="default"/>
          <w:sz w:val="32"/>
          <w:szCs w:val="24"/>
          <w:lang w:val="en-US" w:eastAsia="zh-CN"/>
        </w:rPr>
      </w:pPr>
    </w:p>
    <w:p>
      <w:pPr>
        <w:widowControl w:val="0"/>
        <w:numPr>
          <w:ilvl w:val="0"/>
          <w:numId w:val="0"/>
        </w:numPr>
        <w:ind w:firstLine="631"/>
        <w:jc w:val="left"/>
        <w:rPr>
          <w:rFonts w:hint="default"/>
          <w:sz w:val="32"/>
          <w:szCs w:val="24"/>
          <w:lang w:val="en-US" w:eastAsia="zh-CN"/>
        </w:rPr>
      </w:pPr>
    </w:p>
    <w:p>
      <w:pPr>
        <w:widowControl w:val="0"/>
        <w:numPr>
          <w:ilvl w:val="0"/>
          <w:numId w:val="0"/>
        </w:numPr>
        <w:ind w:firstLine="631"/>
        <w:jc w:val="left"/>
        <w:rPr>
          <w:rFonts w:hint="default"/>
          <w:sz w:val="32"/>
          <w:szCs w:val="24"/>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339725</wp:posOffset>
                </wp:positionV>
                <wp:extent cx="56070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7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5pt;margin-top:26.75pt;height:0pt;width:441.5pt;z-index:251660288;mso-width-relative:page;mso-height-relative:page;" filled="f" stroked="t" coordsize="21600,21600" o:gfxdata="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hruXSAAAABwEAAA8AAAAAAAAAAQAgAAAA&#10;IgAAAGRycy9kb3ducmV2LnhtbFBLAQIUABQAAAAIAIdO4kA5Wde42AEAAJoDAAAOAAAAAAAAAAEA&#10;IAAAACEBAABkcnMvZTJvRG9jLnhtbFBLBQYAAAAABgAGAFkBAABrBQAAAAA=&#10;">
                <v:fill on="f" focussize="0,0"/>
                <v:stroke color="#000000 [3213]" joinstyle="round"/>
                <v:imagedata o:title=""/>
                <o:lock v:ext="edit" aspectratio="f"/>
              </v:line>
            </w:pict>
          </mc:Fallback>
        </mc:AlternateContent>
      </w:r>
    </w:p>
    <w:p>
      <w:pPr>
        <w:widowControl w:val="0"/>
        <w:numPr>
          <w:ilvl w:val="0"/>
          <w:numId w:val="0"/>
        </w:numPr>
        <w:ind w:firstLine="276" w:firstLineChars="100"/>
        <w:jc w:val="left"/>
        <w:rPr>
          <w:rFonts w:hint="default"/>
          <w:sz w:val="32"/>
          <w:szCs w:val="24"/>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372110</wp:posOffset>
                </wp:positionV>
                <wp:extent cx="5607050" cy="0"/>
                <wp:effectExtent l="0" t="0" r="0" b="0"/>
                <wp:wrapNone/>
                <wp:docPr id="2" name="直接连接符 2"/>
                <wp:cNvGraphicFramePr/>
                <a:graphic xmlns:a="http://schemas.openxmlformats.org/drawingml/2006/main">
                  <a:graphicData uri="http://schemas.microsoft.com/office/word/2010/wordprocessingShape">
                    <wps:wsp>
                      <wps:cNvCnPr/>
                      <wps:spPr>
                        <a:xfrm>
                          <a:off x="1009015" y="9425305"/>
                          <a:ext cx="5607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9.3pt;height:0pt;width:441.5pt;z-index:251659264;mso-width-relative:page;mso-height-relative:page;" filled="f" stroked="t" coordsize="21600,21600" o:gfxdata="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LxlfdIAAAAGAQAA&#10;DwAAAAAAAAABACAAAAAiAAAAZHJzL2Rvd25yZXYueG1sUEsBAhQAFAAAAAgAh07iQCfPFsPmAQAA&#10;pgMAAA4AAAAAAAAAAQAgAAAAIQEAAGRycy9lMm9Eb2MueG1sUEsFBgAAAAAGAAYAWQEAAHkFAAAA&#10;AA==&#10;">
                <v:fill on="f" focussize="0,0"/>
                <v:stroke color="#000000 [3213]" joinstyle="round"/>
                <v:imagedata o:title=""/>
                <o:lock v:ext="edit" aspectratio="f"/>
              </v:line>
            </w:pict>
          </mc:Fallback>
        </mc:AlternateContent>
      </w:r>
      <w:r>
        <w:rPr>
          <w:rFonts w:hint="eastAsia"/>
          <w:sz w:val="28"/>
          <w:szCs w:val="28"/>
          <w:lang w:val="en-US" w:eastAsia="zh-CN"/>
        </w:rPr>
        <w:t xml:space="preserve">鲁山县法治政府建设领导小组办公室         </w:t>
      </w:r>
      <w:r>
        <w:rPr>
          <w:rFonts w:hint="eastAsia"/>
          <w:sz w:val="28"/>
          <w:szCs w:val="28"/>
          <w:lang w:val="en-US" w:eastAsia="zh-CN"/>
        </w:rPr>
        <w:fldChar w:fldCharType="begin"/>
      </w:r>
      <w:r>
        <w:rPr>
          <w:rFonts w:hint="eastAsia"/>
          <w:sz w:val="28"/>
          <w:szCs w:val="28"/>
          <w:lang w:val="en-US" w:eastAsia="zh-CN"/>
        </w:rPr>
        <w:instrText xml:space="preserve">Time \@ "yyyy年M月d日"</w:instrText>
      </w:r>
      <w:r>
        <w:rPr>
          <w:rFonts w:hint="eastAsia"/>
          <w:sz w:val="28"/>
          <w:szCs w:val="28"/>
          <w:lang w:val="en-US" w:eastAsia="zh-CN"/>
        </w:rPr>
        <w:fldChar w:fldCharType="separate"/>
      </w:r>
      <w:r>
        <w:rPr>
          <w:rFonts w:hint="eastAsia"/>
          <w:sz w:val="28"/>
          <w:szCs w:val="28"/>
          <w:lang w:val="en-US" w:eastAsia="zh-CN"/>
        </w:rPr>
        <w:t>2023年7月12日</w:t>
      </w:r>
      <w:r>
        <w:rPr>
          <w:rFonts w:hint="eastAsia"/>
          <w:sz w:val="28"/>
          <w:szCs w:val="28"/>
          <w:lang w:val="en-US" w:eastAsia="zh-CN"/>
        </w:rPr>
        <w:fldChar w:fldCharType="end"/>
      </w:r>
      <w:r>
        <w:rPr>
          <w:rFonts w:hint="eastAsia"/>
          <w:sz w:val="28"/>
          <w:szCs w:val="28"/>
          <w:lang w:val="en-US" w:eastAsia="zh-CN"/>
        </w:rPr>
        <w:t xml:space="preserve">印发  </w:t>
      </w:r>
    </w:p>
    <w:sectPr>
      <w:footerReference r:id="rId4" w:type="default"/>
      <w:pgSz w:w="11906" w:h="16838"/>
      <w:pgMar w:top="2098" w:right="1474" w:bottom="1984" w:left="1587" w:header="0" w:footer="1531" w:gutter="0"/>
      <w:pgNumType w:fmt="decimal" w:start="2"/>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mRlNzBhMWY3MzRkZjM3NjM4ZDgyNjkxM2E1NDcifQ=="/>
  </w:docVars>
  <w:rsids>
    <w:rsidRoot w:val="7EB2656C"/>
    <w:rsid w:val="040A2CF3"/>
    <w:rsid w:val="21A42F15"/>
    <w:rsid w:val="3A721E02"/>
    <w:rsid w:val="3DE1204D"/>
    <w:rsid w:val="3FDF7E90"/>
    <w:rsid w:val="422E2F2A"/>
    <w:rsid w:val="48C7562F"/>
    <w:rsid w:val="491F5241"/>
    <w:rsid w:val="4CC759FC"/>
    <w:rsid w:val="4DB478EC"/>
    <w:rsid w:val="4FF8E121"/>
    <w:rsid w:val="51EC766B"/>
    <w:rsid w:val="521B3A39"/>
    <w:rsid w:val="52427708"/>
    <w:rsid w:val="53B92A73"/>
    <w:rsid w:val="54610B53"/>
    <w:rsid w:val="56ED5ED1"/>
    <w:rsid w:val="5DFA570C"/>
    <w:rsid w:val="5FBE1E26"/>
    <w:rsid w:val="649A0EB7"/>
    <w:rsid w:val="64BC6973"/>
    <w:rsid w:val="6F7457DF"/>
    <w:rsid w:val="70A5061F"/>
    <w:rsid w:val="77824D06"/>
    <w:rsid w:val="7C7CE53E"/>
    <w:rsid w:val="7EB265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2418;&#22836;&#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红头模板.dot</Template>
  <Pages>8</Pages>
  <Words>2655</Words>
  <Characters>2718</Characters>
  <Lines>0</Lines>
  <Paragraphs>0</Paragraphs>
  <TotalTime>0</TotalTime>
  <ScaleCrop>false</ScaleCrop>
  <LinksUpToDate>false</LinksUpToDate>
  <CharactersWithSpaces>2749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2023-04-11T01:57:00Z</dcterms:created>
  <dc:creator>sifaju</dc:creator>
  <cp:lastModifiedBy>不丸了</cp:lastModifiedBy>
  <cp:lastPrinted>2023-07-12T01:05:09Z</cp:lastPrinted>
  <dcterms:modified xsi:type="dcterms:W3CDTF">2023-07-12T01:13:10Z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8ABF367EF3594D4DAAB514BEDE27D1E6_13</vt:lpwstr>
  </property>
</Properties>
</file>