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  <w:shd w:val="clear" w:fill="F9F9F9"/>
        </w:rPr>
      </w:pPr>
      <w:r>
        <w:rPr>
          <w:rFonts w:hint="eastAsia" w:ascii="黑体" w:hAnsi="黑体" w:eastAsia="黑体" w:cs="黑体"/>
          <w:sz w:val="44"/>
          <w:szCs w:val="44"/>
          <w:shd w:val="clear" w:fill="F9F9F9"/>
        </w:rPr>
        <w:t>鲁山县</w:t>
      </w:r>
      <w:r>
        <w:rPr>
          <w:rFonts w:hint="eastAsia" w:ascii="黑体" w:hAnsi="黑体" w:eastAsia="黑体" w:cs="黑体"/>
          <w:sz w:val="44"/>
          <w:szCs w:val="44"/>
          <w:shd w:val="clear" w:fill="F9F9F9"/>
          <w:lang w:val="en-US" w:eastAsia="zh-CN"/>
        </w:rPr>
        <w:t>住房和城乡建设</w:t>
      </w:r>
      <w:r>
        <w:rPr>
          <w:rFonts w:hint="eastAsia" w:ascii="黑体" w:hAnsi="黑体" w:eastAsia="黑体" w:cs="黑体"/>
          <w:sz w:val="44"/>
          <w:szCs w:val="44"/>
          <w:shd w:val="clear" w:fill="F9F9F9"/>
        </w:rPr>
        <w:t>局关于</w:t>
      </w:r>
      <w:r>
        <w:rPr>
          <w:rFonts w:hint="eastAsia" w:ascii="黑体" w:hAnsi="黑体" w:eastAsia="黑体" w:cs="黑体"/>
          <w:sz w:val="44"/>
          <w:szCs w:val="44"/>
          <w:shd w:val="clear" w:fill="F9F9F9"/>
          <w:lang w:val="en-US" w:eastAsia="zh-CN"/>
        </w:rPr>
        <w:t>北环路道路建设</w:t>
      </w:r>
      <w:r>
        <w:rPr>
          <w:rFonts w:hint="eastAsia" w:ascii="黑体" w:hAnsi="黑体" w:eastAsia="黑体" w:cs="黑体"/>
          <w:sz w:val="44"/>
          <w:szCs w:val="44"/>
          <w:shd w:val="clear" w:fill="F9F9F9"/>
        </w:rPr>
        <w:t xml:space="preserve">项目地方政府债券存续期情况 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债券资金总体情况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截至2022年底，北环路道路建设项目发债金额为3300万元。2021年发行2300万元，2022年发行1000万元。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专项债券项目基本情况</w:t>
      </w:r>
    </w:p>
    <w:p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（一）项目基本情况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北环路规划为东西向城市主干路，西超三里河转盛，沿原311国道向东北经钢厂路、墨公路至振兴路，继续向东至染张路张飞沟桥。道路总长6500m，红线宽度为40m，路面结构为沥青混凝土路面。建设内容包含道路、交通、雨水、污水、绿化、照明及桥涵等工程。其中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1、道路工程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新建沥青混凝土机动车道 13650.00 m，改建沥青混凝土机动车道70460.00 m²，改建水泥混凝土机动车道14040.00 m²，新建非机动车道 76440.00m，新建人行道 63700.00m²。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2、交通工程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设置车行道信号灯12套，人行道信号灯24套，新建护栏 12350. 00m，同时完善沿线道路标志标线设施。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3、绿化工程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新建树池及行道树2600 套，绿化隔离带19110.00 m。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4、雨水工程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敷没雨水管 15000.00 m，雨水松査井 476 座，雨水口 520座。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5、污水工程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敷没汚水管14040.00 m，污水检査井 526座。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6、照明工程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设置箱变4 座，路灯 520 套，投光灯76套。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7、桥涵工程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建设桥梁2座，涵洞15 座。</w:t>
      </w:r>
    </w:p>
    <w:p>
      <w:pPr>
        <w:numPr>
          <w:ilvl w:val="0"/>
          <w:numId w:val="2"/>
        </w:numPr>
        <w:ind w:left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债券资金使用情况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C00000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截止2022年12月31日，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shd w:val="clear" w:fill="F9F9F9"/>
          <w:lang w:val="en-US" w:eastAsia="zh-CN"/>
        </w:rPr>
        <w:t>项目专项债资金已使用3300万元，使用率为100%。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项目进展及运营情况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截至目前为止该段共完成如下建设内容：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K0+400~K0+860段机动车道和非机动车道路基砂砾石换填全部工作，总长度为460米；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K0+400~K0+860段雨水集水井砌筑32座；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K0+000~K1+400段左侧电力线杆栽植和线路敷设工作；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>K0+069处板涵基槽开挖完成；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一般债券项目收益及对应资产情况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截止2022年底，该项目还未建成产生收益，所支付的资金全部纳入在建工程。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>绩效评价情况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9F9F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本单位政府债券已按规定开展绩效评价工作，北环路道路建设项目绩效评价结果为良。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default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  <w:t xml:space="preserve"> 2023年6月30日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shd w:val="clear" w:fill="F9F9F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3CE0"/>
    <w:multiLevelType w:val="singleLevel"/>
    <w:tmpl w:val="0E2A3C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8B18514"/>
    <w:multiLevelType w:val="singleLevel"/>
    <w:tmpl w:val="18B185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g4NzA4ZmUzM2E2Zjg4MTFjYzQxZTc5NjE5N2QifQ=="/>
  </w:docVars>
  <w:rsids>
    <w:rsidRoot w:val="00000000"/>
    <w:rsid w:val="34CA7642"/>
    <w:rsid w:val="3CB10962"/>
    <w:rsid w:val="4D5735A6"/>
    <w:rsid w:val="79C1248A"/>
    <w:rsid w:val="7F8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673</Words>
  <Characters>842</Characters>
  <Lines>0</Lines>
  <Paragraphs>0</Paragraphs>
  <TotalTime>857</TotalTime>
  <ScaleCrop>false</ScaleCrop>
  <LinksUpToDate>false</LinksUpToDate>
  <CharactersWithSpaces>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2023-06-16T09:58:00Z</dcterms:created>
  <dc:creator>Administrator</dc:creator>
  <cp:lastModifiedBy>奇石</cp:lastModifiedBy>
  <cp:lastPrinted>2023-06-30T00:00:50Z</cp:lastPrinted>
  <dcterms:modified xsi:type="dcterms:W3CDTF">2023-06-30T00:08:45Z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9A53D37751C54F89AC104107E32D813D_13</vt:lpwstr>
  </property>
</Properties>
</file>