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9"/>
        <w:rPr>
          <w:rFonts w:hint="eastAsia" w:ascii="宋体" w:hAnsi="宋体" w:eastAsia="宋体" w:cs="宋体"/>
          <w:b/>
          <w:bCs w:val="0"/>
          <w:sz w:val="72"/>
          <w:szCs w:val="72"/>
        </w:rPr>
      </w:pPr>
    </w:p>
    <w:p>
      <w:pPr>
        <w:adjustRightInd w:val="0"/>
        <w:snapToGrid w:val="0"/>
        <w:jc w:val="center"/>
        <w:outlineLvl w:val="9"/>
        <w:rPr>
          <w:rFonts w:hint="eastAsia" w:ascii="宋体" w:hAnsi="宋体" w:eastAsia="宋体" w:cs="宋体"/>
          <w:b/>
          <w:bCs w:val="0"/>
          <w:sz w:val="72"/>
          <w:szCs w:val="72"/>
        </w:rPr>
      </w:pPr>
      <w:r>
        <w:rPr>
          <w:rFonts w:hint="eastAsia" w:ascii="宋体" w:hAnsi="宋体" w:eastAsia="宋体" w:cs="宋体"/>
          <w:b/>
          <w:bCs w:val="0"/>
          <w:sz w:val="72"/>
          <w:szCs w:val="72"/>
        </w:rPr>
        <w:t>建设项目环境影响报告表</w:t>
      </w:r>
    </w:p>
    <w:p>
      <w:pPr>
        <w:adjustRightInd w:val="0"/>
        <w:snapToGrid w:val="0"/>
        <w:spacing w:before="192" w:beforeLines="80"/>
        <w:jc w:val="center"/>
        <w:rPr>
          <w:rFonts w:hint="eastAsia" w:ascii="宋体" w:hAnsi="宋体" w:eastAsia="宋体" w:cs="宋体"/>
          <w:b/>
          <w:bCs w:val="0"/>
          <w:sz w:val="44"/>
          <w:szCs w:val="44"/>
        </w:rPr>
      </w:pPr>
      <w:r>
        <w:rPr>
          <w:rFonts w:hint="eastAsia" w:ascii="宋体" w:hAnsi="宋体" w:eastAsia="宋体" w:cs="宋体"/>
          <w:b/>
          <w:bCs w:val="0"/>
          <w:sz w:val="44"/>
          <w:szCs w:val="44"/>
        </w:rPr>
        <w:t>（污染影响类）</w:t>
      </w:r>
    </w:p>
    <w:p>
      <w:pPr>
        <w:bidi w:val="0"/>
      </w:pPr>
    </w:p>
    <w:p>
      <w:pPr>
        <w:jc w:val="both"/>
        <w:rPr>
          <w:rFonts w:eastAsia="仿宋"/>
          <w:sz w:val="52"/>
          <w:szCs w:val="52"/>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bidi w:val="0"/>
      </w:pPr>
    </w:p>
    <w:p>
      <w:pPr>
        <w:rPr>
          <w:rFonts w:eastAsia="仿宋"/>
          <w:sz w:val="44"/>
          <w:szCs w:val="44"/>
        </w:rPr>
      </w:pPr>
    </w:p>
    <w:tbl>
      <w:tblPr>
        <w:tblStyle w:val="25"/>
        <w:tblW w:w="85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95"/>
        <w:gridCol w:w="59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9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pacing w:val="-8"/>
                <w:sz w:val="32"/>
                <w:lang w:val="en-US" w:eastAsia="zh-CN"/>
              </w:rPr>
            </w:pPr>
            <w:r>
              <w:rPr>
                <w:rFonts w:hint="eastAsia" w:ascii="宋体" w:hAnsi="宋体" w:eastAsia="宋体" w:cs="宋体"/>
                <w:b/>
                <w:bCs/>
                <w:spacing w:val="-8"/>
                <w:sz w:val="32"/>
                <w:lang w:val="en-US" w:eastAsia="zh-CN"/>
              </w:rPr>
              <w:t>项目名称：</w:t>
            </w:r>
          </w:p>
        </w:tc>
        <w:tc>
          <w:tcPr>
            <w:tcW w:w="592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eastAsia="仿宋"/>
                <w:sz w:val="44"/>
                <w:szCs w:val="44"/>
                <w:vertAlign w:val="baseline"/>
                <w:lang w:val="en-US"/>
              </w:rPr>
            </w:pPr>
            <w:r>
              <w:rPr>
                <w:rFonts w:hint="eastAsia" w:ascii="宋体" w:hAnsi="宋体" w:cs="宋体"/>
                <w:b/>
                <w:bCs/>
                <w:spacing w:val="-8"/>
                <w:sz w:val="32"/>
                <w:u w:val="single"/>
                <w:lang w:val="en-US" w:eastAsia="zh-CN"/>
              </w:rPr>
              <w:t xml:space="preserve">河南巨典游乐设备有限公司年产800吨游乐设备项目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9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pacing w:val="-8"/>
                <w:sz w:val="32"/>
                <w:lang w:val="en-US" w:eastAsia="zh-CN"/>
              </w:rPr>
            </w:pPr>
            <w:r>
              <w:rPr>
                <w:rFonts w:hint="eastAsia" w:ascii="宋体" w:hAnsi="宋体" w:eastAsia="宋体" w:cs="宋体"/>
                <w:b/>
                <w:bCs/>
                <w:spacing w:val="-8"/>
                <w:sz w:val="32"/>
                <w:lang w:val="en-US" w:eastAsia="zh-CN"/>
              </w:rPr>
              <w:t>建设单位（盖章）：</w:t>
            </w:r>
          </w:p>
        </w:tc>
        <w:tc>
          <w:tcPr>
            <w:tcW w:w="592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eastAsia="仿宋"/>
                <w:sz w:val="44"/>
                <w:szCs w:val="44"/>
                <w:vertAlign w:val="baseline"/>
                <w:lang w:val="en-US"/>
              </w:rPr>
            </w:pPr>
            <w:r>
              <w:rPr>
                <w:rFonts w:hint="eastAsia" w:ascii="宋体" w:hAnsi="宋体" w:cs="宋体"/>
                <w:b/>
                <w:bCs/>
                <w:spacing w:val="-8"/>
                <w:sz w:val="32"/>
                <w:u w:val="single"/>
                <w:lang w:val="en-US" w:eastAsia="zh-CN"/>
              </w:rPr>
              <w:t xml:space="preserve">河南巨典游乐设备有限公司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9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pacing w:val="-8"/>
                <w:sz w:val="32"/>
                <w:lang w:val="en-US" w:eastAsia="zh-CN"/>
              </w:rPr>
            </w:pPr>
            <w:r>
              <w:rPr>
                <w:rFonts w:hint="eastAsia" w:ascii="宋体" w:hAnsi="宋体" w:eastAsia="宋体" w:cs="宋体"/>
                <w:b/>
                <w:bCs/>
                <w:spacing w:val="-8"/>
                <w:sz w:val="32"/>
                <w:lang w:val="en-US" w:eastAsia="zh-CN"/>
              </w:rPr>
              <w:t>编制日期：</w:t>
            </w:r>
          </w:p>
        </w:tc>
        <w:tc>
          <w:tcPr>
            <w:tcW w:w="592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宋体" w:hAnsi="宋体" w:eastAsia="宋体" w:cs="宋体"/>
                <w:b/>
                <w:bCs/>
                <w:spacing w:val="-8"/>
                <w:sz w:val="32"/>
                <w:u w:val="single"/>
                <w:lang w:val="en-US" w:eastAsia="zh-CN"/>
              </w:rPr>
            </w:pPr>
            <w:r>
              <w:rPr>
                <w:rFonts w:hint="eastAsia" w:ascii="宋体" w:hAnsi="宋体" w:cs="宋体"/>
                <w:b/>
                <w:bCs/>
                <w:spacing w:val="-8"/>
                <w:sz w:val="32"/>
                <w:u w:val="single"/>
                <w:lang w:val="en-US" w:eastAsia="zh-CN"/>
              </w:rPr>
              <w:t xml:space="preserve">2023年5月                            </w:t>
            </w:r>
          </w:p>
        </w:tc>
      </w:tr>
    </w:tbl>
    <w:p>
      <w:pPr>
        <w:adjustRightInd w:val="0"/>
        <w:snapToGrid w:val="0"/>
        <w:spacing w:line="288" w:lineRule="auto"/>
        <w:rPr>
          <w:rFonts w:hint="eastAsia" w:ascii="仿宋_GB2312" w:eastAsia="仿宋_GB2312"/>
          <w:sz w:val="36"/>
          <w:szCs w:val="36"/>
        </w:rPr>
      </w:pPr>
      <w:bookmarkStart w:id="0" w:name="_Hlk57884087"/>
    </w:p>
    <w:p>
      <w:pPr>
        <w:adjustRightInd w:val="0"/>
        <w:snapToGrid w:val="0"/>
        <w:spacing w:line="288" w:lineRule="auto"/>
        <w:rPr>
          <w:rFonts w:hint="eastAsia" w:ascii="仿宋_GB2312" w:eastAsia="仿宋_GB2312"/>
          <w:sz w:val="36"/>
          <w:szCs w:val="36"/>
        </w:rPr>
      </w:pPr>
    </w:p>
    <w:bookmarkEnd w:id="0"/>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宋体" w:hAnsi="宋体" w:eastAsia="宋体" w:cs="宋体"/>
          <w:b/>
          <w:sz w:val="36"/>
          <w:szCs w:val="36"/>
        </w:rPr>
        <w:t>中华人民共和国生态环境部制</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宋体" w:hAnsi="宋体" w:eastAsia="宋体" w:cs="宋体"/>
          <w:b/>
          <w:bCs/>
          <w:snapToGrid w:val="0"/>
          <w:sz w:val="30"/>
          <w:szCs w:val="30"/>
        </w:rPr>
      </w:pPr>
      <w:r>
        <w:rPr>
          <w:rFonts w:hint="eastAsia" w:ascii="宋体" w:hAnsi="宋体" w:eastAsia="宋体" w:cs="宋体"/>
          <w:b/>
          <w:bCs/>
          <w:snapToGrid w:val="0"/>
          <w:sz w:val="30"/>
          <w:szCs w:val="30"/>
        </w:rPr>
        <w:t>一、建设项目基本情况</w:t>
      </w:r>
    </w:p>
    <w:tbl>
      <w:tblPr>
        <w:tblStyle w:val="24"/>
        <w:tblW w:w="495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31"/>
        <w:gridCol w:w="2201"/>
        <w:gridCol w:w="2207"/>
        <w:gridCol w:w="37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建设项目名称</w:t>
            </w:r>
          </w:p>
        </w:tc>
        <w:tc>
          <w:tcPr>
            <w:tcW w:w="4209" w:type="pct"/>
            <w:gridSpan w:val="3"/>
            <w:noWrap w:val="0"/>
            <w:vAlign w:val="center"/>
          </w:tcPr>
          <w:p>
            <w:pPr>
              <w:adjustRightInd w:val="0"/>
              <w:snapToGrid w:val="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河南巨典游乐设备有限公司年产800吨游乐设备项目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项目代码</w:t>
            </w:r>
          </w:p>
        </w:tc>
        <w:tc>
          <w:tcPr>
            <w:tcW w:w="4209" w:type="pct"/>
            <w:gridSpan w:val="3"/>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2304-410423-04-01-213456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建设单位联系人</w:t>
            </w:r>
          </w:p>
        </w:tc>
        <w:tc>
          <w:tcPr>
            <w:tcW w:w="1136"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徐国动</w:t>
            </w:r>
          </w:p>
        </w:tc>
        <w:tc>
          <w:tcPr>
            <w:tcW w:w="1139"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1933"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16692325551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建设地点</w:t>
            </w:r>
          </w:p>
        </w:tc>
        <w:tc>
          <w:tcPr>
            <w:tcW w:w="4209" w:type="pct"/>
            <w:gridSpan w:val="3"/>
            <w:noWrap w:val="0"/>
            <w:vAlign w:val="center"/>
          </w:tcPr>
          <w:p>
            <w:pPr>
              <w:adjustRightInd w:val="0"/>
              <w:snapToGrid w:val="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平顶山市鲁山县先进制造业开发区北区兴工路路北河南方圆炭素集团院内8号厂房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地理坐标</w:t>
            </w:r>
          </w:p>
        </w:tc>
        <w:tc>
          <w:tcPr>
            <w:tcW w:w="4209" w:type="pct"/>
            <w:gridSpan w:val="3"/>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u w:val="single"/>
                <w:lang w:val="en-US" w:eastAsia="zh-CN"/>
              </w:rPr>
              <w:t>112</w:t>
            </w:r>
            <w:r>
              <w:rPr>
                <w:rFonts w:hint="default" w:ascii="Times New Roman" w:hAnsi="Times New Roman" w:eastAsia="宋体" w:cs="Times New Roman"/>
                <w:color w:val="auto"/>
                <w:sz w:val="24"/>
                <w:szCs w:val="24"/>
                <w:highlight w:val="none"/>
              </w:rPr>
              <w:t>度</w:t>
            </w:r>
            <w:r>
              <w:rPr>
                <w:rFonts w:hint="default" w:ascii="Times New Roman" w:hAnsi="Times New Roman" w:cs="Times New Roman"/>
                <w:color w:val="auto"/>
                <w:sz w:val="24"/>
                <w:szCs w:val="24"/>
                <w:highlight w:val="none"/>
                <w:u w:val="single"/>
                <w:lang w:val="en-US" w:eastAsia="zh-CN"/>
              </w:rPr>
              <w:t>56</w:t>
            </w:r>
            <w:r>
              <w:rPr>
                <w:rFonts w:hint="default" w:ascii="Times New Roman" w:hAnsi="Times New Roman" w:eastAsia="宋体" w:cs="Times New Roman"/>
                <w:color w:val="auto"/>
                <w:sz w:val="24"/>
                <w:szCs w:val="24"/>
                <w:highlight w:val="none"/>
              </w:rPr>
              <w:t>分</w:t>
            </w:r>
            <w:r>
              <w:rPr>
                <w:rFonts w:hint="default" w:ascii="Times New Roman" w:hAnsi="Times New Roman" w:cs="Times New Roman"/>
                <w:color w:val="auto"/>
                <w:sz w:val="24"/>
                <w:szCs w:val="24"/>
                <w:highlight w:val="none"/>
                <w:u w:val="single"/>
                <w:lang w:val="en-US" w:eastAsia="zh-CN"/>
              </w:rPr>
              <w:t>31.420</w:t>
            </w:r>
            <w:r>
              <w:rPr>
                <w:rFonts w:hint="default" w:ascii="Times New Roman" w:hAnsi="Times New Roman" w:eastAsia="宋体" w:cs="Times New Roman"/>
                <w:color w:val="auto"/>
                <w:sz w:val="24"/>
                <w:szCs w:val="24"/>
                <w:highlight w:val="none"/>
              </w:rPr>
              <w:t>秒，</w:t>
            </w:r>
            <w:r>
              <w:rPr>
                <w:rFonts w:hint="default" w:ascii="Times New Roman" w:hAnsi="Times New Roman" w:cs="Times New Roman"/>
                <w:color w:val="auto"/>
                <w:sz w:val="24"/>
                <w:szCs w:val="24"/>
                <w:highlight w:val="none"/>
                <w:u w:val="single"/>
                <w:lang w:val="en-US" w:eastAsia="zh-CN"/>
              </w:rPr>
              <w:t>33</w:t>
            </w:r>
            <w:r>
              <w:rPr>
                <w:rFonts w:hint="default" w:ascii="Times New Roman" w:hAnsi="Times New Roman" w:eastAsia="宋体" w:cs="Times New Roman"/>
                <w:color w:val="auto"/>
                <w:sz w:val="24"/>
                <w:szCs w:val="24"/>
                <w:highlight w:val="none"/>
              </w:rPr>
              <w:t>度</w:t>
            </w:r>
            <w:r>
              <w:rPr>
                <w:rFonts w:hint="default" w:ascii="Times New Roman" w:hAnsi="Times New Roman" w:cs="Times New Roman"/>
                <w:color w:val="auto"/>
                <w:sz w:val="24"/>
                <w:szCs w:val="24"/>
                <w:highlight w:val="none"/>
                <w:u w:val="single"/>
                <w:lang w:val="en-US" w:eastAsia="zh-CN"/>
              </w:rPr>
              <w:t>47</w:t>
            </w:r>
            <w:r>
              <w:rPr>
                <w:rFonts w:hint="default" w:ascii="Times New Roman" w:hAnsi="Times New Roman" w:eastAsia="宋体" w:cs="Times New Roman"/>
                <w:color w:val="auto"/>
                <w:sz w:val="24"/>
                <w:szCs w:val="24"/>
                <w:highlight w:val="none"/>
              </w:rPr>
              <w:t>分</w:t>
            </w:r>
            <w:r>
              <w:rPr>
                <w:rFonts w:hint="default" w:ascii="Times New Roman" w:hAnsi="Times New Roman" w:cs="Times New Roman"/>
                <w:color w:val="auto"/>
                <w:sz w:val="24"/>
                <w:szCs w:val="24"/>
                <w:highlight w:val="none"/>
                <w:u w:val="single"/>
                <w:lang w:val="en-US" w:eastAsia="zh-CN"/>
              </w:rPr>
              <w:t>44.730</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国民经济</w:t>
            </w:r>
          </w:p>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行业类别</w:t>
            </w:r>
          </w:p>
        </w:tc>
        <w:tc>
          <w:tcPr>
            <w:tcW w:w="1136"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C2461露天游乐场所游乐设备制造</w:t>
            </w:r>
          </w:p>
        </w:tc>
        <w:tc>
          <w:tcPr>
            <w:tcW w:w="1139" w:type="pct"/>
            <w:noWrap w:val="0"/>
            <w:vAlign w:val="center"/>
          </w:tcPr>
          <w:p>
            <w:pPr>
              <w:adjustRightInd w:val="0"/>
              <w:snapToGrid w:val="0"/>
              <w:jc w:val="center"/>
              <w:rPr>
                <w:rFonts w:hint="default" w:ascii="Times New Roman" w:hAnsi="Times New Roman" w:eastAsia="宋体" w:cs="Times New Roman"/>
                <w:b/>
                <w:bCs/>
                <w:color w:val="auto"/>
                <w:sz w:val="24"/>
                <w:szCs w:val="24"/>
              </w:rPr>
            </w:pPr>
            <w:bookmarkStart w:id="1" w:name="_Hlk49843745"/>
            <w:r>
              <w:rPr>
                <w:rFonts w:hint="default" w:ascii="Times New Roman" w:hAnsi="Times New Roman" w:eastAsia="宋体" w:cs="Times New Roman"/>
                <w:b/>
                <w:bCs/>
                <w:color w:val="auto"/>
                <w:sz w:val="24"/>
                <w:szCs w:val="24"/>
              </w:rPr>
              <w:t>建设项目</w:t>
            </w:r>
          </w:p>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行业类别</w:t>
            </w:r>
            <w:bookmarkEnd w:id="1"/>
          </w:p>
        </w:tc>
        <w:tc>
          <w:tcPr>
            <w:tcW w:w="1933" w:type="pct"/>
            <w:noWrap w:val="0"/>
            <w:vAlign w:val="center"/>
          </w:tcPr>
          <w:p>
            <w:pPr>
              <w:adjustRightInd w:val="0"/>
              <w:snapToGrid w:val="0"/>
              <w:jc w:val="cente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“二十一、文教、工美、体育和娱</w:t>
            </w:r>
          </w:p>
          <w:p>
            <w:pPr>
              <w:adjustRightInd w:val="0"/>
              <w:snapToGrid w:val="0"/>
              <w:jc w:val="cente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乐用品制造业24”中的“40、玩</w:t>
            </w:r>
          </w:p>
          <w:p>
            <w:pPr>
              <w:adjustRightInd w:val="0"/>
              <w:snapToGrid w:val="0"/>
              <w:jc w:val="cente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具制造245”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建设性质</w:t>
            </w:r>
          </w:p>
        </w:tc>
        <w:tc>
          <w:tcPr>
            <w:tcW w:w="1136" w:type="pct"/>
            <w:noWrap w:val="0"/>
            <w:vAlign w:val="center"/>
          </w:tcPr>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FE"/>
            </w:r>
            <w:r>
              <w:rPr>
                <w:rFonts w:hint="default" w:ascii="Times New Roman" w:hAnsi="Times New Roman" w:eastAsia="宋体" w:cs="Times New Roman"/>
                <w:sz w:val="24"/>
                <w:szCs w:val="24"/>
              </w:rPr>
              <w:t>新建（迁建）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A8"/>
            </w:r>
            <w:r>
              <w:rPr>
                <w:rFonts w:hint="default" w:ascii="Times New Roman" w:hAnsi="Times New Roman" w:eastAsia="宋体" w:cs="Times New Roman"/>
                <w:sz w:val="24"/>
                <w:szCs w:val="24"/>
              </w:rPr>
              <w:t>改建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A8"/>
            </w:r>
            <w:r>
              <w:rPr>
                <w:rFonts w:hint="default" w:ascii="Times New Roman" w:hAnsi="Times New Roman" w:eastAsia="宋体" w:cs="Times New Roman"/>
                <w:sz w:val="24"/>
                <w:szCs w:val="24"/>
              </w:rPr>
              <w:t>扩建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A8"/>
            </w:r>
            <w:r>
              <w:rPr>
                <w:rFonts w:hint="default" w:ascii="Times New Roman" w:hAnsi="Times New Roman" w:eastAsia="宋体" w:cs="Times New Roman"/>
                <w:sz w:val="24"/>
                <w:szCs w:val="24"/>
              </w:rPr>
              <w:t>技术改造</w:t>
            </w:r>
          </w:p>
        </w:tc>
        <w:tc>
          <w:tcPr>
            <w:tcW w:w="1139" w:type="pct"/>
            <w:noWrap w:val="0"/>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建设项目</w:t>
            </w:r>
          </w:p>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申报情形</w:t>
            </w:r>
          </w:p>
        </w:tc>
        <w:tc>
          <w:tcPr>
            <w:tcW w:w="1933" w:type="pct"/>
            <w:noWrap w:val="0"/>
            <w:vAlign w:val="center"/>
          </w:tcPr>
          <w:p>
            <w:pPr>
              <w:jc w:val="left"/>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rPr>
              <w:sym w:font="Wingdings" w:char="00FE"/>
            </w:r>
            <w:r>
              <w:rPr>
                <w:rFonts w:hint="default" w:ascii="Times New Roman" w:hAnsi="Times New Roman" w:eastAsia="宋体" w:cs="Times New Roman"/>
                <w:b w:val="0"/>
                <w:bCs w:val="0"/>
                <w:sz w:val="24"/>
                <w:szCs w:val="24"/>
              </w:rPr>
              <w:t>首次申报项目</w:t>
            </w:r>
          </w:p>
          <w:p>
            <w:pPr>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sym w:font="Wingdings" w:char="00A8"/>
            </w:r>
            <w:r>
              <w:rPr>
                <w:rFonts w:hint="default" w:ascii="Times New Roman" w:hAnsi="Times New Roman" w:eastAsia="宋体" w:cs="Times New Roman"/>
                <w:b w:val="0"/>
                <w:bCs w:val="0"/>
                <w:sz w:val="24"/>
                <w:szCs w:val="24"/>
              </w:rPr>
              <w:t>不予批准后再次申报项目</w:t>
            </w:r>
          </w:p>
          <w:p>
            <w:pPr>
              <w:jc w:val="left"/>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rPr>
              <w:sym w:font="Wingdings" w:char="00A8"/>
            </w:r>
            <w:r>
              <w:rPr>
                <w:rFonts w:hint="default" w:ascii="Times New Roman" w:hAnsi="Times New Roman" w:eastAsia="宋体" w:cs="Times New Roman"/>
                <w:b w:val="0"/>
                <w:bCs w:val="0"/>
                <w:sz w:val="24"/>
                <w:szCs w:val="24"/>
              </w:rPr>
              <w:t>超五年重新审核项目</w:t>
            </w:r>
          </w:p>
          <w:p>
            <w:pPr>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sym w:font="Wingdings" w:char="00A8"/>
            </w:r>
            <w:r>
              <w:rPr>
                <w:rFonts w:hint="default" w:ascii="Times New Roman" w:hAnsi="Times New Roman" w:eastAsia="宋体" w:cs="Times New Roman"/>
                <w:b w:val="0"/>
                <w:bCs w:val="0"/>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项目审批（核准/备案）部门（选填）</w:t>
            </w:r>
          </w:p>
        </w:tc>
        <w:tc>
          <w:tcPr>
            <w:tcW w:w="1136" w:type="pct"/>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鲁山县先进制造业开发区管理委员会</w:t>
            </w:r>
          </w:p>
        </w:tc>
        <w:tc>
          <w:tcPr>
            <w:tcW w:w="1139" w:type="pct"/>
            <w:noWrap w:val="0"/>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项目审批（核准/</w:t>
            </w:r>
          </w:p>
          <w:p>
            <w:pPr>
              <w:adjustRightInd w:val="0"/>
              <w:snapToGrid w:val="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bCs/>
                <w:sz w:val="24"/>
                <w:szCs w:val="24"/>
              </w:rPr>
              <w:t>备案）文号（选填）</w:t>
            </w:r>
          </w:p>
        </w:tc>
        <w:tc>
          <w:tcPr>
            <w:tcW w:w="1933" w:type="pct"/>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2304-410423-04-01-213456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总投资（万元）</w:t>
            </w:r>
          </w:p>
        </w:tc>
        <w:tc>
          <w:tcPr>
            <w:tcW w:w="1136"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850</w:t>
            </w:r>
          </w:p>
        </w:tc>
        <w:tc>
          <w:tcPr>
            <w:tcW w:w="1139"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环保投资（万元）</w:t>
            </w:r>
          </w:p>
        </w:tc>
        <w:tc>
          <w:tcPr>
            <w:tcW w:w="1933"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环保投资占比（%）</w:t>
            </w:r>
          </w:p>
        </w:tc>
        <w:tc>
          <w:tcPr>
            <w:tcW w:w="1136"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4.12</w:t>
            </w:r>
          </w:p>
        </w:tc>
        <w:tc>
          <w:tcPr>
            <w:tcW w:w="1139"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施工工期</w:t>
            </w:r>
          </w:p>
        </w:tc>
        <w:tc>
          <w:tcPr>
            <w:tcW w:w="1933"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是否开工建设</w:t>
            </w:r>
          </w:p>
        </w:tc>
        <w:tc>
          <w:tcPr>
            <w:tcW w:w="1136" w:type="pct"/>
            <w:noWrap w:val="0"/>
            <w:vAlign w:val="center"/>
          </w:tcPr>
          <w:p>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w:char="00FE"/>
            </w:r>
            <w:r>
              <w:rPr>
                <w:rFonts w:hint="default" w:ascii="Times New Roman" w:hAnsi="Times New Roman" w:eastAsia="宋体" w:cs="Times New Roman"/>
                <w:color w:val="auto"/>
                <w:sz w:val="24"/>
                <w:szCs w:val="24"/>
              </w:rPr>
              <w:t>否</w:t>
            </w:r>
          </w:p>
          <w:p>
            <w:pPr>
              <w:adjustRightInd w:val="0"/>
              <w:snapToGrid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sym w:font="Wingdings" w:char="00A8"/>
            </w:r>
            <w:r>
              <w:rPr>
                <w:rFonts w:hint="default" w:ascii="Times New Roman" w:hAnsi="Times New Roman" w:eastAsia="宋体" w:cs="Times New Roman"/>
                <w:color w:val="auto"/>
                <w:sz w:val="24"/>
                <w:szCs w:val="24"/>
              </w:rPr>
              <w:t>是：</w:t>
            </w:r>
          </w:p>
        </w:tc>
        <w:tc>
          <w:tcPr>
            <w:tcW w:w="1139"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pacing w:val="-6"/>
                <w:sz w:val="24"/>
                <w:szCs w:val="24"/>
              </w:rPr>
            </w:pPr>
            <w:r>
              <w:rPr>
                <w:rFonts w:hint="default" w:ascii="Times New Roman" w:hAnsi="Times New Roman" w:eastAsia="宋体" w:cs="Times New Roman"/>
                <w:b/>
                <w:bCs/>
                <w:color w:val="auto"/>
                <w:spacing w:val="-6"/>
                <w:sz w:val="24"/>
                <w:szCs w:val="24"/>
              </w:rPr>
              <w:t>用地（用海）</w:t>
            </w:r>
          </w:p>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pacing w:val="-6"/>
                <w:sz w:val="24"/>
                <w:szCs w:val="24"/>
              </w:rPr>
              <w:t>面积（m</w:t>
            </w:r>
            <w:r>
              <w:rPr>
                <w:rFonts w:hint="default" w:ascii="Times New Roman" w:hAnsi="Times New Roman" w:eastAsia="宋体" w:cs="Times New Roman"/>
                <w:b/>
                <w:bCs/>
                <w:color w:val="auto"/>
                <w:spacing w:val="-6"/>
                <w:sz w:val="24"/>
                <w:szCs w:val="24"/>
                <w:vertAlign w:val="superscript"/>
              </w:rPr>
              <w:t>2</w:t>
            </w:r>
            <w:r>
              <w:rPr>
                <w:rFonts w:hint="default" w:ascii="Times New Roman" w:hAnsi="Times New Roman" w:eastAsia="宋体" w:cs="Times New Roman"/>
                <w:b/>
                <w:bCs/>
                <w:color w:val="auto"/>
                <w:spacing w:val="-6"/>
                <w:sz w:val="24"/>
                <w:szCs w:val="24"/>
              </w:rPr>
              <w:t>）</w:t>
            </w:r>
          </w:p>
        </w:tc>
        <w:tc>
          <w:tcPr>
            <w:tcW w:w="1933"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1950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90" w:type="pct"/>
            <w:noWrap w:val="0"/>
            <w:vAlign w:val="center"/>
          </w:tcPr>
          <w:p>
            <w:pPr>
              <w:autoSpaceDE w:val="0"/>
              <w:autoSpaceDN w:val="0"/>
              <w:adjustRightInd w:val="0"/>
              <w:snapToGrid w:val="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专项评价设置情况</w:t>
            </w:r>
          </w:p>
        </w:tc>
        <w:tc>
          <w:tcPr>
            <w:tcW w:w="4209" w:type="pct"/>
            <w:gridSpan w:val="3"/>
            <w:noWrap w:val="0"/>
            <w:vAlign w:val="center"/>
          </w:tcPr>
          <w:p>
            <w:pPr>
              <w:autoSpaceDE w:val="0"/>
              <w:autoSpaceDN w:val="0"/>
              <w:adjustRightInd w:val="0"/>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noWrap w:val="0"/>
            <w:vAlign w:val="center"/>
          </w:tcPr>
          <w:p>
            <w:pPr>
              <w:autoSpaceDE w:val="0"/>
              <w:autoSpaceDN w:val="0"/>
              <w:adjustRightInd w:val="0"/>
              <w:snapToGrid w:val="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sz w:val="24"/>
                <w:szCs w:val="24"/>
              </w:rPr>
              <w:t>规划情况</w:t>
            </w:r>
          </w:p>
        </w:tc>
        <w:tc>
          <w:tcPr>
            <w:tcW w:w="4209" w:type="pct"/>
            <w:gridSpan w:val="3"/>
            <w:noWrap w:val="0"/>
            <w:vAlign w:val="center"/>
          </w:tcPr>
          <w:p>
            <w:pPr>
              <w:autoSpaceDE w:val="0"/>
              <w:autoSpaceDN w:val="0"/>
              <w:adjustRightInd w:val="0"/>
              <w:snapToGrid w:val="0"/>
              <w:spacing w:line="360" w:lineRule="auto"/>
              <w:jc w:val="both"/>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《鲁山县产业集聚区空间规划（2014-2020）》；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790" w:type="pct"/>
            <w:noWrap w:val="0"/>
            <w:vAlign w:val="center"/>
          </w:tcPr>
          <w:p>
            <w:pPr>
              <w:adjustRightInd w:val="0"/>
              <w:snapToGrid w:val="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sz w:val="24"/>
                <w:szCs w:val="24"/>
              </w:rPr>
              <w:t>规划环境影响评价情况</w:t>
            </w:r>
          </w:p>
        </w:tc>
        <w:tc>
          <w:tcPr>
            <w:tcW w:w="4209" w:type="pct"/>
            <w:gridSpan w:val="3"/>
            <w:noWrap w:val="0"/>
            <w:vAlign w:val="center"/>
          </w:tcPr>
          <w:p>
            <w:pPr>
              <w:autoSpaceDE w:val="0"/>
              <w:autoSpaceDN w:val="0"/>
              <w:adjustRightInd w:val="0"/>
              <w:snapToGrid w:val="0"/>
              <w:spacing w:line="360" w:lineRule="auto"/>
              <w:jc w:val="both"/>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规划名称：</w:t>
            </w:r>
            <w:r>
              <w:rPr>
                <w:rFonts w:hint="default" w:ascii="Times New Roman" w:hAnsi="Times New Roman" w:eastAsia="宋体" w:cs="Times New Roman"/>
                <w:kern w:val="0"/>
                <w:sz w:val="24"/>
                <w:szCs w:val="24"/>
                <w:lang w:val="en-US" w:eastAsia="zh-CN"/>
              </w:rPr>
              <w:t>《鲁山县产业集聚区空间规划（2014-2020）环境影响报告书》</w:t>
            </w:r>
          </w:p>
          <w:p>
            <w:pPr>
              <w:autoSpaceDE w:val="0"/>
              <w:autoSpaceDN w:val="0"/>
              <w:adjustRightInd w:val="0"/>
              <w:snapToGrid w:val="0"/>
              <w:spacing w:line="360" w:lineRule="auto"/>
              <w:jc w:val="both"/>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审查机关：平顶山市环境保护局；</w:t>
            </w:r>
          </w:p>
          <w:p>
            <w:pPr>
              <w:autoSpaceDE w:val="0"/>
              <w:autoSpaceDN w:val="0"/>
              <w:adjustRightInd w:val="0"/>
              <w:snapToGrid w:val="0"/>
              <w:spacing w:line="360" w:lineRule="auto"/>
              <w:jc w:val="both"/>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审查意见文号：平环审【2016】20号。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noWrap w:val="0"/>
            <w:vAlign w:val="center"/>
          </w:tcPr>
          <w:p>
            <w:pPr>
              <w:autoSpaceDE w:val="0"/>
              <w:autoSpaceDN w:val="0"/>
              <w:adjustRightInd w:val="0"/>
              <w:snapToGrid w:val="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规划及规划环境影响评价符合性分析</w:t>
            </w:r>
          </w:p>
        </w:tc>
        <w:tc>
          <w:tcPr>
            <w:tcW w:w="4209"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lang w:val="en-US" w:eastAsia="zh-CN"/>
              </w:rPr>
            </w:pPr>
            <w:r>
              <w:rPr>
                <w:rFonts w:hint="default" w:ascii="Times New Roman" w:hAnsi="Times New Roman" w:eastAsia="宋体" w:cs="Times New Roman"/>
                <w:b/>
                <w:bCs w:val="0"/>
                <w:sz w:val="24"/>
                <w:u w:val="none"/>
                <w:lang w:val="en-US" w:eastAsia="zh-CN"/>
              </w:rPr>
              <w:t>本项目与《</w:t>
            </w:r>
            <w:r>
              <w:rPr>
                <w:rFonts w:hint="default" w:ascii="Times New Roman" w:hAnsi="Times New Roman" w:cs="Times New Roman"/>
                <w:b/>
                <w:bCs w:val="0"/>
                <w:sz w:val="24"/>
                <w:u w:val="none"/>
                <w:lang w:val="en-US" w:eastAsia="zh-CN"/>
              </w:rPr>
              <w:t>鲁山县产业集聚区空间规划（2014-2020）</w:t>
            </w:r>
            <w:r>
              <w:rPr>
                <w:rFonts w:hint="default" w:ascii="Times New Roman" w:hAnsi="Times New Roman" w:eastAsia="宋体" w:cs="Times New Roman"/>
                <w:b/>
                <w:bCs w:val="0"/>
                <w:sz w:val="24"/>
                <w:u w:val="none"/>
                <w:lang w:val="en-US" w:eastAsia="zh-CN"/>
              </w:rPr>
              <w:t>》符合性分析</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鲁山县产业集聚区空间规划（2014-2020）环境影响报告书》于2016年7月由南京国环环境科技发展股份有限公司编制完成，并于2016年8月获得平顶山市环境保护局的审查意见，审查意见文号为平环审[2016]20号，具体规划如下：</w:t>
            </w:r>
          </w:p>
          <w:p>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（1）鲁山县产业集聚区规划范围</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鲁山县产业集聚区包括北部片区和南部片区两个组团，总规划面积为1633公顷。</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北部片区：分成两个片区，分别位于县城东北部和西北部。北片区一西至青年路，南至同盟路，北至福海路，东至福海东路；北片区二西至梁张路，南至同盟路，北至建工路，东至建设路。北片区规划面积为853.24公顷。</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南部片区：位于鲁山县城东部，北临人民路，东至牛郎路，西至鲁兴路，南至鲁平大道，规划面积779.76公顷。</w:t>
            </w:r>
          </w:p>
          <w:p>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（2）规划期限</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规划期限为2014—2020年；其中，近期为2014—2017年，远期为2018—2020年。</w:t>
            </w:r>
          </w:p>
          <w:p>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（3）主导产业</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电子信息产业（智能终端产品为主）、非金属矿物制品（耐火材料、天然石材制品为主）、轻纺产业（加工组装类终端产品为主）作为鲁山县产业集聚区的主导产业。</w:t>
            </w:r>
          </w:p>
          <w:p>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（4）功能布局</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产业集聚区的布局结构为“两心、两带、四轴、三片区”。</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两心”——两个综合服务中心。一个综合服务中心位于大浪河两侧，中州路南侧与迎宾大道西侧围合的区域，既是产业区的综合服务中心，也是片区服务中心。另一个位于创业大道与郑尧高速交叉口北300米，也是北部生态片区的中心。</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“两带”——沿大浪河和瞿店河两侧形成的绿化景观带。</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“四轴”——沿迎宾大道形成的南北向城市发展轴，沿兴工路形成的北部东西向城市发展轴，沿人民路形成中部东西向城市发展轴，沿文兴路形成的南部东西向城市发展轴。</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“三片区”——西北部产业片区，北部产业片区，南部产片区。</w:t>
            </w:r>
          </w:p>
          <w:p>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（5）空间布局</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将鲁山县产业集聚区划分为五个产业园：非金属矿物制品产业区、标准化厂房区、轻纺产业区、电子信息产业区、配套生活区。</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非金属矿物制品产业区：人民路以北区域，规划面积为8.3平方公里。重点发展新型墙体材料行业、耐火建材产业、矿物质深加工等。</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纺织产业集聚区：鲁兴路以东、织女路和新兴路以西、泰山路以北规划为轻纺产业区，规划面积为2.14平方公里。重点发展纺织服装工业、旅游产品等产业。</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电子信息产业亚集聚区：新兴路以东、泰山路以北、牛郎路以西、光明路以南区域以及迎宾大道以东、人民路以南、泰山路以北、牛郎路以西区域规划为电子信息产业亚集聚区，规划面积为3.74平方公里。重点发展智能终端产品。</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标准化厂房区：兴工路与纬三路区域规划为标准化厂房区，规划面积为0.28平方公里。</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配套生活区：兴国路与同盟路之间、中州路与人民路之间、鲁兴路与鲁平大道之间以及创业大道与人民路之间区域规划为配套生活区，规划面积为1.84平方公里。</w:t>
            </w:r>
          </w:p>
          <w:p>
            <w:pPr>
              <w:pStyle w:val="10"/>
              <w:rPr>
                <w:rFonts w:hint="default" w:ascii="Times New Roman" w:hAnsi="Times New Roman" w:eastAsia="宋体" w:cs="Times New Roman"/>
                <w:lang w:val="en-US" w:eastAsia="zh-CN"/>
              </w:rPr>
            </w:pPr>
            <w:r>
              <w:rPr>
                <w:rFonts w:hint="default" w:ascii="Times New Roman" w:hAnsi="Times New Roman" w:cs="Times New Roman"/>
                <w:lang w:val="en-US" w:eastAsia="zh-CN"/>
              </w:rPr>
              <w:t>根据现场调查，本项目位于</w:t>
            </w:r>
            <w:r>
              <w:rPr>
                <w:rFonts w:hint="default" w:ascii="Times New Roman" w:hAnsi="Times New Roman" w:cs="Times New Roman"/>
                <w:color w:val="auto"/>
                <w:kern w:val="0"/>
                <w:sz w:val="24"/>
                <w:lang w:val="en-US" w:eastAsia="zh-CN"/>
              </w:rPr>
              <w:t>非金属矿物制品产业区。</w:t>
            </w:r>
          </w:p>
          <w:p>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（6）水源规划</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根据《鲁山县城市总体规划（2012-2030）》，鲁山确定建设自来水厂3座，分别为第一水厂、第二水厂、第三水厂。其中，第一水厂位于北外环路以南、钢厂路以西，远期供水规模8.0万吨/日，水源采用昭平台水库水；第二水厂位于北外环路以北、梁张路以东，远期供水规模7.0万吨/日，水源采用昭平台水库水；第三水厂位于沙河以北、南水北调干渠以西，远期供水规模5.0万吨/日，水源采用地下水。</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产业集聚区北区用水由鲁山县第二水厂供给，南区由第一水厂和第三水厂供给；污水处理厂处理后的中水作为工业及市政用水的重要水源。规划在北部片区中部较高处建设一座给水加压站，保持地势较高处供水压力。</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本项目生产过程中各个工序不涉及生产用水，只有职工生活需要少量的生活用水。</w:t>
            </w:r>
          </w:p>
          <w:p>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（7）排水规划</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①排水体制</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规划区采用雨、污分流制的排水体制；</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②污水处理厂规划</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在产业集聚区东北部规划有一处污水处理厂，用地规模为5.28公顷，污水处理能力为3万吨/日，污水处理厂出水水质执行《城镇污水处理厂污染物排放标准》(GB18918-2002）一级A标准。产业集聚区北片区污水接入规划的污水处理厂，南片区污水接入现有的利民</w:t>
            </w:r>
            <w:bookmarkStart w:id="3" w:name="_GoBack"/>
            <w:r>
              <w:rPr>
                <w:rFonts w:hint="default" w:ascii="Times New Roman" w:hAnsi="Times New Roman" w:cs="Times New Roman"/>
                <w:color w:val="auto"/>
                <w:kern w:val="0"/>
                <w:sz w:val="24"/>
                <w:lang w:val="en-US" w:eastAsia="zh-CN"/>
              </w:rPr>
              <w:t>污水处理厂</w:t>
            </w:r>
            <w:bookmarkEnd w:id="3"/>
            <w:r>
              <w:rPr>
                <w:rFonts w:hint="default" w:ascii="Times New Roman" w:hAnsi="Times New Roman" w:cs="Times New Roman"/>
                <w:color w:val="auto"/>
                <w:kern w:val="0"/>
                <w:sz w:val="24"/>
                <w:lang w:val="en-US" w:eastAsia="zh-CN"/>
              </w:rPr>
              <w:t>。</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本项目位于鲁山县产业集聚区北区，项目周边</w:t>
            </w:r>
            <w:r>
              <w:rPr>
                <w:rFonts w:hint="eastAsia" w:cs="Times New Roman"/>
                <w:color w:val="auto"/>
                <w:kern w:val="0"/>
                <w:sz w:val="24"/>
                <w:lang w:val="en-US" w:eastAsia="zh-CN"/>
              </w:rPr>
              <w:t>已</w:t>
            </w:r>
            <w:r>
              <w:rPr>
                <w:rFonts w:hint="default" w:ascii="Times New Roman" w:hAnsi="Times New Roman" w:cs="Times New Roman"/>
                <w:color w:val="auto"/>
                <w:kern w:val="0"/>
                <w:sz w:val="24"/>
                <w:lang w:val="en-US" w:eastAsia="zh-CN"/>
              </w:rPr>
              <w:t>铺设污水管网。</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③污水管网</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根据产业集聚区地形特点，产业集聚区以郑尧高速为界，产业集聚区划分为南片区和北片区两个污水排放系统。</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北片区污水经污水管网系统收集后流入规划污水处理厂，中水全部回用；</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南片区污水经污水管网系统收集后接入利民污水处理厂，利民污水处理厂尾水处理达标后排入将相河。</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④雨水排放</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结合产业集聚区内部沟渠规划，雨水排放分区以大浪河、瞿店河和郑尧高速为界，分为东北片区、西北片区、东南片区和西南片区。</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东北片区（梁张路以东郑尧高速以北区域）：雨水由东向西，由北向南分别排入大浪河和瞿店河。</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西北片区（梁张路以西郑尧高速以北区域）：雨水由西向东，由北向南排入大浪河。</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西南片区（人民路以南大浪河以西区域）：雨水由北向南，由西向东排入大浪河。</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东南片区（人民路以南大浪河以东区域）：雨水由北向南，由东向西排入瞿店河和大浪河。</w:t>
            </w:r>
          </w:p>
          <w:p>
            <w:pPr>
              <w:autoSpaceDE w:val="0"/>
              <w:autoSpaceDN w:val="0"/>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color w:val="auto"/>
                <w:kern w:val="0"/>
                <w:sz w:val="24"/>
                <w:lang w:val="en-US" w:eastAsia="zh-CN"/>
              </w:rPr>
              <w:t>根据规划区东部和西部地势较高，中部地势较低；北部较高，工业生产中产生的污水在厂内处理达标后方能排入城市污水管道。</w:t>
            </w:r>
          </w:p>
          <w:p>
            <w:pPr>
              <w:pStyle w:val="10"/>
              <w:rPr>
                <w:rFonts w:hint="default" w:ascii="Times New Roman" w:hAnsi="Times New Roman" w:eastAsia="宋体" w:cs="Times New Roman"/>
                <w:lang w:val="en-US" w:eastAsia="zh-CN"/>
              </w:rPr>
            </w:pPr>
            <w:r>
              <w:rPr>
                <w:rFonts w:hint="default" w:ascii="Times New Roman" w:hAnsi="Times New Roman" w:cs="Times New Roman"/>
                <w:lang w:val="en-US" w:eastAsia="zh-CN"/>
              </w:rPr>
              <w:t>本项目生产过程中产生的废水主要为职工生活用水，本项目生活污水经化粪池收集后可直接进入集聚区污水管网，最终进入鲁山县产业集聚区污水处理厂进一步处理</w:t>
            </w:r>
            <w:r>
              <w:rPr>
                <w:rFonts w:hint="eastAsia" w:cs="Times New Roman"/>
                <w:lang w:val="en-US" w:eastAsia="zh-CN"/>
              </w:rPr>
              <w:t>后，全部中水回用</w:t>
            </w:r>
            <w:r>
              <w:rPr>
                <w:rFonts w:hint="default" w:ascii="Times New Roman" w:hAnsi="Times New Roman" w:cs="Times New Roman"/>
                <w:lang w:val="en-US" w:eastAsia="zh-CN"/>
              </w:rPr>
              <w:t>。</w:t>
            </w:r>
          </w:p>
          <w:p>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（8）产业集聚区优先发展项目清单及环境准入条件</w:t>
            </w:r>
          </w:p>
          <w:p>
            <w:pPr>
              <w:autoSpaceDE w:val="0"/>
              <w:autoSpaceDN w:val="0"/>
              <w:adjustRightInd w:val="0"/>
              <w:snapToGrid w:val="0"/>
              <w:spacing w:line="360" w:lineRule="auto"/>
              <w:ind w:firstLine="480" w:firstLineChars="200"/>
              <w:rPr>
                <w:rFonts w:hint="default" w:ascii="Times New Roman" w:hAnsi="Times New Roman" w:cs="Times New Roman"/>
                <w:b/>
                <w:bCs/>
                <w:color w:val="auto"/>
                <w:kern w:val="0"/>
                <w:sz w:val="24"/>
              </w:rPr>
            </w:pPr>
            <w:r>
              <w:rPr>
                <w:rFonts w:hint="default" w:ascii="Times New Roman" w:hAnsi="Times New Roman" w:cs="Times New Roman"/>
                <w:color w:val="auto"/>
                <w:kern w:val="0"/>
                <w:sz w:val="24"/>
                <w:lang w:val="en-US" w:eastAsia="zh-CN"/>
              </w:rPr>
              <w:t>本项目与鲁山县产业集聚区优先发展项目清单及环境准入条件对照情况见下表。</w:t>
            </w:r>
          </w:p>
          <w:p>
            <w:pPr>
              <w:pStyle w:val="39"/>
              <w:keepNext w:val="0"/>
              <w:keepLines w:val="0"/>
              <w:pageBreakBefore w:val="0"/>
              <w:widowControl w:val="0"/>
              <w:kinsoku/>
              <w:wordWrap/>
              <w:overflowPunct/>
              <w:topLinePunct w:val="0"/>
              <w:autoSpaceDE/>
              <w:autoSpaceDN/>
              <w:bidi w:val="0"/>
              <w:adjustRightInd/>
              <w:snapToGrid/>
              <w:spacing w:line="240" w:lineRule="auto"/>
              <w:ind w:firstLine="434" w:firstLineChars="180"/>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表1-1  与鲁山县产业集聚区优先发展项目清单及环境准入条件对照分析一览表</w:t>
            </w:r>
          </w:p>
          <w:tbl>
            <w:tblPr>
              <w:tblStyle w:val="24"/>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53"/>
              <w:gridCol w:w="900"/>
              <w:gridCol w:w="1769"/>
              <w:gridCol w:w="1859"/>
              <w:gridCol w:w="2113"/>
              <w:gridCol w:w="64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653" w:type="dxa"/>
                  <w:tcBorders>
                    <w:tl2br w:val="nil"/>
                    <w:tr2bl w:val="nil"/>
                  </w:tcBorders>
                  <w:noWrap w:val="0"/>
                  <w:vAlign w:val="center"/>
                </w:tcPr>
                <w:p>
                  <w:pPr>
                    <w:pStyle w:val="10"/>
                    <w:keepNext w:val="0"/>
                    <w:keepLines w:val="0"/>
                    <w:pageBreakBefore w:val="0"/>
                    <w:widowControl w:val="0"/>
                    <w:tabs>
                      <w:tab w:val="left" w:pos="1402"/>
                    </w:tabs>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类别</w:t>
                  </w:r>
                </w:p>
              </w:tc>
              <w:tc>
                <w:tcPr>
                  <w:tcW w:w="900"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主要行业</w:t>
                  </w:r>
                </w:p>
              </w:tc>
              <w:tc>
                <w:tcPr>
                  <w:tcW w:w="1769"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优先引入类别</w:t>
                  </w:r>
                </w:p>
              </w:tc>
              <w:tc>
                <w:tcPr>
                  <w:tcW w:w="1859"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禁止引入类别</w:t>
                  </w:r>
                </w:p>
              </w:tc>
              <w:tc>
                <w:tcPr>
                  <w:tcW w:w="2113"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本项目情况</w:t>
                  </w:r>
                </w:p>
              </w:tc>
              <w:tc>
                <w:tcPr>
                  <w:tcW w:w="640"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相符性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建材</w:t>
                  </w:r>
                </w:p>
              </w:tc>
              <w:tc>
                <w:tcPr>
                  <w:tcW w:w="900"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非金属矿物制品业</w:t>
                  </w:r>
                </w:p>
              </w:tc>
              <w:tc>
                <w:tcPr>
                  <w:tcW w:w="1769"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新型墙体材料、新型耐材、矿物质深加工等</w:t>
                  </w:r>
                </w:p>
              </w:tc>
              <w:tc>
                <w:tcPr>
                  <w:tcW w:w="1859"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水泥、玻璃行业；其它废气严重污染环境的企业</w:t>
                  </w:r>
                </w:p>
              </w:tc>
              <w:tc>
                <w:tcPr>
                  <w:tcW w:w="2113"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本项目为C2461露天游乐场所游乐设备制造</w:t>
                  </w:r>
                  <w:r>
                    <w:rPr>
                      <w:rFonts w:hint="default" w:ascii="Times New Roman" w:hAnsi="Times New Roman" w:cs="Times New Roman"/>
                      <w:color w:val="auto"/>
                      <w:sz w:val="21"/>
                      <w:szCs w:val="21"/>
                      <w:lang w:val="en-US" w:eastAsia="zh-CN"/>
                    </w:rPr>
                    <w:t>，不属于水泥、玻璃制造行业</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且废气</w:t>
                  </w:r>
                  <w:r>
                    <w:rPr>
                      <w:rFonts w:hint="default" w:ascii="Times New Roman" w:hAnsi="Times New Roman" w:cs="Times New Roman"/>
                      <w:color w:val="auto"/>
                      <w:sz w:val="21"/>
                      <w:szCs w:val="21"/>
                    </w:rPr>
                    <w:t>主要污染物为非甲烷总烃</w:t>
                  </w:r>
                  <w:r>
                    <w:rPr>
                      <w:rFonts w:hint="default" w:ascii="Times New Roman" w:hAnsi="Times New Roman" w:cs="Times New Roman"/>
                      <w:color w:val="auto"/>
                      <w:sz w:val="21"/>
                      <w:szCs w:val="21"/>
                      <w:lang w:val="en-US" w:eastAsia="zh-CN"/>
                    </w:rPr>
                    <w:t>和颗粒物</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经处理后</w:t>
                  </w:r>
                  <w:r>
                    <w:rPr>
                      <w:rFonts w:hint="default" w:ascii="Times New Roman" w:hAnsi="Times New Roman" w:cs="Times New Roman"/>
                      <w:color w:val="auto"/>
                      <w:sz w:val="21"/>
                      <w:szCs w:val="21"/>
                    </w:rPr>
                    <w:t>排放量少</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能达标排放，不属于废气严重污染环境的企业</w:t>
                  </w:r>
                </w:p>
              </w:tc>
              <w:tc>
                <w:tcPr>
                  <w:tcW w:w="640"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dxa"/>
                  <w:tcBorders>
                    <w:tl2br w:val="nil"/>
                    <w:tr2bl w:val="nil"/>
                  </w:tcBorders>
                  <w:noWrap w:val="0"/>
                  <w:vAlign w:val="center"/>
                </w:tcPr>
                <w:p>
                  <w:pPr>
                    <w:pStyle w:val="10"/>
                    <w:keepNext w:val="0"/>
                    <w:keepLines w:val="0"/>
                    <w:pageBreakBefore w:val="0"/>
                    <w:widowControl w:val="0"/>
                    <w:tabs>
                      <w:tab w:val="center" w:pos="402"/>
                    </w:tabs>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轻工</w:t>
                  </w:r>
                </w:p>
              </w:tc>
              <w:tc>
                <w:tcPr>
                  <w:tcW w:w="900"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轻纺工业</w:t>
                  </w:r>
                </w:p>
              </w:tc>
              <w:tc>
                <w:tcPr>
                  <w:tcW w:w="1769"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不含印染的轻纺和服装工业、旅游产品、加工组装类产品等</w:t>
                  </w:r>
                </w:p>
              </w:tc>
              <w:tc>
                <w:tcPr>
                  <w:tcW w:w="1859"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有发酵工艺或有异味的食品加工业、轮胎和橡胶制品业、有化学工艺的纸制品和木制品企业；其它有明显废气污染的企业</w:t>
                  </w:r>
                </w:p>
              </w:tc>
              <w:tc>
                <w:tcPr>
                  <w:tcW w:w="2113"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本项目为C2461露天游乐场所游乐设备制造</w:t>
                  </w:r>
                  <w:r>
                    <w:rPr>
                      <w:rFonts w:hint="default" w:ascii="Times New Roman" w:hAnsi="Times New Roman" w:cs="Times New Roman"/>
                      <w:color w:val="auto"/>
                      <w:sz w:val="21"/>
                      <w:szCs w:val="21"/>
                      <w:lang w:val="en-US" w:eastAsia="zh-CN"/>
                    </w:rPr>
                    <w:t>，生产工艺里不涉及发酵工艺或有异味的食品加工业、轮胎和橡胶制品业、有化学工艺的纸制品和木制品企业；并且废气</w:t>
                  </w:r>
                  <w:r>
                    <w:rPr>
                      <w:rFonts w:hint="default" w:ascii="Times New Roman" w:hAnsi="Times New Roman" w:cs="Times New Roman"/>
                      <w:color w:val="auto"/>
                      <w:sz w:val="21"/>
                      <w:szCs w:val="21"/>
                    </w:rPr>
                    <w:t>主要污染物为非甲烷总烃</w:t>
                  </w:r>
                  <w:r>
                    <w:rPr>
                      <w:rFonts w:hint="default" w:ascii="Times New Roman" w:hAnsi="Times New Roman" w:cs="Times New Roman"/>
                      <w:color w:val="auto"/>
                      <w:sz w:val="21"/>
                      <w:szCs w:val="21"/>
                      <w:lang w:val="en-US" w:eastAsia="zh-CN"/>
                    </w:rPr>
                    <w:t>和颗粒物</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经处理后</w:t>
                  </w:r>
                  <w:r>
                    <w:rPr>
                      <w:rFonts w:hint="default" w:ascii="Times New Roman" w:hAnsi="Times New Roman" w:cs="Times New Roman"/>
                      <w:color w:val="auto"/>
                      <w:sz w:val="21"/>
                      <w:szCs w:val="21"/>
                    </w:rPr>
                    <w:t>排放量少</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能够达标排放，对周围外环境影响较小</w:t>
                  </w:r>
                </w:p>
              </w:tc>
              <w:tc>
                <w:tcPr>
                  <w:tcW w:w="640" w:type="dxa"/>
                  <w:tcBorders>
                    <w:tl2br w:val="nil"/>
                    <w:tr2bl w:val="nil"/>
                  </w:tcBorders>
                  <w:noWrap w:val="0"/>
                  <w:vAlign w:val="center"/>
                </w:tcPr>
                <w:p>
                  <w:pPr>
                    <w:pStyle w:val="10"/>
                    <w:keepNext w:val="0"/>
                    <w:keepLines w:val="0"/>
                    <w:pageBreakBefore w:val="0"/>
                    <w:widowControl w:val="0"/>
                    <w:tabs>
                      <w:tab w:val="center" w:pos="402"/>
                    </w:tabs>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dxa"/>
                  <w:tcBorders>
                    <w:tl2br w:val="nil"/>
                    <w:tr2bl w:val="nil"/>
                  </w:tcBorders>
                  <w:noWrap w:val="0"/>
                  <w:vAlign w:val="center"/>
                </w:tcPr>
                <w:p>
                  <w:pPr>
                    <w:pStyle w:val="10"/>
                    <w:keepNext w:val="0"/>
                    <w:keepLines w:val="0"/>
                    <w:pageBreakBefore w:val="0"/>
                    <w:widowControl w:val="0"/>
                    <w:tabs>
                      <w:tab w:val="center" w:pos="402"/>
                    </w:tabs>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机电</w:t>
                  </w:r>
                </w:p>
              </w:tc>
              <w:tc>
                <w:tcPr>
                  <w:tcW w:w="900"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电子信息产业</w:t>
                  </w:r>
                </w:p>
              </w:tc>
              <w:tc>
                <w:tcPr>
                  <w:tcW w:w="1769"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智能手机、平板电脑、智能电视等智能终端产业，新型显示器件、集成电路、半导体照明等电子基础配套产业和软件业</w:t>
                  </w:r>
                </w:p>
              </w:tc>
              <w:tc>
                <w:tcPr>
                  <w:tcW w:w="1859"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有电镀、喷漆或表面处理工艺等污染严重的企业、电池制造等</w:t>
                  </w:r>
                </w:p>
              </w:tc>
              <w:tc>
                <w:tcPr>
                  <w:tcW w:w="2113" w:type="dxa"/>
                  <w:tcBorders>
                    <w:tl2br w:val="nil"/>
                    <w:tr2bl w:val="nil"/>
                  </w:tcBorders>
                  <w:noWrap w:val="0"/>
                  <w:vAlign w:val="center"/>
                </w:tcPr>
                <w:p>
                  <w:pPr>
                    <w:pStyle w:val="10"/>
                    <w:keepNext w:val="0"/>
                    <w:keepLines w:val="0"/>
                    <w:pageBreakBefore w:val="0"/>
                    <w:widowControl w:val="0"/>
                    <w:kinsoku w:val="0"/>
                    <w:wordWrap w:val="0"/>
                    <w:overflowPunct/>
                    <w:topLine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本项目为C2461露天游乐场所游乐设备制造</w:t>
                  </w:r>
                  <w:r>
                    <w:rPr>
                      <w:rFonts w:hint="default" w:ascii="Times New Roman" w:hAnsi="Times New Roman" w:cs="Times New Roman"/>
                      <w:color w:val="auto"/>
                      <w:sz w:val="21"/>
                      <w:szCs w:val="21"/>
                      <w:lang w:val="en-US" w:eastAsia="zh-CN"/>
                    </w:rPr>
                    <w:t>，不属于电子信息产业</w:t>
                  </w:r>
                  <w:r>
                    <w:rPr>
                      <w:rFonts w:hint="default" w:ascii="Times New Roman" w:hAnsi="Times New Roman" w:cs="Times New Roman"/>
                      <w:sz w:val="21"/>
                      <w:szCs w:val="21"/>
                      <w:lang w:eastAsia="zh-CN"/>
                    </w:rPr>
                    <w:t>；本项目采用喷塑表面处理工艺，不属于电镀、喷漆等污染严重企业</w:t>
                  </w:r>
                </w:p>
              </w:tc>
              <w:tc>
                <w:tcPr>
                  <w:tcW w:w="640"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3" w:type="dxa"/>
                  <w:gridSpan w:val="2"/>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其他</w:t>
                  </w:r>
                </w:p>
              </w:tc>
              <w:tc>
                <w:tcPr>
                  <w:tcW w:w="1769"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无污染、高附加值的企业</w:t>
                  </w:r>
                </w:p>
              </w:tc>
              <w:tc>
                <w:tcPr>
                  <w:tcW w:w="1859"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不符合国家产业政策的企业；造纸、制革、印染、发酵、白酒、化工、冶金、电镀等污染严重的企业；废水排放量大的企业</w:t>
                  </w:r>
                </w:p>
              </w:tc>
              <w:tc>
                <w:tcPr>
                  <w:tcW w:w="2113" w:type="dxa"/>
                  <w:tcBorders>
                    <w:tl2br w:val="nil"/>
                    <w:tr2bl w:val="nil"/>
                  </w:tcBorders>
                  <w:noWrap w:val="0"/>
                  <w:vAlign w:val="center"/>
                </w:tcPr>
                <w:p>
                  <w:pPr>
                    <w:pStyle w:val="10"/>
                    <w:keepNext w:val="0"/>
                    <w:keepLines w:val="0"/>
                    <w:pageBreakBefore w:val="0"/>
                    <w:widowControl w:val="0"/>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本项目符合国家产业政策，且不属于</w:t>
                  </w:r>
                  <w:r>
                    <w:rPr>
                      <w:rFonts w:hint="default" w:ascii="Times New Roman" w:hAnsi="Times New Roman" w:cs="Times New Roman"/>
                      <w:color w:val="auto"/>
                      <w:sz w:val="21"/>
                      <w:szCs w:val="21"/>
                      <w:lang w:val="en-US" w:eastAsia="zh-CN"/>
                    </w:rPr>
                    <w:t>造纸、制革、印染、发酵、白酒、化工、冶金、电镀等污染严重的企业；</w:t>
                  </w:r>
                  <w:r>
                    <w:rPr>
                      <w:rFonts w:hint="default" w:ascii="Times New Roman" w:hAnsi="Times New Roman" w:cs="Times New Roman"/>
                      <w:b w:val="0"/>
                      <w:bCs w:val="0"/>
                      <w:color w:val="auto"/>
                      <w:sz w:val="21"/>
                      <w:szCs w:val="21"/>
                      <w:u w:val="none"/>
                    </w:rPr>
                    <w:t>本项目</w:t>
                  </w:r>
                  <w:r>
                    <w:rPr>
                      <w:rFonts w:hint="default" w:ascii="Times New Roman" w:hAnsi="Times New Roman" w:cs="Times New Roman"/>
                      <w:b w:val="0"/>
                      <w:bCs w:val="0"/>
                      <w:color w:val="auto"/>
                      <w:sz w:val="21"/>
                      <w:szCs w:val="21"/>
                      <w:u w:val="none"/>
                      <w:lang w:val="en-US" w:eastAsia="zh-CN"/>
                    </w:rPr>
                    <w:t>主要水耗为职工生活。本项目主要水耗为职工生活，生产过程中不涉及用水</w:t>
                  </w:r>
                  <w:r>
                    <w:rPr>
                      <w:rFonts w:hint="default" w:ascii="Times New Roman" w:hAnsi="Times New Roman" w:cs="Times New Roman"/>
                      <w:b w:val="0"/>
                      <w:bCs w:val="0"/>
                      <w:color w:val="0000FF"/>
                      <w:sz w:val="21"/>
                      <w:szCs w:val="21"/>
                      <w:u w:val="none"/>
                      <w:lang w:val="en-US" w:eastAsia="zh-CN"/>
                    </w:rPr>
                    <w:t>，</w:t>
                  </w:r>
                  <w:r>
                    <w:rPr>
                      <w:rFonts w:hint="default" w:ascii="Times New Roman" w:hAnsi="Times New Roman" w:cs="Times New Roman"/>
                      <w:b w:val="0"/>
                      <w:bCs w:val="0"/>
                      <w:color w:val="auto"/>
                      <w:sz w:val="21"/>
                      <w:szCs w:val="21"/>
                      <w:u w:val="none"/>
                      <w:lang w:val="en-US" w:eastAsia="zh-CN"/>
                    </w:rPr>
                    <w:t>因此本项目</w:t>
                  </w:r>
                  <w:r>
                    <w:rPr>
                      <w:rFonts w:hint="default" w:ascii="Times New Roman" w:hAnsi="Times New Roman" w:cs="Times New Roman"/>
                      <w:color w:val="auto"/>
                      <w:sz w:val="21"/>
                      <w:szCs w:val="21"/>
                    </w:rPr>
                    <w:t>不属于高耗水行业；</w:t>
                  </w:r>
                  <w:r>
                    <w:rPr>
                      <w:rFonts w:hint="default" w:ascii="Times New Roman" w:hAnsi="Times New Roman" w:cs="Times New Roman"/>
                      <w:color w:val="auto"/>
                      <w:sz w:val="21"/>
                      <w:szCs w:val="21"/>
                      <w:lang w:val="en-US" w:eastAsia="zh-CN"/>
                    </w:rPr>
                    <w:t>本项目</w:t>
                  </w:r>
                  <w:r>
                    <w:rPr>
                      <w:rFonts w:hint="default" w:ascii="Times New Roman" w:hAnsi="Times New Roman" w:cs="Times New Roman"/>
                      <w:color w:val="auto"/>
                      <w:sz w:val="21"/>
                      <w:szCs w:val="21"/>
                    </w:rPr>
                    <w:t>生活污水经化粪池收集后可直接进入集聚区污水管网，最终进入鲁山县产业集聚区污水处理厂进</w:t>
                  </w:r>
                  <w:r>
                    <w:rPr>
                      <w:rFonts w:hint="default" w:ascii="Times New Roman" w:hAnsi="Times New Roman" w:cs="Times New Roman"/>
                      <w:color w:val="auto"/>
                      <w:sz w:val="21"/>
                      <w:szCs w:val="21"/>
                      <w:lang w:val="en-US" w:eastAsia="zh-CN"/>
                    </w:rPr>
                    <w:t>一步</w:t>
                  </w:r>
                  <w:r>
                    <w:rPr>
                      <w:rFonts w:hint="default" w:ascii="Times New Roman" w:hAnsi="Times New Roman" w:cs="Times New Roman"/>
                      <w:color w:val="auto"/>
                      <w:sz w:val="21"/>
                      <w:szCs w:val="21"/>
                    </w:rPr>
                    <w:t>处理，全部中水回用。</w:t>
                  </w:r>
                </w:p>
              </w:tc>
              <w:tc>
                <w:tcPr>
                  <w:tcW w:w="640" w:type="dxa"/>
                  <w:tcBorders>
                    <w:tl2br w:val="nil"/>
                    <w:tr2bl w:val="nil"/>
                  </w:tcBorders>
                  <w:noWrap w:val="0"/>
                  <w:vAlign w:val="center"/>
                </w:tcPr>
                <w:p>
                  <w:pPr>
                    <w:pStyle w:val="10"/>
                    <w:keepNext w:val="0"/>
                    <w:keepLines w:val="0"/>
                    <w:pageBreakBefore w:val="0"/>
                    <w:widowControl w:val="0"/>
                    <w:tabs>
                      <w:tab w:val="center" w:pos="402"/>
                    </w:tabs>
                    <w:kinsoku w:val="0"/>
                    <w:wordWrap w:val="0"/>
                    <w:overflowPunct/>
                    <w:autoSpaceDE/>
                    <w:autoSpaceDN/>
                    <w:bidi w:val="0"/>
                    <w:adjustRightInd w:val="0"/>
                    <w:snapToGrid w:val="0"/>
                    <w:spacing w:before="0" w:after="0" w:line="360" w:lineRule="exact"/>
                    <w:ind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bl>
          <w:p>
            <w:pPr>
              <w:autoSpaceDE w:val="0"/>
              <w:autoSpaceDN w:val="0"/>
              <w:adjustRightInd w:val="0"/>
              <w:snapToGrid w:val="0"/>
              <w:spacing w:line="360" w:lineRule="auto"/>
              <w:ind w:firstLine="480" w:firstLineChars="200"/>
              <w:rPr>
                <w:rFonts w:hint="default" w:ascii="Times New Roman" w:hAnsi="Times New Roman" w:eastAsia="宋体" w:cs="Times New Roman"/>
                <w:kern w:val="0"/>
                <w:sz w:val="24"/>
                <w:szCs w:val="24"/>
                <w:lang w:val="en-US" w:eastAsia="zh-CN"/>
              </w:rPr>
            </w:pPr>
            <w:r>
              <w:rPr>
                <w:rFonts w:hint="default" w:ascii="Times New Roman" w:hAnsi="Times New Roman" w:cs="Times New Roman"/>
                <w:color w:val="auto"/>
                <w:kern w:val="0"/>
                <w:sz w:val="24"/>
              </w:rPr>
              <w:t>相符性分析：</w:t>
            </w:r>
            <w:r>
              <w:rPr>
                <w:rFonts w:hint="default" w:ascii="Times New Roman" w:hAnsi="Times New Roman" w:cs="Times New Roman"/>
                <w:color w:val="auto"/>
                <w:kern w:val="0"/>
                <w:sz w:val="24"/>
                <w:lang w:val="en-US" w:eastAsia="zh-CN"/>
              </w:rPr>
              <w:t>综上所述，本项目为C2461露天游乐场所游乐设备制造行业，项目符合国家产业政策，不属于鲁山县产业集聚区优先发展项目清单及环境准入条件中禁止引入的项目；根据《鲁山县产业集聚区空间规划（2014-2020）</w:t>
            </w:r>
            <w:r>
              <w:rPr>
                <w:rFonts w:hint="default" w:ascii="Times New Roman" w:hAnsi="Times New Roman" w:eastAsia="宋体" w:cs="Times New Roman"/>
                <w:color w:val="auto"/>
                <w:kern w:val="0"/>
                <w:sz w:val="24"/>
                <w:lang w:val="en-US" w:eastAsia="zh-CN"/>
              </w:rPr>
              <w:t>－</w:t>
            </w:r>
            <w:r>
              <w:rPr>
                <w:rFonts w:hint="default" w:ascii="Times New Roman" w:hAnsi="Times New Roman" w:cs="Times New Roman"/>
                <w:color w:val="auto"/>
                <w:kern w:val="0"/>
                <w:sz w:val="24"/>
                <w:lang w:val="en-US" w:eastAsia="zh-CN"/>
              </w:rPr>
              <w:t>土地利用规划图》（见附图五）本项目用地性质为工业用地，符合鲁山县集聚区土地利用规划；根据《鲁山县产业集聚区空间规划（2014-2020）》（见附图六），本项目位于非金属矿物质制品区，符合鲁山县集聚区产业布局要求，且鲁山县产业聚集区管委会已同意该项目入驻（入驻证明详见附件三）。评价认为本项目符合鲁山县产业集聚区规划及规划环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noWrap w:val="0"/>
            <w:vAlign w:val="center"/>
          </w:tcPr>
          <w:p>
            <w:pPr>
              <w:autoSpaceDE w:val="0"/>
              <w:autoSpaceDN w:val="0"/>
              <w:adjustRightInd w:val="0"/>
              <w:snapToGrid w:val="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其他符合性分析</w:t>
            </w:r>
          </w:p>
        </w:tc>
        <w:tc>
          <w:tcPr>
            <w:tcW w:w="4209" w:type="pct"/>
            <w:gridSpan w:val="3"/>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360" w:lineRule="auto"/>
              <w:textAlignment w:val="auto"/>
              <w:rPr>
                <w:rFonts w:hint="default" w:ascii="Times New Roman" w:hAnsi="Times New Roman" w:cs="Times New Roman"/>
                <w:b/>
                <w:bCs/>
                <w:sz w:val="24"/>
              </w:rPr>
            </w:pPr>
            <w:r>
              <w:rPr>
                <w:rFonts w:hint="default" w:ascii="Times New Roman" w:hAnsi="Times New Roman" w:cs="Times New Roman"/>
                <w:b/>
                <w:bCs/>
                <w:sz w:val="24"/>
                <w:lang w:val="en-US" w:eastAsia="zh-CN"/>
              </w:rPr>
              <w:t>1、</w:t>
            </w:r>
            <w:r>
              <w:rPr>
                <w:rFonts w:hint="default" w:ascii="Times New Roman" w:hAnsi="Times New Roman" w:cs="Times New Roman"/>
                <w:b/>
                <w:bCs/>
                <w:sz w:val="24"/>
              </w:rPr>
              <w:t>相关政策符合性分析</w:t>
            </w:r>
          </w:p>
          <w:p>
            <w:pPr>
              <w:adjustRightInd w:val="0"/>
              <w:snapToGrid w:val="0"/>
              <w:spacing w:line="360" w:lineRule="auto"/>
              <w:ind w:left="28"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lang w:val="en-US" w:eastAsia="zh-CN"/>
              </w:rPr>
              <w:t>（1）产业政策可行性分析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b w:val="0"/>
                <w:bCs/>
                <w:sz w:val="24"/>
                <w:u w:val="none"/>
                <w:lang w:val="en-US" w:eastAsia="zh-CN"/>
              </w:rPr>
              <w:t>根据《市场准入负面清单（2022年版）》，本项目不在禁止准入类事项之列。</w:t>
            </w:r>
            <w:r>
              <w:rPr>
                <w:rFonts w:hint="default" w:ascii="Times New Roman" w:hAnsi="Times New Roman" w:cs="Times New Roman"/>
                <w:sz w:val="24"/>
                <w:szCs w:val="24"/>
              </w:rPr>
              <w:t>经查阅《产业结构调整指导目录（2019年本）》，本项目不属于国务院《产业结构调整指导目录（2019年本）》有关条款的决定中淘汰和限制类项目，为允许类。本项目不使用国家发改委《产业结构调整指导目录（2019年本）》中限制类和淘汰类的生产设备。本项目不属于国土资源部、国家发展和改革委员《限制用地项目目录（2012年本）》和《禁止用地项目目录（2012年本）》中限制和禁止用地项目。本项目已取得鲁山县先进制造业开发区管理委员会立项批复，项目编号为</w:t>
            </w:r>
            <w:r>
              <w:rPr>
                <w:rFonts w:hint="default" w:ascii="Times New Roman" w:hAnsi="Times New Roman" w:eastAsia="宋体" w:cs="Times New Roman"/>
                <w:sz w:val="24"/>
                <w:szCs w:val="24"/>
                <w:lang w:val="en-US" w:eastAsia="zh-CN"/>
              </w:rPr>
              <w:t>2304-410423-04-01-213456</w:t>
            </w:r>
            <w:r>
              <w:rPr>
                <w:rFonts w:hint="default" w:ascii="Times New Roman" w:hAnsi="Times New Roman" w:cs="Times New Roman"/>
                <w:sz w:val="24"/>
                <w:szCs w:val="24"/>
              </w:rPr>
              <w:t>，备案文件见附件2。因此，本项目符合国家与地方产业政策。</w:t>
            </w:r>
          </w:p>
          <w:p>
            <w:pPr>
              <w:spacing w:line="360" w:lineRule="auto"/>
              <w:ind w:firstLine="482" w:firstLineChars="200"/>
              <w:rPr>
                <w:rFonts w:hint="default" w:ascii="Times New Roman" w:hAnsi="Times New Roman" w:eastAsia="宋体" w:cs="Times New Roman"/>
                <w:b/>
                <w:bCs/>
                <w:sz w:val="24"/>
                <w:lang w:eastAsia="zh-CN"/>
              </w:rPr>
            </w:pP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lang w:val="en-US" w:eastAsia="zh-CN"/>
              </w:rPr>
              <w:t>2</w:t>
            </w:r>
            <w:r>
              <w:rPr>
                <w:rFonts w:hint="default" w:ascii="Times New Roman" w:hAnsi="Times New Roman" w:eastAsia="宋体" w:cs="Times New Roman"/>
                <w:b/>
                <w:bCs/>
                <w:sz w:val="24"/>
                <w:lang w:eastAsia="zh-CN"/>
              </w:rPr>
              <w:t>）与备案相符性分析</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szCs w:val="24"/>
                <w:lang w:val="en-US" w:eastAsia="zh-CN"/>
              </w:rPr>
              <w:t>依据建设单位提供资料，项目拟建设情况与备案相符性分析见表</w:t>
            </w:r>
            <w:r>
              <w:rPr>
                <w:rFonts w:hint="default" w:ascii="Times New Roman" w:hAnsi="Times New Roman" w:cs="Times New Roman"/>
                <w:sz w:val="24"/>
                <w:szCs w:val="24"/>
                <w:lang w:val="en-US" w:eastAsia="zh-CN"/>
              </w:rPr>
              <w:t>1-2。</w:t>
            </w:r>
          </w:p>
          <w:p>
            <w:pPr>
              <w:pStyle w:val="39"/>
              <w:keepNext w:val="0"/>
              <w:keepLines w:val="0"/>
              <w:pageBreakBefore w:val="0"/>
              <w:widowControl w:val="0"/>
              <w:kinsoku/>
              <w:wordWrap/>
              <w:overflowPunct/>
              <w:topLinePunct w:val="0"/>
              <w:autoSpaceDE/>
              <w:autoSpaceDN/>
              <w:bidi w:val="0"/>
              <w:adjustRightInd/>
              <w:snapToGrid/>
              <w:spacing w:line="240" w:lineRule="auto"/>
              <w:ind w:firstLine="434" w:firstLineChars="180"/>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表1-</w:t>
            </w:r>
            <w:r>
              <w:rPr>
                <w:rFonts w:hint="default" w:ascii="Times New Roman" w:hAnsi="Times New Roman" w:cs="Times New Roman"/>
                <w:b/>
                <w:bCs/>
                <w:lang w:val="en-US" w:eastAsia="zh-CN"/>
              </w:rPr>
              <w:t>2</w:t>
            </w:r>
            <w:r>
              <w:rPr>
                <w:rFonts w:hint="default" w:ascii="Times New Roman" w:hAnsi="Times New Roman" w:eastAsia="宋体" w:cs="Times New Roman"/>
                <w:b/>
                <w:bCs/>
                <w:lang w:val="en-US" w:eastAsia="zh-CN"/>
              </w:rPr>
              <w:t>项目建设情况与备案相符性一览表</w:t>
            </w:r>
          </w:p>
          <w:tbl>
            <w:tblPr>
              <w:tblStyle w:val="25"/>
              <w:tblW w:w="4992"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98"/>
              <w:gridCol w:w="2403"/>
              <w:gridCol w:w="2730"/>
              <w:gridCol w:w="125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序号</w:t>
                  </w:r>
                </w:p>
              </w:tc>
              <w:tc>
                <w:tcPr>
                  <w:tcW w:w="694" w:type="pct"/>
                  <w:tcBorders>
                    <w:tl2br w:val="nil"/>
                    <w:tr2bl w:val="nil"/>
                  </w:tcBorders>
                  <w:noWrap w:val="0"/>
                  <w:vAlign w:val="center"/>
                </w:tcPr>
                <w:p>
                  <w:pPr>
                    <w:pStyle w:val="10"/>
                    <w:keepNext w:val="0"/>
                    <w:keepLines w:val="0"/>
                    <w:pageBreakBefore w:val="0"/>
                    <w:widowControl w:val="0"/>
                    <w:tabs>
                      <w:tab w:val="left" w:pos="1402"/>
                    </w:tabs>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类别</w:t>
                  </w:r>
                </w:p>
              </w:tc>
              <w:tc>
                <w:tcPr>
                  <w:tcW w:w="1518"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备案内容</w:t>
                  </w:r>
                </w:p>
              </w:tc>
              <w:tc>
                <w:tcPr>
                  <w:tcW w:w="1725"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项目建设内容</w:t>
                  </w:r>
                </w:p>
              </w:tc>
              <w:tc>
                <w:tcPr>
                  <w:tcW w:w="79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相符性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1</w:t>
                  </w:r>
                </w:p>
              </w:tc>
              <w:tc>
                <w:tcPr>
                  <w:tcW w:w="69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cs="Times New Roman"/>
                      <w:b w:val="0"/>
                      <w:bCs w:val="0"/>
                      <w:i w:val="0"/>
                      <w:iCs w:val="0"/>
                      <w:color w:val="auto"/>
                      <w:spacing w:val="0"/>
                      <w:sz w:val="21"/>
                      <w:szCs w:val="21"/>
                      <w:lang w:val="en-US" w:eastAsia="zh-CN"/>
                    </w:rPr>
                    <w:t>项目名称</w:t>
                  </w:r>
                </w:p>
              </w:tc>
              <w:tc>
                <w:tcPr>
                  <w:tcW w:w="1518"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cs="Times New Roman"/>
                      <w:b w:val="0"/>
                      <w:bCs w:val="0"/>
                      <w:i w:val="0"/>
                      <w:iCs w:val="0"/>
                      <w:color w:val="auto"/>
                      <w:spacing w:val="0"/>
                      <w:sz w:val="21"/>
                      <w:szCs w:val="21"/>
                      <w:lang w:val="en-US" w:eastAsia="zh-CN"/>
                    </w:rPr>
                  </w:pPr>
                  <w:r>
                    <w:rPr>
                      <w:rFonts w:hint="default" w:ascii="Times New Roman" w:hAnsi="Times New Roman" w:cs="Times New Roman"/>
                      <w:b w:val="0"/>
                      <w:bCs w:val="0"/>
                      <w:i w:val="0"/>
                      <w:iCs w:val="0"/>
                      <w:color w:val="auto"/>
                      <w:spacing w:val="0"/>
                      <w:sz w:val="21"/>
                      <w:szCs w:val="21"/>
                      <w:lang w:val="en-US" w:eastAsia="zh-CN"/>
                    </w:rPr>
                    <w:t>河南巨典游乐设备有限公司年产800吨游乐设备项目</w:t>
                  </w:r>
                </w:p>
              </w:tc>
              <w:tc>
                <w:tcPr>
                  <w:tcW w:w="1725"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cs="Times New Roman"/>
                      <w:b w:val="0"/>
                      <w:bCs w:val="0"/>
                      <w:i w:val="0"/>
                      <w:iCs w:val="0"/>
                      <w:color w:val="auto"/>
                      <w:spacing w:val="0"/>
                      <w:sz w:val="21"/>
                      <w:szCs w:val="21"/>
                      <w:lang w:val="en-US" w:eastAsia="zh-CN"/>
                    </w:rPr>
                  </w:pPr>
                  <w:r>
                    <w:rPr>
                      <w:rFonts w:hint="default" w:ascii="Times New Roman" w:hAnsi="Times New Roman" w:cs="Times New Roman"/>
                      <w:b w:val="0"/>
                      <w:bCs w:val="0"/>
                      <w:i w:val="0"/>
                      <w:iCs w:val="0"/>
                      <w:color w:val="auto"/>
                      <w:spacing w:val="0"/>
                      <w:sz w:val="21"/>
                      <w:szCs w:val="21"/>
                      <w:lang w:val="en-US" w:eastAsia="zh-CN"/>
                    </w:rPr>
                    <w:t>河南巨典游乐设备有限公司年产800吨游乐设备项目</w:t>
                  </w:r>
                </w:p>
              </w:tc>
              <w:tc>
                <w:tcPr>
                  <w:tcW w:w="79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2</w:t>
                  </w:r>
                </w:p>
              </w:tc>
              <w:tc>
                <w:tcPr>
                  <w:tcW w:w="694" w:type="pct"/>
                  <w:tcBorders>
                    <w:tl2br w:val="nil"/>
                    <w:tr2bl w:val="nil"/>
                  </w:tcBorders>
                  <w:noWrap w:val="0"/>
                  <w:vAlign w:val="center"/>
                </w:tcPr>
                <w:p>
                  <w:pPr>
                    <w:pStyle w:val="10"/>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cs="Times New Roman"/>
                      <w:b w:val="0"/>
                      <w:bCs w:val="0"/>
                      <w:i w:val="0"/>
                      <w:iCs w:val="0"/>
                      <w:spacing w:val="0"/>
                      <w:sz w:val="21"/>
                      <w:szCs w:val="21"/>
                      <w:lang w:val="en-US" w:eastAsia="zh-CN"/>
                    </w:rPr>
                    <w:t>建设单位</w:t>
                  </w:r>
                </w:p>
              </w:tc>
              <w:tc>
                <w:tcPr>
                  <w:tcW w:w="1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cs="Times New Roman"/>
                      <w:b w:val="0"/>
                      <w:bCs w:val="0"/>
                      <w:i w:val="0"/>
                      <w:iCs w:val="0"/>
                      <w:spacing w:val="0"/>
                      <w:kern w:val="2"/>
                      <w:sz w:val="21"/>
                      <w:szCs w:val="21"/>
                      <w:lang w:val="en-US" w:eastAsia="zh-CN" w:bidi="ar-SA"/>
                    </w:rPr>
                  </w:pPr>
                  <w:r>
                    <w:rPr>
                      <w:rFonts w:hint="default" w:ascii="Times New Roman" w:hAnsi="Times New Roman" w:cs="Times New Roman"/>
                      <w:b w:val="0"/>
                      <w:bCs w:val="0"/>
                      <w:i w:val="0"/>
                      <w:iCs w:val="0"/>
                      <w:color w:val="auto"/>
                      <w:spacing w:val="0"/>
                      <w:sz w:val="21"/>
                      <w:szCs w:val="21"/>
                      <w:lang w:val="en-US" w:eastAsia="zh-CN"/>
                    </w:rPr>
                    <w:t>河南巨典游乐设备有限公司</w:t>
                  </w:r>
                </w:p>
              </w:tc>
              <w:tc>
                <w:tcPr>
                  <w:tcW w:w="1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cs="Times New Roman"/>
                      <w:b w:val="0"/>
                      <w:bCs w:val="0"/>
                      <w:i w:val="0"/>
                      <w:iCs w:val="0"/>
                      <w:spacing w:val="0"/>
                      <w:kern w:val="2"/>
                      <w:sz w:val="21"/>
                      <w:szCs w:val="21"/>
                      <w:lang w:val="en-US" w:eastAsia="zh-CN" w:bidi="ar-SA"/>
                    </w:rPr>
                  </w:pPr>
                  <w:r>
                    <w:rPr>
                      <w:rFonts w:hint="default" w:ascii="Times New Roman" w:hAnsi="Times New Roman" w:cs="Times New Roman"/>
                      <w:b w:val="0"/>
                      <w:bCs w:val="0"/>
                      <w:i w:val="0"/>
                      <w:iCs w:val="0"/>
                      <w:color w:val="auto"/>
                      <w:spacing w:val="0"/>
                      <w:sz w:val="21"/>
                      <w:szCs w:val="21"/>
                      <w:lang w:val="en-US" w:eastAsia="zh-CN"/>
                    </w:rPr>
                    <w:t>河南巨典游乐设备有限公司</w:t>
                  </w:r>
                </w:p>
              </w:tc>
              <w:tc>
                <w:tcPr>
                  <w:tcW w:w="792" w:type="pct"/>
                  <w:tcBorders>
                    <w:tl2br w:val="nil"/>
                    <w:tr2bl w:val="nil"/>
                  </w:tcBorders>
                  <w:noWrap w:val="0"/>
                  <w:vAlign w:val="center"/>
                </w:tcPr>
                <w:p>
                  <w:pPr>
                    <w:pStyle w:val="10"/>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3</w:t>
                  </w:r>
                </w:p>
              </w:tc>
              <w:tc>
                <w:tcPr>
                  <w:tcW w:w="694" w:type="pct"/>
                  <w:tcBorders>
                    <w:tl2br w:val="nil"/>
                    <w:tr2bl w:val="nil"/>
                  </w:tcBorders>
                  <w:noWrap w:val="0"/>
                  <w:vAlign w:val="center"/>
                </w:tcPr>
                <w:p>
                  <w:pPr>
                    <w:pStyle w:val="10"/>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建设地点</w:t>
                  </w:r>
                </w:p>
              </w:tc>
              <w:tc>
                <w:tcPr>
                  <w:tcW w:w="1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cs="Times New Roman"/>
                      <w:b w:val="0"/>
                      <w:bCs w:val="0"/>
                      <w:i w:val="0"/>
                      <w:iCs w:val="0"/>
                      <w:spacing w:val="0"/>
                      <w:kern w:val="2"/>
                      <w:sz w:val="21"/>
                      <w:szCs w:val="21"/>
                      <w:lang w:val="en-US" w:eastAsia="zh-CN" w:bidi="ar-SA"/>
                    </w:rPr>
                  </w:pPr>
                  <w:r>
                    <w:rPr>
                      <w:rFonts w:hint="default" w:ascii="Times New Roman" w:hAnsi="Times New Roman" w:cs="Times New Roman"/>
                      <w:b w:val="0"/>
                      <w:bCs w:val="0"/>
                      <w:i w:val="0"/>
                      <w:iCs w:val="0"/>
                      <w:spacing w:val="0"/>
                      <w:kern w:val="2"/>
                      <w:sz w:val="21"/>
                      <w:szCs w:val="21"/>
                      <w:lang w:val="en-US" w:eastAsia="zh-CN" w:bidi="ar-SA"/>
                    </w:rPr>
                    <w:t>平顶山市鲁山县先进制造业开发区北区兴工路路北河南方圆炭素集团院内8号厂房</w:t>
                  </w:r>
                </w:p>
              </w:tc>
              <w:tc>
                <w:tcPr>
                  <w:tcW w:w="1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cs="Times New Roman"/>
                      <w:b w:val="0"/>
                      <w:bCs w:val="0"/>
                      <w:i w:val="0"/>
                      <w:iCs w:val="0"/>
                      <w:spacing w:val="0"/>
                      <w:kern w:val="2"/>
                      <w:sz w:val="21"/>
                      <w:szCs w:val="21"/>
                      <w:lang w:val="en-US" w:eastAsia="zh-CN" w:bidi="ar-SA"/>
                    </w:rPr>
                  </w:pPr>
                  <w:r>
                    <w:rPr>
                      <w:rFonts w:hint="default" w:ascii="Times New Roman" w:hAnsi="Times New Roman" w:cs="Times New Roman"/>
                      <w:b w:val="0"/>
                      <w:bCs w:val="0"/>
                      <w:i w:val="0"/>
                      <w:iCs w:val="0"/>
                      <w:spacing w:val="0"/>
                      <w:kern w:val="2"/>
                      <w:sz w:val="21"/>
                      <w:szCs w:val="21"/>
                      <w:lang w:val="en-US" w:eastAsia="zh-CN" w:bidi="ar-SA"/>
                    </w:rPr>
                    <w:t>平顶山市鲁山县先进制造业开发区北区兴工路路北河南方圆炭素集团院内8号厂房</w:t>
                  </w:r>
                </w:p>
              </w:tc>
              <w:tc>
                <w:tcPr>
                  <w:tcW w:w="79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4</w:t>
                  </w:r>
                </w:p>
              </w:tc>
              <w:tc>
                <w:tcPr>
                  <w:tcW w:w="694" w:type="pct"/>
                  <w:tcBorders>
                    <w:tl2br w:val="nil"/>
                    <w:tr2bl w:val="nil"/>
                  </w:tcBorders>
                  <w:noWrap w:val="0"/>
                  <w:vAlign w:val="center"/>
                </w:tcPr>
                <w:p>
                  <w:pPr>
                    <w:pStyle w:val="10"/>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建设规模</w:t>
                  </w:r>
                </w:p>
              </w:tc>
              <w:tc>
                <w:tcPr>
                  <w:tcW w:w="1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cs="Times New Roman"/>
                      <w:b w:val="0"/>
                      <w:bCs w:val="0"/>
                      <w:i w:val="0"/>
                      <w:iCs w:val="0"/>
                      <w:spacing w:val="0"/>
                      <w:kern w:val="2"/>
                      <w:sz w:val="21"/>
                      <w:szCs w:val="21"/>
                      <w:lang w:val="en-US" w:eastAsia="zh-CN" w:bidi="ar-SA"/>
                    </w:rPr>
                  </w:pPr>
                  <w:r>
                    <w:rPr>
                      <w:rFonts w:hint="default" w:ascii="Times New Roman" w:hAnsi="Times New Roman" w:cs="Times New Roman"/>
                      <w:b w:val="0"/>
                      <w:bCs w:val="0"/>
                      <w:i w:val="0"/>
                      <w:iCs w:val="0"/>
                      <w:color w:val="auto"/>
                      <w:spacing w:val="0"/>
                      <w:sz w:val="21"/>
                      <w:szCs w:val="21"/>
                      <w:lang w:val="en-US" w:eastAsia="zh-CN"/>
                    </w:rPr>
                    <w:t>年产800吨游乐设备</w:t>
                  </w:r>
                </w:p>
              </w:tc>
              <w:tc>
                <w:tcPr>
                  <w:tcW w:w="1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cs="Times New Roman"/>
                      <w:b w:val="0"/>
                      <w:bCs w:val="0"/>
                      <w:i w:val="0"/>
                      <w:iCs w:val="0"/>
                      <w:spacing w:val="0"/>
                      <w:kern w:val="2"/>
                      <w:sz w:val="21"/>
                      <w:szCs w:val="21"/>
                      <w:lang w:val="en-US" w:eastAsia="zh-CN" w:bidi="ar-SA"/>
                    </w:rPr>
                  </w:pPr>
                  <w:r>
                    <w:rPr>
                      <w:rFonts w:hint="default" w:ascii="Times New Roman" w:hAnsi="Times New Roman" w:cs="Times New Roman"/>
                      <w:b w:val="0"/>
                      <w:bCs w:val="0"/>
                      <w:i w:val="0"/>
                      <w:iCs w:val="0"/>
                      <w:color w:val="auto"/>
                      <w:spacing w:val="0"/>
                      <w:sz w:val="21"/>
                      <w:szCs w:val="21"/>
                      <w:lang w:val="en-US" w:eastAsia="zh-CN"/>
                    </w:rPr>
                    <w:t>年产800吨游乐设备</w:t>
                  </w:r>
                </w:p>
              </w:tc>
              <w:tc>
                <w:tcPr>
                  <w:tcW w:w="79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85" w:hRule="atLeast"/>
                <w:jc w:val="center"/>
              </w:trPr>
              <w:tc>
                <w:tcPr>
                  <w:tcW w:w="26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5</w:t>
                  </w:r>
                </w:p>
              </w:tc>
              <w:tc>
                <w:tcPr>
                  <w:tcW w:w="694" w:type="pct"/>
                  <w:tcBorders>
                    <w:tl2br w:val="nil"/>
                    <w:tr2bl w:val="nil"/>
                  </w:tcBorders>
                  <w:noWrap w:val="0"/>
                  <w:vAlign w:val="center"/>
                </w:tcPr>
                <w:p>
                  <w:pPr>
                    <w:pStyle w:val="10"/>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建设内容</w:t>
                  </w:r>
                </w:p>
              </w:tc>
              <w:tc>
                <w:tcPr>
                  <w:tcW w:w="1518"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项目总投资</w:t>
                  </w:r>
                  <w:r>
                    <w:rPr>
                      <w:rFonts w:hint="default" w:ascii="Times New Roman" w:hAnsi="Times New Roman" w:cs="Times New Roman"/>
                      <w:b w:val="0"/>
                      <w:bCs w:val="0"/>
                      <w:i w:val="0"/>
                      <w:iCs w:val="0"/>
                      <w:color w:val="auto"/>
                      <w:spacing w:val="0"/>
                      <w:sz w:val="21"/>
                      <w:szCs w:val="21"/>
                      <w:vertAlign w:val="baseline"/>
                      <w:lang w:val="en-US" w:eastAsia="zh-CN"/>
                    </w:rPr>
                    <w:t>850</w:t>
                  </w:r>
                  <w:r>
                    <w:rPr>
                      <w:rFonts w:hint="default" w:ascii="Times New Roman" w:hAnsi="Times New Roman" w:eastAsia="宋体" w:cs="Times New Roman"/>
                      <w:b w:val="0"/>
                      <w:bCs w:val="0"/>
                      <w:i w:val="0"/>
                      <w:iCs w:val="0"/>
                      <w:color w:val="auto"/>
                      <w:spacing w:val="0"/>
                      <w:sz w:val="21"/>
                      <w:szCs w:val="21"/>
                      <w:vertAlign w:val="baseline"/>
                      <w:lang w:val="en-US" w:eastAsia="zh-CN"/>
                    </w:rPr>
                    <w:t>万元，产能为</w:t>
                  </w:r>
                  <w:r>
                    <w:rPr>
                      <w:rFonts w:hint="default" w:ascii="Times New Roman" w:hAnsi="Times New Roman" w:cs="Times New Roman"/>
                      <w:b w:val="0"/>
                      <w:bCs w:val="0"/>
                      <w:i w:val="0"/>
                      <w:iCs w:val="0"/>
                      <w:color w:val="auto"/>
                      <w:spacing w:val="0"/>
                      <w:sz w:val="21"/>
                      <w:szCs w:val="21"/>
                      <w:lang w:val="en-US" w:eastAsia="zh-CN"/>
                    </w:rPr>
                    <w:t>年产800吨游乐设备</w:t>
                  </w:r>
                  <w:r>
                    <w:rPr>
                      <w:rFonts w:hint="default" w:ascii="Times New Roman" w:hAnsi="Times New Roman" w:eastAsia="宋体" w:cs="Times New Roman"/>
                      <w:b w:val="0"/>
                      <w:bCs w:val="0"/>
                      <w:i w:val="0"/>
                      <w:iCs w:val="0"/>
                      <w:color w:val="auto"/>
                      <w:spacing w:val="0"/>
                      <w:sz w:val="21"/>
                      <w:szCs w:val="21"/>
                      <w:vertAlign w:val="baseline"/>
                      <w:lang w:val="en-US" w:eastAsia="zh-CN"/>
                    </w:rPr>
                    <w:t>，该项目位于</w:t>
                  </w:r>
                  <w:r>
                    <w:rPr>
                      <w:rFonts w:hint="default" w:ascii="Times New Roman" w:hAnsi="Times New Roman" w:cs="Times New Roman"/>
                      <w:b w:val="0"/>
                      <w:bCs w:val="0"/>
                      <w:i w:val="0"/>
                      <w:iCs w:val="0"/>
                      <w:spacing w:val="0"/>
                      <w:kern w:val="2"/>
                      <w:sz w:val="21"/>
                      <w:szCs w:val="21"/>
                      <w:lang w:val="en-US" w:eastAsia="zh-CN" w:bidi="ar-SA"/>
                    </w:rPr>
                    <w:t>鲁山县先进制造业开发区北区兴工路路北河南方圆炭素集团院内8号厂房</w:t>
                  </w:r>
                  <w:r>
                    <w:rPr>
                      <w:rFonts w:hint="default" w:ascii="Times New Roman" w:hAnsi="Times New Roman" w:eastAsia="宋体" w:cs="Times New Roman"/>
                      <w:b w:val="0"/>
                      <w:bCs w:val="0"/>
                      <w:i w:val="0"/>
                      <w:iCs w:val="0"/>
                      <w:color w:val="auto"/>
                      <w:spacing w:val="0"/>
                      <w:sz w:val="21"/>
                      <w:szCs w:val="21"/>
                      <w:vertAlign w:val="baseline"/>
                      <w:lang w:val="en-US" w:eastAsia="zh-CN"/>
                    </w:rPr>
                    <w:t>，占地面积</w:t>
                  </w:r>
                  <w:r>
                    <w:rPr>
                      <w:rFonts w:hint="default" w:ascii="Times New Roman" w:hAnsi="Times New Roman" w:cs="Times New Roman"/>
                      <w:b w:val="0"/>
                      <w:bCs w:val="0"/>
                      <w:i w:val="0"/>
                      <w:iCs w:val="0"/>
                      <w:color w:val="auto"/>
                      <w:spacing w:val="0"/>
                      <w:sz w:val="21"/>
                      <w:szCs w:val="21"/>
                      <w:vertAlign w:val="baseline"/>
                      <w:lang w:val="en-US" w:eastAsia="zh-CN"/>
                    </w:rPr>
                    <w:t>1950</w:t>
                  </w:r>
                  <w:r>
                    <w:rPr>
                      <w:rFonts w:hint="default" w:ascii="Times New Roman" w:hAnsi="Times New Roman" w:eastAsia="宋体" w:cs="Times New Roman"/>
                      <w:b w:val="0"/>
                      <w:bCs w:val="0"/>
                      <w:i w:val="0"/>
                      <w:iCs w:val="0"/>
                      <w:color w:val="auto"/>
                      <w:spacing w:val="0"/>
                      <w:sz w:val="21"/>
                      <w:szCs w:val="21"/>
                      <w:vertAlign w:val="baseline"/>
                      <w:lang w:val="en-US" w:eastAsia="zh-CN"/>
                    </w:rPr>
                    <w:t>平方米</w:t>
                  </w:r>
                </w:p>
              </w:tc>
              <w:tc>
                <w:tcPr>
                  <w:tcW w:w="1725"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项目总投资</w:t>
                  </w:r>
                  <w:r>
                    <w:rPr>
                      <w:rFonts w:hint="default" w:ascii="Times New Roman" w:hAnsi="Times New Roman" w:cs="Times New Roman"/>
                      <w:b w:val="0"/>
                      <w:bCs w:val="0"/>
                      <w:i w:val="0"/>
                      <w:iCs w:val="0"/>
                      <w:color w:val="auto"/>
                      <w:spacing w:val="0"/>
                      <w:sz w:val="21"/>
                      <w:szCs w:val="21"/>
                      <w:vertAlign w:val="baseline"/>
                      <w:lang w:val="en-US" w:eastAsia="zh-CN"/>
                    </w:rPr>
                    <w:t>850</w:t>
                  </w:r>
                  <w:r>
                    <w:rPr>
                      <w:rFonts w:hint="default" w:ascii="Times New Roman" w:hAnsi="Times New Roman" w:eastAsia="宋体" w:cs="Times New Roman"/>
                      <w:b w:val="0"/>
                      <w:bCs w:val="0"/>
                      <w:i w:val="0"/>
                      <w:iCs w:val="0"/>
                      <w:color w:val="auto"/>
                      <w:spacing w:val="0"/>
                      <w:sz w:val="21"/>
                      <w:szCs w:val="21"/>
                      <w:vertAlign w:val="baseline"/>
                      <w:lang w:val="en-US" w:eastAsia="zh-CN"/>
                    </w:rPr>
                    <w:t>万元，产能为</w:t>
                  </w:r>
                  <w:r>
                    <w:rPr>
                      <w:rFonts w:hint="default" w:ascii="Times New Roman" w:hAnsi="Times New Roman" w:cs="Times New Roman"/>
                      <w:b w:val="0"/>
                      <w:bCs w:val="0"/>
                      <w:i w:val="0"/>
                      <w:iCs w:val="0"/>
                      <w:color w:val="auto"/>
                      <w:spacing w:val="0"/>
                      <w:sz w:val="21"/>
                      <w:szCs w:val="21"/>
                      <w:lang w:val="en-US" w:eastAsia="zh-CN"/>
                    </w:rPr>
                    <w:t>年产800吨游乐设备</w:t>
                  </w:r>
                  <w:r>
                    <w:rPr>
                      <w:rFonts w:hint="default" w:ascii="Times New Roman" w:hAnsi="Times New Roman" w:eastAsia="宋体" w:cs="Times New Roman"/>
                      <w:b w:val="0"/>
                      <w:bCs w:val="0"/>
                      <w:i w:val="0"/>
                      <w:iCs w:val="0"/>
                      <w:color w:val="auto"/>
                      <w:spacing w:val="0"/>
                      <w:sz w:val="21"/>
                      <w:szCs w:val="21"/>
                      <w:vertAlign w:val="baseline"/>
                      <w:lang w:val="en-US" w:eastAsia="zh-CN"/>
                    </w:rPr>
                    <w:t>，该项目位于</w:t>
                  </w:r>
                  <w:r>
                    <w:rPr>
                      <w:rFonts w:hint="default" w:ascii="Times New Roman" w:hAnsi="Times New Roman" w:cs="Times New Roman"/>
                      <w:b w:val="0"/>
                      <w:bCs w:val="0"/>
                      <w:i w:val="0"/>
                      <w:iCs w:val="0"/>
                      <w:spacing w:val="0"/>
                      <w:kern w:val="2"/>
                      <w:sz w:val="21"/>
                      <w:szCs w:val="21"/>
                      <w:lang w:val="en-US" w:eastAsia="zh-CN" w:bidi="ar-SA"/>
                    </w:rPr>
                    <w:t>鲁山县先进制造业开发区北区兴工路路北河南方圆炭素集团院内8号厂房</w:t>
                  </w:r>
                  <w:r>
                    <w:rPr>
                      <w:rFonts w:hint="default" w:ascii="Times New Roman" w:hAnsi="Times New Roman" w:eastAsia="宋体" w:cs="Times New Roman"/>
                      <w:b w:val="0"/>
                      <w:bCs w:val="0"/>
                      <w:i w:val="0"/>
                      <w:iCs w:val="0"/>
                      <w:color w:val="auto"/>
                      <w:spacing w:val="0"/>
                      <w:sz w:val="21"/>
                      <w:szCs w:val="21"/>
                      <w:vertAlign w:val="baseline"/>
                      <w:lang w:val="en-US" w:eastAsia="zh-CN"/>
                    </w:rPr>
                    <w:t>，占地面积</w:t>
                  </w:r>
                  <w:r>
                    <w:rPr>
                      <w:rFonts w:hint="default" w:ascii="Times New Roman" w:hAnsi="Times New Roman" w:cs="Times New Roman"/>
                      <w:b w:val="0"/>
                      <w:bCs w:val="0"/>
                      <w:i w:val="0"/>
                      <w:iCs w:val="0"/>
                      <w:color w:val="auto"/>
                      <w:spacing w:val="0"/>
                      <w:sz w:val="21"/>
                      <w:szCs w:val="21"/>
                      <w:vertAlign w:val="baseline"/>
                      <w:lang w:val="en-US" w:eastAsia="zh-CN"/>
                    </w:rPr>
                    <w:t>1950</w:t>
                  </w:r>
                  <w:r>
                    <w:rPr>
                      <w:rFonts w:hint="default" w:ascii="Times New Roman" w:hAnsi="Times New Roman" w:eastAsia="宋体" w:cs="Times New Roman"/>
                      <w:b w:val="0"/>
                      <w:bCs w:val="0"/>
                      <w:i w:val="0"/>
                      <w:iCs w:val="0"/>
                      <w:color w:val="auto"/>
                      <w:spacing w:val="0"/>
                      <w:sz w:val="21"/>
                      <w:szCs w:val="21"/>
                      <w:vertAlign w:val="baseline"/>
                      <w:lang w:val="en-US" w:eastAsia="zh-CN"/>
                    </w:rPr>
                    <w:t>平方米</w:t>
                  </w:r>
                </w:p>
              </w:tc>
              <w:tc>
                <w:tcPr>
                  <w:tcW w:w="792" w:type="pct"/>
                  <w:tcBorders>
                    <w:tl2br w:val="nil"/>
                    <w:tr2bl w:val="nil"/>
                  </w:tcBorders>
                  <w:noWrap w:val="0"/>
                  <w:vAlign w:val="center"/>
                </w:tcPr>
                <w:p>
                  <w:pPr>
                    <w:pStyle w:val="10"/>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6</w:t>
                  </w:r>
                </w:p>
              </w:tc>
              <w:tc>
                <w:tcPr>
                  <w:tcW w:w="694" w:type="pct"/>
                  <w:tcBorders>
                    <w:tl2br w:val="nil"/>
                    <w:tr2bl w:val="nil"/>
                  </w:tcBorders>
                  <w:noWrap w:val="0"/>
                  <w:vAlign w:val="center"/>
                </w:tcPr>
                <w:p>
                  <w:pPr>
                    <w:pStyle w:val="10"/>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生产工艺</w:t>
                  </w:r>
                </w:p>
              </w:tc>
              <w:tc>
                <w:tcPr>
                  <w:tcW w:w="1518"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购买原料→检验入库→折弯切割→焊接→抛光→喷塑→烘烤→组装→成品销售</w:t>
                  </w:r>
                </w:p>
              </w:tc>
              <w:tc>
                <w:tcPr>
                  <w:tcW w:w="1725"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购买原料→检验入库→折弯切割→焊接→抛光→喷塑→烘烤→组装→成品销售</w:t>
                  </w:r>
                </w:p>
              </w:tc>
              <w:tc>
                <w:tcPr>
                  <w:tcW w:w="792" w:type="pct"/>
                  <w:tcBorders>
                    <w:tl2br w:val="nil"/>
                    <w:tr2bl w:val="nil"/>
                  </w:tcBorders>
                  <w:noWrap w:val="0"/>
                  <w:vAlign w:val="center"/>
                </w:tcPr>
                <w:p>
                  <w:pPr>
                    <w:pStyle w:val="10"/>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cs="Times New Roman"/>
                      <w:b w:val="0"/>
                      <w:bCs w:val="0"/>
                      <w:i w:val="0"/>
                      <w:iCs w:val="0"/>
                      <w:color w:val="auto"/>
                      <w:spacing w:val="0"/>
                      <w:sz w:val="21"/>
                      <w:szCs w:val="21"/>
                      <w:vertAlign w:val="baseli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6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7</w:t>
                  </w:r>
                </w:p>
              </w:tc>
              <w:tc>
                <w:tcPr>
                  <w:tcW w:w="694" w:type="pct"/>
                  <w:tcBorders>
                    <w:tl2br w:val="nil"/>
                    <w:tr2bl w:val="nil"/>
                  </w:tcBorders>
                  <w:noWrap w:val="0"/>
                  <w:vAlign w:val="center"/>
                </w:tcPr>
                <w:p>
                  <w:pPr>
                    <w:pStyle w:val="10"/>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sz w:val="21"/>
                      <w:szCs w:val="21"/>
                      <w:vertAlign w:val="baseline"/>
                      <w:lang w:val="en-US" w:eastAsia="zh-CN"/>
                    </w:rPr>
                    <w:t>主要生产设备</w:t>
                  </w:r>
                </w:p>
              </w:tc>
              <w:tc>
                <w:tcPr>
                  <w:tcW w:w="1518" w:type="pct"/>
                  <w:tcBorders>
                    <w:tl2br w:val="nil"/>
                    <w:tr2bl w:val="nil"/>
                  </w:tcBorders>
                  <w:noWrap w:val="0"/>
                  <w:vAlign w:val="center"/>
                </w:tcPr>
                <w:p>
                  <w:pPr>
                    <w:pStyle w:val="10"/>
                    <w:keepNext w:val="0"/>
                    <w:keepLines w:val="0"/>
                    <w:pageBreakBefore w:val="0"/>
                    <w:kinsoku/>
                    <w:wordWrap/>
                    <w:overflowPunct/>
                    <w:topLinePunct w:val="0"/>
                    <w:autoSpaceDE/>
                    <w:autoSpaceDN/>
                    <w:bidi w:val="0"/>
                    <w:adjustRightIn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行吊机、折弯机、抛光机、切割机、电焊机、喷塑房、烘烤房以及配套的环保设施</w:t>
                  </w:r>
                </w:p>
              </w:tc>
              <w:tc>
                <w:tcPr>
                  <w:tcW w:w="172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行吊机、折弯机、抛光机、切割机、电焊机、喷塑房、烘烤房以及配套的环保设施</w:t>
                  </w:r>
                </w:p>
              </w:tc>
              <w:tc>
                <w:tcPr>
                  <w:tcW w:w="792" w:type="pct"/>
                  <w:tcBorders>
                    <w:tl2br w:val="nil"/>
                    <w:tr2bl w:val="nil"/>
                  </w:tcBorders>
                  <w:noWrap w:val="0"/>
                  <w:vAlign w:val="center"/>
                </w:tcPr>
                <w:p>
                  <w:pPr>
                    <w:pStyle w:val="10"/>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cs="Times New Roman"/>
                      <w:b w:val="0"/>
                      <w:bCs w:val="0"/>
                      <w:i w:val="0"/>
                      <w:iCs w:val="0"/>
                      <w:color w:val="auto"/>
                      <w:spacing w:val="0"/>
                      <w:kern w:val="2"/>
                      <w:sz w:val="21"/>
                      <w:szCs w:val="21"/>
                      <w:vertAlign w:val="baseline"/>
                      <w:lang w:val="en-US" w:eastAsia="zh-CN" w:bidi="ar-SA"/>
                    </w:rPr>
                    <w:t>相符</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rPr>
            </w:pPr>
            <w:r>
              <w:rPr>
                <w:rFonts w:hint="default" w:ascii="Times New Roman" w:hAnsi="Times New Roman" w:cs="Times New Roman"/>
                <w:b w:val="0"/>
                <w:bCs/>
                <w:color w:val="auto"/>
                <w:kern w:val="0"/>
                <w:sz w:val="24"/>
                <w:u w:val="none"/>
              </w:rPr>
              <w:t>由表</w:t>
            </w:r>
            <w:r>
              <w:rPr>
                <w:rFonts w:hint="default" w:ascii="Times New Roman" w:hAnsi="Times New Roman" w:cs="Times New Roman"/>
                <w:b w:val="0"/>
                <w:bCs/>
                <w:color w:val="auto"/>
                <w:kern w:val="0"/>
                <w:sz w:val="24"/>
                <w:u w:val="none"/>
                <w:lang w:val="en-US" w:eastAsia="zh-CN"/>
              </w:rPr>
              <w:t>1-2</w:t>
            </w:r>
            <w:r>
              <w:rPr>
                <w:rFonts w:hint="default" w:ascii="Times New Roman" w:hAnsi="Times New Roman" w:cs="Times New Roman"/>
                <w:b w:val="0"/>
                <w:bCs/>
                <w:color w:val="auto"/>
                <w:kern w:val="0"/>
                <w:sz w:val="24"/>
                <w:u w:val="none"/>
              </w:rPr>
              <w:t>可知，本项目拟建设情况与备案内容相符。</w:t>
            </w:r>
            <w:r>
              <w:rPr>
                <w:rFonts w:hint="default" w:ascii="Times New Roman" w:hAnsi="Times New Roman" w:eastAsia="宋体" w:cs="Times New Roman"/>
                <w:color w:val="auto"/>
                <w:sz w:val="24"/>
              </w:rPr>
              <w:t>因此，本项目符合国家产业政策及地方规划要求。</w:t>
            </w:r>
          </w:p>
          <w:p>
            <w:pPr>
              <w:spacing w:line="360" w:lineRule="auto"/>
              <w:ind w:firstLine="482" w:firstLineChars="200"/>
              <w:rPr>
                <w:rFonts w:hint="default" w:ascii="Times New Roman" w:hAnsi="Times New Roman" w:eastAsia="宋体" w:cs="Times New Roman"/>
                <w:b/>
                <w:bCs/>
                <w:sz w:val="24"/>
                <w:lang w:eastAsia="zh-CN"/>
              </w:rPr>
            </w:pPr>
            <w:r>
              <w:rPr>
                <w:rFonts w:hint="default" w:ascii="Times New Roman" w:hAnsi="Times New Roman" w:cs="Times New Roman"/>
                <w:b/>
                <w:bCs/>
                <w:sz w:val="24"/>
                <w:lang w:val="en-US" w:eastAsia="zh-CN"/>
              </w:rPr>
              <w:t>（3）</w:t>
            </w:r>
            <w:r>
              <w:rPr>
                <w:rFonts w:hint="default" w:ascii="Times New Roman" w:hAnsi="Times New Roman" w:eastAsia="宋体" w:cs="Times New Roman"/>
                <w:b/>
                <w:bCs/>
                <w:sz w:val="24"/>
                <w:lang w:val="en-US" w:eastAsia="zh-CN"/>
              </w:rPr>
              <w:t>土地及规划的相符性分析</w:t>
            </w:r>
          </w:p>
          <w:p>
            <w:pPr>
              <w:widowControl/>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b w:val="0"/>
                <w:bCs w:val="0"/>
                <w:color w:val="auto"/>
                <w:sz w:val="24"/>
                <w:u w:val="none"/>
                <w:lang w:val="en-US" w:eastAsia="zh-CN"/>
              </w:rPr>
              <w:t>根据调查，</w:t>
            </w:r>
            <w:r>
              <w:rPr>
                <w:rFonts w:hint="default" w:ascii="Times New Roman" w:hAnsi="Times New Roman" w:cs="Times New Roman"/>
                <w:b w:val="0"/>
                <w:bCs w:val="0"/>
                <w:color w:val="auto"/>
                <w:sz w:val="24"/>
                <w:u w:val="none"/>
                <w:lang w:val="en-US" w:eastAsia="zh-CN"/>
              </w:rPr>
              <w:t>河南巨典游乐设备有限公司位于平顶山市鲁山县先进制造业开发区北区兴工路路北河南方圆炭素集团院内8号厂房</w:t>
            </w:r>
            <w:r>
              <w:rPr>
                <w:rFonts w:hint="default" w:ascii="Times New Roman" w:hAnsi="Times New Roman" w:eastAsia="宋体" w:cs="Times New Roman"/>
                <w:b w:val="0"/>
                <w:bCs w:val="0"/>
                <w:color w:val="auto"/>
                <w:sz w:val="24"/>
                <w:u w:val="none"/>
                <w:lang w:val="en-US" w:eastAsia="zh-CN"/>
              </w:rPr>
              <w:t>。</w:t>
            </w:r>
            <w:r>
              <w:rPr>
                <w:rFonts w:hint="default" w:ascii="Times New Roman" w:hAnsi="Times New Roman" w:cs="Times New Roman"/>
                <w:b w:val="0"/>
                <w:bCs w:val="0"/>
                <w:color w:val="auto"/>
                <w:sz w:val="24"/>
                <w:u w:val="none"/>
                <w:lang w:val="en-US" w:eastAsia="zh-CN"/>
              </w:rPr>
              <w:t>根据现场调查，本项目</w:t>
            </w:r>
            <w:r>
              <w:rPr>
                <w:rFonts w:hint="default" w:ascii="Times New Roman" w:hAnsi="Times New Roman" w:eastAsia="宋体" w:cs="Times New Roman"/>
                <w:color w:val="auto"/>
                <w:sz w:val="24"/>
                <w:lang w:eastAsia="zh-CN"/>
              </w:rPr>
              <w:t>租用</w:t>
            </w:r>
            <w:r>
              <w:rPr>
                <w:rFonts w:hint="default" w:ascii="Times New Roman" w:hAnsi="Times New Roman" w:cs="Times New Roman"/>
                <w:color w:val="auto"/>
                <w:sz w:val="24"/>
                <w:lang w:val="en-US" w:eastAsia="zh-CN"/>
              </w:rPr>
              <w:t>河南方圆炭素集团院内</w:t>
            </w:r>
            <w:r>
              <w:rPr>
                <w:rFonts w:hint="default" w:ascii="Times New Roman" w:hAnsi="Times New Roman" w:eastAsia="宋体" w:cs="Times New Roman"/>
                <w:color w:val="auto"/>
                <w:sz w:val="24"/>
                <w:lang w:eastAsia="zh-CN"/>
              </w:rPr>
              <w:t>现有</w:t>
            </w:r>
            <w:r>
              <w:rPr>
                <w:rFonts w:hint="default" w:ascii="Times New Roman" w:hAnsi="Times New Roman" w:cs="Times New Roman"/>
                <w:color w:val="auto"/>
                <w:sz w:val="24"/>
                <w:lang w:val="en-US" w:eastAsia="zh-CN"/>
              </w:rPr>
              <w:t>闲置</w:t>
            </w:r>
            <w:r>
              <w:rPr>
                <w:rFonts w:hint="default" w:ascii="Times New Roman" w:hAnsi="Times New Roman" w:eastAsia="宋体" w:cs="Times New Roman"/>
                <w:color w:val="auto"/>
                <w:sz w:val="24"/>
                <w:lang w:eastAsia="zh-CN"/>
              </w:rPr>
              <w:t>钢结构厂房（租赁合同见附件</w:t>
            </w:r>
            <w:r>
              <w:rPr>
                <w:rFonts w:hint="default" w:ascii="Times New Roman" w:hAnsi="Times New Roman" w:cs="Times New Roman"/>
                <w:color w:val="auto"/>
                <w:sz w:val="24"/>
                <w:lang w:val="en-US" w:eastAsia="zh-CN"/>
              </w:rPr>
              <w:t>四</w:t>
            </w:r>
            <w:r>
              <w:rPr>
                <w:rFonts w:hint="default" w:ascii="Times New Roman" w:hAnsi="Times New Roman" w:eastAsia="宋体" w:cs="Times New Roman"/>
                <w:color w:val="auto"/>
                <w:sz w:val="24"/>
                <w:lang w:eastAsia="zh-CN"/>
              </w:rPr>
              <w:t>）。根据鲁山县先进制造业开发区管理委员会出具的入驻证明（见附件</w:t>
            </w:r>
            <w:r>
              <w:rPr>
                <w:rFonts w:hint="default" w:ascii="Times New Roman" w:hAnsi="Times New Roman" w:cs="Times New Roman"/>
                <w:color w:val="auto"/>
                <w:sz w:val="24"/>
                <w:lang w:val="en-US" w:eastAsia="zh-CN"/>
              </w:rPr>
              <w:t>三</w:t>
            </w:r>
            <w:r>
              <w:rPr>
                <w:rFonts w:hint="default" w:ascii="Times New Roman" w:hAnsi="Times New Roman" w:eastAsia="宋体" w:cs="Times New Roman"/>
                <w:color w:val="auto"/>
                <w:sz w:val="24"/>
                <w:lang w:eastAsia="zh-CN"/>
              </w:rPr>
              <w:t>），项目租用厂房的土地性质为工业用地，项目用地符合土地利用总体规划及鲁山县先进制造业开发区规划。</w:t>
            </w:r>
          </w:p>
          <w:p>
            <w:pPr>
              <w:widowControl/>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综上，本项目符合国家相关政策及地方政策、规划要求。</w:t>
            </w:r>
          </w:p>
          <w:p>
            <w:pPr>
              <w:numPr>
                <w:ilvl w:val="0"/>
                <w:numId w:val="1"/>
              </w:numPr>
              <w:spacing w:line="360" w:lineRule="auto"/>
              <w:ind w:firstLine="482" w:firstLineChars="200"/>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“三线一单”相符性分析</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微软雅黑" w:cs="Times New Roman"/>
                <w:b/>
                <w:bCs/>
                <w:color w:val="auto"/>
                <w:sz w:val="24"/>
                <w:szCs w:val="24"/>
                <w:u w:val="none"/>
                <w:lang w:val="en-US" w:eastAsia="zh-CN"/>
              </w:rPr>
              <w:t>①</w:t>
            </w:r>
            <w:r>
              <w:rPr>
                <w:rFonts w:hint="default" w:ascii="Times New Roman" w:hAnsi="Times New Roman" w:eastAsia="宋体" w:cs="Times New Roman"/>
                <w:b/>
                <w:bCs/>
                <w:color w:val="auto"/>
                <w:sz w:val="24"/>
                <w:szCs w:val="24"/>
                <w:u w:val="none"/>
                <w:lang w:val="en-US" w:eastAsia="zh-CN"/>
              </w:rPr>
              <w:t>生态保护红线</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本项目位于平顶山市鲁山县先进制造业开发区北区兴工路路北河南方圆炭素集团院内8号厂房，项目所在地周边无自然保护区、风景名胜区、世界文化和自然遗产地、饮用水源保护区等环境敏感区。</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根据《平顶山市人民政府关于实施“三线一单”生态环境分区管控的意见》（平政[2021]10号）、《平顶山市生态环保红线方案》，平顶山市生态保护红线总面积为1591.35平方公里，占国土面积比例为20.13%。主要分布于平顶山市西部外方山区、北部与郑州市、许昌市交界处、南部与南阳市交界处、中部白龟山水库周边、汝河沿线和南水北调中线干渠沿线。其中鲁山县涉及的生态保护红线包括昭平湖风景名胜区、画眉谷风景名胜区、石人山风景名胜区、河南尧山国家地质公园、平顶山市白龟山水库、河南平顶山白龟山湿地省级自然保护区、河南伏牛山国家级自然保护区石人山管理区、地方重点公益林、国家二级公益林、地方一般公益林、源头水保护区</w:t>
            </w:r>
            <w:r>
              <w:rPr>
                <w:rFonts w:hint="default" w:ascii="Times New Roman" w:hAnsi="Times New Roman"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沙河、平顶山市白龟山水库）。</w:t>
            </w:r>
            <w:r>
              <w:rPr>
                <w:rFonts w:hint="default" w:ascii="Times New Roman" w:hAnsi="Times New Roman" w:cs="Times New Roman"/>
                <w:b w:val="0"/>
                <w:bCs w:val="0"/>
                <w:color w:val="auto"/>
                <w:sz w:val="24"/>
                <w:szCs w:val="24"/>
                <w:u w:val="none"/>
                <w:lang w:val="en-US" w:eastAsia="zh-CN"/>
              </w:rPr>
              <w:t>根据调查，</w:t>
            </w:r>
            <w:r>
              <w:rPr>
                <w:rFonts w:hint="default" w:ascii="Times New Roman" w:hAnsi="Times New Roman" w:eastAsia="宋体" w:cs="Times New Roman"/>
                <w:b w:val="0"/>
                <w:bCs w:val="0"/>
                <w:color w:val="auto"/>
                <w:sz w:val="24"/>
                <w:szCs w:val="24"/>
                <w:u w:val="none"/>
                <w:lang w:val="en-US" w:eastAsia="zh-CN"/>
              </w:rPr>
              <w:t>本项目不在生态红线保护范围内，符合生态红线保护要求。</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②资源利用上线</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本项目采用的能源主要为水、电。项目运行后通过内部管理、原辅材料的选用和管理、废物回收利用、污染治理等多方面措施，可使产生的污染物得到有效处置。项目对资源的使用较少，利用率</w:t>
            </w:r>
            <w:r>
              <w:rPr>
                <w:rFonts w:hint="default" w:ascii="Times New Roman" w:hAnsi="Times New Roman" w:cs="Times New Roman"/>
                <w:b w:val="0"/>
                <w:bCs w:val="0"/>
                <w:color w:val="auto"/>
                <w:sz w:val="24"/>
                <w:szCs w:val="24"/>
                <w:u w:val="none"/>
                <w:lang w:val="en-US" w:eastAsia="zh-CN"/>
              </w:rPr>
              <w:t>较</w:t>
            </w:r>
            <w:r>
              <w:rPr>
                <w:rFonts w:hint="default" w:ascii="Times New Roman" w:hAnsi="Times New Roman" w:eastAsia="宋体" w:cs="Times New Roman"/>
                <w:b w:val="0"/>
                <w:bCs w:val="0"/>
                <w:color w:val="auto"/>
                <w:sz w:val="24"/>
                <w:szCs w:val="24"/>
                <w:u w:val="none"/>
                <w:lang w:val="en-US" w:eastAsia="zh-CN"/>
              </w:rPr>
              <w:t>高，不触及资源利用</w:t>
            </w:r>
            <w:r>
              <w:rPr>
                <w:rFonts w:hint="default" w:ascii="Times New Roman" w:hAnsi="Times New Roman" w:cs="Times New Roman"/>
                <w:b w:val="0"/>
                <w:bCs w:val="0"/>
                <w:color w:val="auto"/>
                <w:sz w:val="24"/>
                <w:szCs w:val="24"/>
                <w:u w:val="none"/>
                <w:lang w:val="en-US" w:eastAsia="zh-CN"/>
              </w:rPr>
              <w:t>上线</w:t>
            </w:r>
            <w:r>
              <w:rPr>
                <w:rFonts w:hint="default" w:ascii="Times New Roman" w:hAnsi="Times New Roman" w:eastAsia="宋体" w:cs="Times New Roman"/>
                <w:b w:val="0"/>
                <w:bCs w:val="0"/>
                <w:color w:val="auto"/>
                <w:sz w:val="24"/>
                <w:szCs w:val="24"/>
                <w:u w:val="none"/>
                <w:lang w:val="en-US"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微软雅黑" w:cs="Times New Roman"/>
                <w:b/>
                <w:bCs/>
                <w:color w:val="auto"/>
                <w:sz w:val="24"/>
                <w:szCs w:val="24"/>
                <w:u w:val="none"/>
                <w:lang w:val="en-US" w:eastAsia="zh-CN"/>
              </w:rPr>
              <w:t>③</w:t>
            </w:r>
            <w:r>
              <w:rPr>
                <w:rFonts w:hint="default" w:ascii="Times New Roman" w:hAnsi="Times New Roman" w:eastAsia="宋体" w:cs="Times New Roman"/>
                <w:b/>
                <w:bCs/>
                <w:color w:val="auto"/>
                <w:sz w:val="24"/>
                <w:szCs w:val="24"/>
                <w:u w:val="none"/>
                <w:lang w:val="en-US" w:eastAsia="zh-CN"/>
              </w:rPr>
              <w:t>环境质量底线</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根据《平顶山市人民政府关于实施“三线一单”生态环境分区管控的意见》（平政[2021]10号）文件，平顶山全市国土空间按优先保护单元、重点管控单元、一般管控单元三大类共分为65个生态环境管控单元。其中，鲁山县优先保护单元3个，面积占比63.34%；重点管控单元4个，面积占比4.96%；一般管控单元1个，面积占比31.7%。</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本项目区域环境空气除PM</w:t>
            </w:r>
            <w:r>
              <w:rPr>
                <w:rFonts w:hint="default" w:ascii="Times New Roman" w:hAnsi="Times New Roman" w:eastAsia="宋体" w:cs="Times New Roman"/>
                <w:b w:val="0"/>
                <w:bCs w:val="0"/>
                <w:color w:val="auto"/>
                <w:sz w:val="24"/>
                <w:szCs w:val="24"/>
                <w:u w:val="none"/>
                <w:vertAlign w:val="subscript"/>
                <w:lang w:val="en-US" w:eastAsia="zh-CN"/>
              </w:rPr>
              <w:t>10</w:t>
            </w:r>
            <w:r>
              <w:rPr>
                <w:rFonts w:hint="default" w:ascii="Times New Roman" w:hAnsi="Times New Roman" w:eastAsia="宋体" w:cs="Times New Roman"/>
                <w:b w:val="0"/>
                <w:bCs w:val="0"/>
                <w:color w:val="auto"/>
                <w:sz w:val="24"/>
                <w:szCs w:val="24"/>
                <w:u w:val="none"/>
                <w:lang w:val="en-US" w:eastAsia="zh-CN"/>
              </w:rPr>
              <w:t>、O</w:t>
            </w:r>
            <w:r>
              <w:rPr>
                <w:rFonts w:hint="default" w:ascii="Times New Roman" w:hAnsi="Times New Roman" w:eastAsia="宋体" w:cs="Times New Roman"/>
                <w:b w:val="0"/>
                <w:bCs w:val="0"/>
                <w:color w:val="auto"/>
                <w:sz w:val="24"/>
                <w:szCs w:val="24"/>
                <w:u w:val="none"/>
                <w:vertAlign w:val="subscript"/>
                <w:lang w:val="en-US" w:eastAsia="zh-CN"/>
              </w:rPr>
              <w:t>3</w:t>
            </w:r>
            <w:r>
              <w:rPr>
                <w:rFonts w:hint="default" w:ascii="Times New Roman" w:hAnsi="Times New Roman" w:eastAsia="宋体" w:cs="Times New Roman"/>
                <w:b w:val="0"/>
                <w:bCs w:val="0"/>
                <w:color w:val="auto"/>
                <w:sz w:val="24"/>
                <w:szCs w:val="24"/>
                <w:u w:val="none"/>
                <w:lang w:val="en-US" w:eastAsia="zh-CN"/>
              </w:rPr>
              <w:t>超标外，其余监测因子均满足标准要求；地表水环境质量监测断面各监测因子均满足《地表水环境质量标准》（GB3838-2002）III类标准。</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FF"/>
                <w:sz w:val="24"/>
                <w:szCs w:val="24"/>
                <w:u w:val="none"/>
                <w:lang w:val="en-US" w:eastAsia="zh-CN"/>
              </w:rPr>
            </w:pPr>
            <w:r>
              <w:rPr>
                <w:rFonts w:hint="default" w:ascii="Times New Roman" w:hAnsi="Times New Roman" w:cs="Times New Roman"/>
                <w:b w:val="0"/>
                <w:bCs w:val="0"/>
                <w:color w:val="auto"/>
                <w:sz w:val="24"/>
                <w:szCs w:val="24"/>
                <w:u w:val="none"/>
                <w:lang w:val="en-US" w:eastAsia="zh-CN"/>
              </w:rPr>
              <w:t>切割、焊接抛光以及喷塑工序产生的颗粒物经袋式除尘系统处理后</w:t>
            </w:r>
            <w:r>
              <w:rPr>
                <w:rFonts w:hint="default" w:ascii="Times New Roman" w:hAnsi="Times New Roman" w:eastAsia="宋体" w:cs="Times New Roman"/>
                <w:b w:val="0"/>
                <w:bCs w:val="0"/>
                <w:color w:val="auto"/>
                <w:sz w:val="24"/>
                <w:szCs w:val="24"/>
                <w:u w:val="none"/>
                <w:lang w:val="en-US" w:eastAsia="zh-CN"/>
              </w:rPr>
              <w:t>通过1根15m排气筒</w:t>
            </w:r>
            <w:r>
              <w:rPr>
                <w:rFonts w:hint="eastAsia" w:ascii="Times New Roman" w:hAnsi="Times New Roman" w:cs="Times New Roman"/>
                <w:b w:val="0"/>
                <w:bCs w:val="0"/>
                <w:color w:val="auto"/>
                <w:sz w:val="24"/>
                <w:szCs w:val="24"/>
                <w:u w:val="none"/>
                <w:lang w:val="en-US" w:eastAsia="zh-CN"/>
              </w:rPr>
              <w:t>P1</w:t>
            </w:r>
            <w:r>
              <w:rPr>
                <w:rFonts w:hint="default" w:ascii="Times New Roman" w:hAnsi="Times New Roman" w:eastAsia="宋体" w:cs="Times New Roman"/>
                <w:b w:val="0"/>
                <w:bCs w:val="0"/>
                <w:color w:val="auto"/>
                <w:sz w:val="24"/>
                <w:szCs w:val="24"/>
                <w:u w:val="none"/>
                <w:lang w:val="en-US" w:eastAsia="zh-CN"/>
              </w:rPr>
              <w:t>（DA001）</w:t>
            </w:r>
            <w:r>
              <w:rPr>
                <w:rFonts w:hint="default" w:ascii="Times New Roman" w:hAnsi="Times New Roman" w:cs="Times New Roman"/>
                <w:b w:val="0"/>
                <w:bCs w:val="0"/>
                <w:color w:val="auto"/>
                <w:sz w:val="24"/>
                <w:szCs w:val="24"/>
                <w:u w:val="none"/>
                <w:lang w:val="en-US" w:eastAsia="zh-CN"/>
              </w:rPr>
              <w:t>达标排放；烘烤</w:t>
            </w:r>
            <w:r>
              <w:rPr>
                <w:rFonts w:hint="default" w:ascii="Times New Roman" w:hAnsi="Times New Roman" w:eastAsia="宋体" w:cs="Times New Roman"/>
                <w:b w:val="0"/>
                <w:bCs w:val="0"/>
                <w:color w:val="auto"/>
                <w:sz w:val="24"/>
                <w:szCs w:val="24"/>
                <w:u w:val="none"/>
                <w:lang w:val="en-US" w:eastAsia="zh-CN"/>
              </w:rPr>
              <w:t>工序废气</w:t>
            </w:r>
            <w:r>
              <w:rPr>
                <w:rFonts w:hint="eastAsia" w:ascii="Times New Roman" w:hAnsi="Times New Roman" w:cs="Times New Roman"/>
                <w:b w:val="0"/>
                <w:bCs w:val="0"/>
                <w:color w:val="auto"/>
                <w:sz w:val="24"/>
                <w:szCs w:val="24"/>
                <w:u w:val="none"/>
                <w:lang w:val="en-US" w:eastAsia="zh-CN"/>
              </w:rPr>
              <w:t>（</w:t>
            </w:r>
            <w:r>
              <w:rPr>
                <w:rFonts w:hint="default" w:ascii="Times New Roman" w:hAnsi="Times New Roman" w:cs="Times New Roman"/>
                <w:b w:val="0"/>
                <w:bCs w:val="0"/>
                <w:color w:val="auto"/>
                <w:sz w:val="24"/>
                <w:szCs w:val="24"/>
                <w:u w:val="none"/>
                <w:lang w:val="en-US" w:eastAsia="zh-CN"/>
              </w:rPr>
              <w:t>有机废气</w:t>
            </w:r>
            <w:r>
              <w:rPr>
                <w:rFonts w:hint="eastAsia" w:ascii="Times New Roman" w:hAnsi="Times New Roman"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经1套“UV光催化氧化+活性炭吸附”装置处理后通过1根15m排气筒</w:t>
            </w:r>
            <w:r>
              <w:rPr>
                <w:rFonts w:hint="eastAsia" w:ascii="Times New Roman" w:hAnsi="Times New Roman" w:cs="Times New Roman"/>
                <w:b w:val="0"/>
                <w:bCs w:val="0"/>
                <w:color w:val="auto"/>
                <w:sz w:val="24"/>
                <w:szCs w:val="24"/>
                <w:u w:val="none"/>
                <w:lang w:val="en-US" w:eastAsia="zh-CN"/>
              </w:rPr>
              <w:t>P2</w:t>
            </w:r>
            <w:r>
              <w:rPr>
                <w:rFonts w:hint="default" w:ascii="Times New Roman" w:hAnsi="Times New Roman" w:eastAsia="宋体" w:cs="Times New Roman"/>
                <w:b w:val="0"/>
                <w:bCs w:val="0"/>
                <w:color w:val="auto"/>
                <w:sz w:val="24"/>
                <w:szCs w:val="24"/>
                <w:u w:val="none"/>
                <w:lang w:val="en-US" w:eastAsia="zh-CN"/>
              </w:rPr>
              <w:t>（DA00</w:t>
            </w:r>
            <w:r>
              <w:rPr>
                <w:rFonts w:hint="default" w:ascii="Times New Roman" w:hAnsi="Times New Roman" w:cs="Times New Roman"/>
                <w:b w:val="0"/>
                <w:bCs w:val="0"/>
                <w:color w:val="auto"/>
                <w:sz w:val="24"/>
                <w:szCs w:val="24"/>
                <w:u w:val="none"/>
                <w:lang w:val="en-US" w:eastAsia="zh-CN"/>
              </w:rPr>
              <w:t>2</w:t>
            </w:r>
            <w:r>
              <w:rPr>
                <w:rFonts w:hint="default" w:ascii="Times New Roman" w:hAnsi="Times New Roman" w:eastAsia="宋体" w:cs="Times New Roman"/>
                <w:b w:val="0"/>
                <w:bCs w:val="0"/>
                <w:color w:val="auto"/>
                <w:sz w:val="24"/>
                <w:szCs w:val="24"/>
                <w:u w:val="none"/>
                <w:lang w:val="en-US" w:eastAsia="zh-CN"/>
              </w:rPr>
              <w:t>）</w:t>
            </w:r>
            <w:r>
              <w:rPr>
                <w:rFonts w:hint="eastAsia" w:ascii="Times New Roman" w:hAnsi="Times New Roman" w:cs="Times New Roman"/>
                <w:b w:val="0"/>
                <w:bCs w:val="0"/>
                <w:color w:val="auto"/>
                <w:sz w:val="24"/>
                <w:szCs w:val="24"/>
                <w:u w:val="none"/>
                <w:lang w:val="en-US" w:eastAsia="zh-CN"/>
              </w:rPr>
              <w:t>；烘烤废气（</w:t>
            </w:r>
            <w:r>
              <w:rPr>
                <w:rFonts w:hint="default" w:ascii="Times New Roman" w:hAnsi="Times New Roman" w:cs="Times New Roman"/>
                <w:b w:val="0"/>
                <w:bCs w:val="0"/>
                <w:color w:val="auto"/>
                <w:sz w:val="24"/>
                <w:szCs w:val="24"/>
                <w:u w:val="none"/>
                <w:lang w:val="en-US" w:eastAsia="zh-CN"/>
              </w:rPr>
              <w:t>燃烧废气</w:t>
            </w:r>
            <w:r>
              <w:rPr>
                <w:rFonts w:hint="eastAsia" w:ascii="Times New Roman" w:hAnsi="Times New Roman" w:cs="Times New Roman"/>
                <w:b w:val="0"/>
                <w:bCs w:val="0"/>
                <w:color w:val="auto"/>
                <w:sz w:val="24"/>
                <w:szCs w:val="24"/>
                <w:u w:val="none"/>
                <w:lang w:val="en-US" w:eastAsia="zh-CN"/>
              </w:rPr>
              <w:t>）经低氮燃烧处理后，与烘烤废气（有机废气）共同经1根排气筒P2（DA002）；</w:t>
            </w:r>
            <w:r>
              <w:rPr>
                <w:rFonts w:hint="default" w:ascii="Times New Roman" w:hAnsi="Times New Roman" w:cs="Times New Roman"/>
                <w:b w:val="0"/>
                <w:bCs w:val="0"/>
                <w:color w:val="auto"/>
                <w:sz w:val="24"/>
                <w:szCs w:val="24"/>
                <w:u w:val="none"/>
                <w:lang w:val="en-US" w:eastAsia="zh-CN"/>
              </w:rPr>
              <w:t>其中活性炭吸附工艺需满足以下要求：颗粒状、柱状活性炭碘值不低于800毫克/克，蜂窝状活性炭碘值不低于650毫克/克</w:t>
            </w:r>
            <w:r>
              <w:rPr>
                <w:rFonts w:hint="default" w:ascii="Times New Roman" w:hAnsi="Times New Roman" w:eastAsia="宋体" w:cs="Times New Roman"/>
                <w:b w:val="0"/>
                <w:bCs w:val="0"/>
                <w:color w:val="auto"/>
                <w:sz w:val="24"/>
                <w:szCs w:val="24"/>
                <w:u w:val="none"/>
                <w:lang w:val="en-US" w:eastAsia="zh-CN"/>
              </w:rPr>
              <w:t>；生活污水经化粪池收集后可直接进入集聚区污水管网，最终进入鲁山县产业集聚区污水处理厂进行深度达标处理，</w:t>
            </w:r>
            <w:r>
              <w:rPr>
                <w:rFonts w:hint="eastAsia" w:cs="Times New Roman"/>
                <w:b w:val="0"/>
                <w:bCs w:val="0"/>
                <w:color w:val="auto"/>
                <w:sz w:val="24"/>
                <w:szCs w:val="24"/>
                <w:u w:val="none"/>
                <w:lang w:val="en-US" w:eastAsia="zh-CN"/>
              </w:rPr>
              <w:t>最终</w:t>
            </w:r>
            <w:r>
              <w:rPr>
                <w:rFonts w:hint="default" w:ascii="Times New Roman" w:hAnsi="Times New Roman" w:eastAsia="宋体" w:cs="Times New Roman"/>
                <w:b w:val="0"/>
                <w:bCs w:val="0"/>
                <w:color w:val="auto"/>
                <w:sz w:val="24"/>
                <w:szCs w:val="24"/>
                <w:u w:val="none"/>
                <w:lang w:val="en-US" w:eastAsia="zh-CN"/>
              </w:rPr>
              <w:t>全部中水回用；一般固废经一般固废暂存</w:t>
            </w:r>
            <w:r>
              <w:rPr>
                <w:rFonts w:hint="eastAsia" w:ascii="Times New Roman" w:hAnsi="Times New Roman" w:cs="Times New Roman"/>
                <w:b w:val="0"/>
                <w:bCs w:val="0"/>
                <w:color w:val="auto"/>
                <w:sz w:val="24"/>
                <w:szCs w:val="24"/>
                <w:u w:val="none"/>
                <w:lang w:val="en-US" w:eastAsia="zh-CN"/>
              </w:rPr>
              <w:t>区</w:t>
            </w:r>
            <w:r>
              <w:rPr>
                <w:rFonts w:hint="default" w:ascii="Times New Roman" w:hAnsi="Times New Roman" w:eastAsia="宋体" w:cs="Times New Roman"/>
                <w:b w:val="0"/>
                <w:bCs w:val="0"/>
                <w:color w:val="auto"/>
                <w:sz w:val="24"/>
                <w:szCs w:val="24"/>
                <w:u w:val="none"/>
                <w:lang w:val="en-US" w:eastAsia="zh-CN"/>
              </w:rPr>
              <w:t>暂存后</w:t>
            </w:r>
            <w:r>
              <w:rPr>
                <w:rFonts w:hint="eastAsia" w:ascii="Times New Roman" w:hAnsi="Times New Roman" w:cs="Times New Roman"/>
                <w:b w:val="0"/>
                <w:bCs w:val="0"/>
                <w:color w:val="auto"/>
                <w:sz w:val="24"/>
                <w:szCs w:val="24"/>
                <w:u w:val="none"/>
                <w:lang w:val="en-US" w:eastAsia="zh-CN"/>
              </w:rPr>
              <w:t>定期</w:t>
            </w:r>
            <w:r>
              <w:rPr>
                <w:rFonts w:hint="default" w:ascii="Times New Roman" w:hAnsi="Times New Roman" w:eastAsia="宋体" w:cs="Times New Roman"/>
                <w:b w:val="0"/>
                <w:bCs w:val="0"/>
                <w:color w:val="auto"/>
                <w:sz w:val="24"/>
                <w:szCs w:val="24"/>
                <w:u w:val="none"/>
                <w:lang w:val="en-US" w:eastAsia="zh-CN"/>
              </w:rPr>
              <w:t>外售，危险固废经危废间暂存后交资质单位处置，</w:t>
            </w:r>
            <w:r>
              <w:rPr>
                <w:rFonts w:hint="default" w:ascii="Times New Roman" w:hAnsi="Times New Roman" w:cs="Times New Roman"/>
                <w:b w:val="0"/>
                <w:bCs w:val="0"/>
                <w:color w:val="auto"/>
                <w:sz w:val="24"/>
                <w:szCs w:val="24"/>
                <w:u w:val="none"/>
                <w:lang w:val="en-US" w:eastAsia="zh-CN"/>
              </w:rPr>
              <w:t>并且</w:t>
            </w:r>
            <w:r>
              <w:rPr>
                <w:rFonts w:hint="default" w:ascii="Times New Roman" w:hAnsi="Times New Roman" w:cs="Times New Roman"/>
                <w:color w:val="auto"/>
                <w:kern w:val="0"/>
                <w:sz w:val="24"/>
                <w:szCs w:val="24"/>
                <w:lang w:val="en-US" w:eastAsia="zh-CN"/>
              </w:rPr>
              <w:t>项目运营期的噪声经过距离衰减后均能满足《工业企业厂界环境噪声排放标准》（GB12348-2008）中3类标准的相关限值要求；</w:t>
            </w:r>
            <w:r>
              <w:rPr>
                <w:rFonts w:hint="default" w:ascii="Times New Roman" w:hAnsi="Times New Roman" w:cs="Times New Roman"/>
                <w:sz w:val="24"/>
                <w:lang w:val="zh-CN"/>
              </w:rPr>
              <w:t>因此项目在采取上述各项污染防治措施后，项目运行期间不会对周围环境造成明显影响。</w:t>
            </w:r>
            <w:r>
              <w:rPr>
                <w:rFonts w:hint="default" w:ascii="Times New Roman" w:hAnsi="Times New Roman" w:cs="Times New Roman"/>
                <w:bCs/>
                <w:sz w:val="24"/>
              </w:rPr>
              <w:t>综上所述，本项目在采取上述措施后，可守住当地的环境质量底线。</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微软雅黑" w:cs="Times New Roman"/>
                <w:b/>
                <w:bCs/>
                <w:color w:val="auto"/>
                <w:sz w:val="24"/>
                <w:szCs w:val="24"/>
                <w:u w:val="none"/>
                <w:lang w:val="en-US" w:eastAsia="zh-CN"/>
              </w:rPr>
              <w:t>④</w:t>
            </w:r>
            <w:r>
              <w:rPr>
                <w:rFonts w:hint="default" w:ascii="Times New Roman" w:hAnsi="Times New Roman" w:eastAsia="宋体" w:cs="Times New Roman"/>
                <w:b/>
                <w:bCs/>
                <w:color w:val="auto"/>
                <w:sz w:val="24"/>
                <w:szCs w:val="24"/>
                <w:u w:val="none"/>
                <w:lang w:val="en-US" w:eastAsia="zh-CN"/>
              </w:rPr>
              <w:t>生态环境准入清单</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根据《平顶山市人民政府关于实施“三线一单”生态环境分区管控的意见》（平政[2021]10号）文件中“平顶山市鲁山县环境管控单元生态环境准入清单”，同时通过河南省“三线一单”成果查询系统（网址：http://222.143.24.250:8237/#/layout/home）查询可知，本项目涉及的环境管控单元为鲁山县重点管控单元（环境管控单元名称及编码为鲁山县产业集聚区ZH41042320001），本项目涉及的环境管控单元生态环境准入条件如下表：</w:t>
            </w:r>
          </w:p>
          <w:p>
            <w:pPr>
              <w:pStyle w:val="39"/>
              <w:spacing w:line="240" w:lineRule="auto"/>
              <w:ind w:firstLine="434" w:firstLineChars="180"/>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表1-</w:t>
            </w:r>
            <w:r>
              <w:rPr>
                <w:rFonts w:hint="default" w:ascii="Times New Roman" w:hAnsi="Times New Roman" w:cs="Times New Roman"/>
                <w:b/>
                <w:bCs/>
                <w:color w:val="auto"/>
                <w:u w:val="none"/>
                <w:lang w:val="en-US" w:eastAsia="zh-CN"/>
              </w:rPr>
              <w:t>3</w:t>
            </w:r>
            <w:r>
              <w:rPr>
                <w:rFonts w:hint="default" w:ascii="Times New Roman" w:hAnsi="Times New Roman" w:cs="Times New Roman"/>
                <w:b/>
                <w:bCs/>
                <w:color w:val="auto"/>
                <w:u w:val="none"/>
                <w:lang w:eastAsia="zh-CN"/>
              </w:rPr>
              <w:t>项目涉及</w:t>
            </w:r>
            <w:r>
              <w:rPr>
                <w:rFonts w:hint="default" w:ascii="Times New Roman" w:hAnsi="Times New Roman" w:cs="Times New Roman"/>
                <w:b/>
                <w:bCs/>
                <w:color w:val="auto"/>
                <w:u w:val="none"/>
                <w:lang w:val="en-US" w:eastAsia="zh-CN"/>
              </w:rPr>
              <w:t>鲁山县</w:t>
            </w:r>
            <w:r>
              <w:rPr>
                <w:rFonts w:hint="default" w:ascii="Times New Roman" w:hAnsi="Times New Roman" w:cs="Times New Roman"/>
                <w:b/>
                <w:bCs/>
                <w:color w:val="auto"/>
                <w:u w:val="none"/>
                <w:lang w:eastAsia="zh-CN"/>
              </w:rPr>
              <w:t>生态环境准入清单</w:t>
            </w:r>
          </w:p>
          <w:tbl>
            <w:tblPr>
              <w:tblStyle w:val="24"/>
              <w:tblW w:w="7924"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0" w:type="dxa"/>
                <w:bottom w:w="0" w:type="dxa"/>
                <w:right w:w="0" w:type="dxa"/>
              </w:tblCellMar>
            </w:tblPr>
            <w:tblGrid>
              <w:gridCol w:w="487"/>
              <w:gridCol w:w="507"/>
              <w:gridCol w:w="647"/>
              <w:gridCol w:w="544"/>
              <w:gridCol w:w="2503"/>
              <w:gridCol w:w="2318"/>
              <w:gridCol w:w="918"/>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7"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kern w:val="0"/>
                      <w:sz w:val="21"/>
                      <w:szCs w:val="21"/>
                      <w:u w:val="none"/>
                      <w:lang w:eastAsia="zh-CN" w:bidi="ar"/>
                    </w:rPr>
                    <w:t>管控单元</w:t>
                  </w:r>
                </w:p>
              </w:tc>
              <w:tc>
                <w:tcPr>
                  <w:tcW w:w="507"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kern w:val="0"/>
                      <w:sz w:val="21"/>
                      <w:szCs w:val="21"/>
                      <w:u w:val="none"/>
                      <w:lang w:eastAsia="zh-CN" w:bidi="ar"/>
                    </w:rPr>
                    <w:t>管控单元分类</w:t>
                  </w:r>
                </w:p>
              </w:tc>
              <w:tc>
                <w:tcPr>
                  <w:tcW w:w="647"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eastAsia="zh-CN" w:bidi="ar"/>
                    </w:rPr>
                  </w:pPr>
                  <w:r>
                    <w:rPr>
                      <w:rFonts w:hint="default" w:ascii="Times New Roman" w:hAnsi="Times New Roman" w:eastAsia="宋体" w:cs="Times New Roman"/>
                      <w:b w:val="0"/>
                      <w:bCs w:val="0"/>
                      <w:color w:val="auto"/>
                      <w:kern w:val="0"/>
                      <w:sz w:val="21"/>
                      <w:szCs w:val="21"/>
                      <w:u w:val="none"/>
                      <w:lang w:eastAsia="zh-CN" w:bidi="ar"/>
                    </w:rPr>
                    <w:t>环境要素类别</w:t>
                  </w:r>
                </w:p>
              </w:tc>
              <w:tc>
                <w:tcPr>
                  <w:tcW w:w="3047" w:type="dxa"/>
                  <w:gridSpan w:val="2"/>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eastAsia="zh-CN" w:bidi="ar"/>
                    </w:rPr>
                    <w:t>管控要求</w:t>
                  </w:r>
                </w:p>
              </w:tc>
              <w:tc>
                <w:tcPr>
                  <w:tcW w:w="23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eastAsia="zh-CN" w:bidi="ar"/>
                    </w:rPr>
                  </w:pPr>
                  <w:r>
                    <w:rPr>
                      <w:rFonts w:hint="default" w:ascii="Times New Roman" w:hAnsi="Times New Roman" w:eastAsia="宋体" w:cs="Times New Roman"/>
                      <w:b w:val="0"/>
                      <w:bCs w:val="0"/>
                      <w:color w:val="auto"/>
                      <w:kern w:val="0"/>
                      <w:sz w:val="21"/>
                      <w:szCs w:val="21"/>
                      <w:u w:val="none"/>
                      <w:lang w:eastAsia="zh-CN" w:bidi="ar"/>
                    </w:rPr>
                    <w:t>本项目情况</w:t>
                  </w:r>
                </w:p>
              </w:tc>
              <w:tc>
                <w:tcPr>
                  <w:tcW w:w="9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val="en-US" w:eastAsia="zh-CN" w:bidi="ar"/>
                    </w:rPr>
                  </w:pPr>
                  <w:r>
                    <w:rPr>
                      <w:rFonts w:hint="default" w:ascii="Times New Roman" w:hAnsi="Times New Roman" w:cs="Times New Roman"/>
                      <w:b w:val="0"/>
                      <w:bCs w:val="0"/>
                      <w:color w:val="auto"/>
                      <w:kern w:val="0"/>
                      <w:sz w:val="21"/>
                      <w:szCs w:val="21"/>
                      <w:u w:val="none"/>
                      <w:lang w:val="en-US" w:eastAsia="zh-CN" w:bidi="ar"/>
                    </w:rPr>
                    <w:t>符合性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7" w:type="dxa"/>
                  <w:vMerge w:val="restar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bidi="ar"/>
                    </w:rPr>
                  </w:pPr>
                  <w:r>
                    <w:rPr>
                      <w:rFonts w:hint="default" w:ascii="Times New Roman" w:hAnsi="Times New Roman" w:cs="Times New Roman"/>
                      <w:b w:val="0"/>
                      <w:bCs w:val="0"/>
                      <w:color w:val="auto"/>
                      <w:kern w:val="0"/>
                      <w:sz w:val="21"/>
                      <w:szCs w:val="21"/>
                      <w:u w:val="none"/>
                      <w:lang w:val="en-US" w:eastAsia="zh-CN" w:bidi="ar"/>
                    </w:rPr>
                    <w:t>鲁山县</w:t>
                  </w:r>
                  <w:r>
                    <w:rPr>
                      <w:rFonts w:hint="default" w:ascii="Times New Roman" w:hAnsi="Times New Roman" w:eastAsia="宋体" w:cs="Times New Roman"/>
                      <w:b w:val="0"/>
                      <w:bCs w:val="0"/>
                      <w:color w:val="auto"/>
                      <w:kern w:val="0"/>
                      <w:sz w:val="21"/>
                      <w:szCs w:val="21"/>
                      <w:u w:val="none"/>
                      <w:lang w:bidi="ar"/>
                    </w:rPr>
                    <w:t>重点</w:t>
                  </w:r>
                  <w:r>
                    <w:rPr>
                      <w:rFonts w:hint="default" w:ascii="Times New Roman" w:hAnsi="Times New Roman" w:cs="Times New Roman"/>
                      <w:b w:val="0"/>
                      <w:bCs w:val="0"/>
                      <w:color w:val="auto"/>
                      <w:kern w:val="0"/>
                      <w:sz w:val="21"/>
                      <w:szCs w:val="21"/>
                      <w:u w:val="none"/>
                      <w:lang w:val="en-US" w:eastAsia="zh-CN" w:bidi="ar"/>
                    </w:rPr>
                    <w:t>管控</w:t>
                  </w:r>
                  <w:r>
                    <w:rPr>
                      <w:rFonts w:hint="default" w:ascii="Times New Roman" w:hAnsi="Times New Roman" w:eastAsia="宋体" w:cs="Times New Roman"/>
                      <w:b w:val="0"/>
                      <w:bCs w:val="0"/>
                      <w:color w:val="auto"/>
                      <w:kern w:val="0"/>
                      <w:sz w:val="21"/>
                      <w:szCs w:val="21"/>
                      <w:u w:val="none"/>
                      <w:lang w:bidi="ar"/>
                    </w:rPr>
                    <w:t>单元</w:t>
                  </w:r>
                </w:p>
              </w:tc>
              <w:tc>
                <w:tcPr>
                  <w:tcW w:w="507" w:type="dxa"/>
                  <w:vMerge w:val="restart"/>
                  <w:tcBorders>
                    <w:tl2br w:val="nil"/>
                    <w:tr2bl w:val="nil"/>
                  </w:tcBorders>
                  <w:noWrap/>
                  <w:tcMar>
                    <w:top w:w="15" w:type="dxa"/>
                    <w:left w:w="15" w:type="dxa"/>
                    <w:right w:w="15" w:type="dxa"/>
                  </w:tcMar>
                  <w:vAlign w:val="center"/>
                </w:tcPr>
                <w:p>
                  <w:pPr>
                    <w:pStyle w:val="49"/>
                    <w:spacing w:line="360" w:lineRule="exact"/>
                    <w:jc w:val="center"/>
                    <w:rPr>
                      <w:rFonts w:hint="default" w:ascii="Times New Roman" w:hAnsi="Times New Roman" w:eastAsia="宋体" w:cs="Times New Roman"/>
                      <w:b w:val="0"/>
                      <w:bCs w:val="0"/>
                      <w:color w:val="auto"/>
                      <w:kern w:val="0"/>
                      <w:sz w:val="21"/>
                      <w:szCs w:val="21"/>
                      <w:u w:val="none"/>
                      <w:lang w:val="en-US" w:eastAsia="zh-CN" w:bidi="ar"/>
                    </w:rPr>
                  </w:pPr>
                  <w:r>
                    <w:rPr>
                      <w:rFonts w:hint="default" w:ascii="Times New Roman" w:hAnsi="Times New Roman" w:cs="Times New Roman"/>
                      <w:b w:val="0"/>
                      <w:bCs w:val="0"/>
                      <w:color w:val="auto"/>
                      <w:kern w:val="0"/>
                      <w:sz w:val="21"/>
                      <w:szCs w:val="21"/>
                      <w:u w:val="none"/>
                      <w:lang w:val="en-US" w:eastAsia="zh-CN" w:bidi="ar"/>
                    </w:rPr>
                    <w:t>重点管控单元</w:t>
                  </w:r>
                </w:p>
              </w:tc>
              <w:tc>
                <w:tcPr>
                  <w:tcW w:w="647" w:type="dxa"/>
                  <w:vMerge w:val="restart"/>
                  <w:tcBorders>
                    <w:tl2br w:val="nil"/>
                    <w:tr2bl w:val="nil"/>
                  </w:tcBorders>
                  <w:noWrap/>
                  <w:tcMar>
                    <w:top w:w="15" w:type="dxa"/>
                    <w:left w:w="15" w:type="dxa"/>
                    <w:right w:w="15" w:type="dxa"/>
                  </w:tcMar>
                  <w:vAlign w:val="center"/>
                </w:tcPr>
                <w:p>
                  <w:pPr>
                    <w:pStyle w:val="49"/>
                    <w:spacing w:line="360" w:lineRule="exact"/>
                    <w:jc w:val="center"/>
                    <w:rPr>
                      <w:rFonts w:hint="default" w:ascii="Times New Roman" w:hAnsi="Times New Roman" w:eastAsia="宋体" w:cs="Times New Roman"/>
                      <w:b w:val="0"/>
                      <w:bCs w:val="0"/>
                      <w:color w:val="auto"/>
                      <w:kern w:val="0"/>
                      <w:sz w:val="21"/>
                      <w:szCs w:val="21"/>
                      <w:u w:val="none"/>
                      <w:lang w:eastAsia="zh-CN" w:bidi="ar"/>
                    </w:rPr>
                  </w:pPr>
                  <w:r>
                    <w:rPr>
                      <w:rFonts w:hint="default" w:ascii="Times New Roman" w:hAnsi="Times New Roman" w:cs="Times New Roman"/>
                      <w:b w:val="0"/>
                      <w:bCs w:val="0"/>
                      <w:color w:val="auto"/>
                      <w:szCs w:val="21"/>
                      <w:u w:val="none"/>
                    </w:rPr>
                    <w:t>大气高排放区、水环境工业污染重点管控区</w:t>
                  </w:r>
                </w:p>
              </w:tc>
              <w:tc>
                <w:tcPr>
                  <w:tcW w:w="544"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eastAsia="zh-CN" w:bidi="ar"/>
                    </w:rPr>
                  </w:pPr>
                  <w:r>
                    <w:rPr>
                      <w:rFonts w:hint="default" w:ascii="Times New Roman" w:hAnsi="Times New Roman" w:eastAsia="宋体" w:cs="Times New Roman"/>
                      <w:b w:val="0"/>
                      <w:bCs w:val="0"/>
                      <w:color w:val="auto"/>
                      <w:kern w:val="0"/>
                      <w:sz w:val="21"/>
                      <w:szCs w:val="21"/>
                      <w:u w:val="none"/>
                      <w:lang w:eastAsia="zh-CN" w:bidi="ar"/>
                    </w:rPr>
                    <w:t>空间布局约束</w:t>
                  </w:r>
                </w:p>
              </w:tc>
              <w:tc>
                <w:tcPr>
                  <w:tcW w:w="2503"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cs="Times New Roman"/>
                      <w:b w:val="0"/>
                      <w:bCs w:val="0"/>
                      <w:color w:val="auto"/>
                      <w:kern w:val="0"/>
                      <w:szCs w:val="21"/>
                      <w:u w:val="none"/>
                      <w:lang w:bidi="ar"/>
                    </w:rPr>
                  </w:pPr>
                  <w:r>
                    <w:rPr>
                      <w:rFonts w:hint="default" w:ascii="Times New Roman" w:hAnsi="Times New Roman" w:cs="Times New Roman"/>
                      <w:b w:val="0"/>
                      <w:bCs w:val="0"/>
                      <w:color w:val="auto"/>
                      <w:kern w:val="0"/>
                      <w:szCs w:val="21"/>
                      <w:u w:val="none"/>
                      <w:lang w:val="en-US" w:eastAsia="zh-CN" w:bidi="ar"/>
                    </w:rPr>
                    <w:t>1、</w:t>
                  </w:r>
                  <w:r>
                    <w:rPr>
                      <w:rFonts w:hint="default" w:ascii="Times New Roman" w:hAnsi="Times New Roman" w:cs="Times New Roman"/>
                      <w:b w:val="0"/>
                      <w:bCs w:val="0"/>
                      <w:color w:val="auto"/>
                      <w:kern w:val="0"/>
                      <w:szCs w:val="21"/>
                      <w:u w:val="none"/>
                      <w:lang w:bidi="ar"/>
                    </w:rPr>
                    <w:t>对规划区内受影响及已建企业卫生防护距离内的现有居民区需尽快搬迁；规划建设的工业区范围内不得新建居民区、学校、医院等环境敏感目标。</w:t>
                  </w:r>
                </w:p>
                <w:p>
                  <w:pPr>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cs="Times New Roman"/>
                      <w:b w:val="0"/>
                      <w:bCs w:val="0"/>
                      <w:color w:val="auto"/>
                      <w:kern w:val="0"/>
                      <w:szCs w:val="21"/>
                      <w:u w:val="none"/>
                      <w:lang w:bidi="ar"/>
                    </w:rPr>
                  </w:pPr>
                  <w:r>
                    <w:rPr>
                      <w:rFonts w:hint="default" w:ascii="Times New Roman" w:hAnsi="Times New Roman" w:cs="Times New Roman"/>
                      <w:b w:val="0"/>
                      <w:bCs w:val="0"/>
                      <w:color w:val="auto"/>
                      <w:kern w:val="0"/>
                      <w:szCs w:val="21"/>
                      <w:u w:val="none"/>
                      <w:lang w:val="en-US" w:eastAsia="zh-CN" w:bidi="ar"/>
                    </w:rPr>
                    <w:t>2、</w:t>
                  </w:r>
                  <w:r>
                    <w:rPr>
                      <w:rFonts w:hint="default" w:ascii="Times New Roman" w:hAnsi="Times New Roman" w:cs="Times New Roman"/>
                      <w:b w:val="0"/>
                      <w:bCs w:val="0"/>
                      <w:color w:val="auto"/>
                      <w:kern w:val="0"/>
                      <w:szCs w:val="21"/>
                      <w:u w:val="none"/>
                      <w:lang w:bidi="ar"/>
                    </w:rPr>
                    <w:t>严控随意改变各用地功能区使用功能，并注重节约集约用地。</w:t>
                  </w:r>
                </w:p>
                <w:p>
                  <w:pPr>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cs="Times New Roman"/>
                      <w:b w:val="0"/>
                      <w:bCs w:val="0"/>
                      <w:color w:val="auto"/>
                      <w:kern w:val="0"/>
                      <w:szCs w:val="21"/>
                      <w:u w:val="none"/>
                      <w:lang w:bidi="ar"/>
                    </w:rPr>
                  </w:pPr>
                  <w:r>
                    <w:rPr>
                      <w:rFonts w:hint="default" w:ascii="Times New Roman" w:hAnsi="Times New Roman" w:cs="Times New Roman"/>
                      <w:b w:val="0"/>
                      <w:bCs w:val="0"/>
                      <w:color w:val="auto"/>
                      <w:kern w:val="0"/>
                      <w:szCs w:val="21"/>
                      <w:u w:val="none"/>
                      <w:lang w:val="en-US" w:eastAsia="zh-CN" w:bidi="ar"/>
                    </w:rPr>
                    <w:t>3</w:t>
                  </w:r>
                  <w:r>
                    <w:rPr>
                      <w:rFonts w:hint="default" w:ascii="Times New Roman" w:hAnsi="Times New Roman" w:cs="Times New Roman"/>
                      <w:b w:val="0"/>
                      <w:bCs w:val="0"/>
                      <w:color w:val="auto"/>
                      <w:kern w:val="0"/>
                      <w:szCs w:val="21"/>
                      <w:u w:val="none"/>
                      <w:lang w:bidi="ar"/>
                    </w:rPr>
                    <w:t>、禁止引进不符合国家产业政策、行业准入条件和集聚区准入清单以外的项目，同时禁止引入高水耗、高能耗和高物耗的项目。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val="0"/>
                      <w:color w:val="auto"/>
                      <w:kern w:val="0"/>
                      <w:sz w:val="21"/>
                      <w:szCs w:val="21"/>
                      <w:u w:val="none"/>
                      <w:lang w:eastAsia="zh-CN" w:bidi="ar"/>
                    </w:rPr>
                  </w:pPr>
                  <w:r>
                    <w:rPr>
                      <w:rFonts w:hint="default" w:ascii="Times New Roman" w:hAnsi="Times New Roman" w:cs="Times New Roman"/>
                      <w:b w:val="0"/>
                      <w:bCs w:val="0"/>
                      <w:color w:val="auto"/>
                      <w:kern w:val="0"/>
                      <w:szCs w:val="21"/>
                      <w:u w:val="none"/>
                      <w:lang w:val="en-US" w:eastAsia="zh-CN" w:bidi="ar"/>
                    </w:rPr>
                    <w:t>4</w:t>
                  </w:r>
                  <w:r>
                    <w:rPr>
                      <w:rFonts w:hint="default" w:ascii="Times New Roman" w:hAnsi="Times New Roman" w:cs="Times New Roman"/>
                      <w:b w:val="0"/>
                      <w:bCs w:val="0"/>
                      <w:color w:val="auto"/>
                      <w:kern w:val="0"/>
                      <w:szCs w:val="21"/>
                      <w:u w:val="none"/>
                      <w:lang w:bidi="ar"/>
                    </w:rPr>
                    <w:t>、禁止新建印染、制革、酿造、电镀等污染严重的企业。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2318" w:type="dxa"/>
                  <w:tcBorders>
                    <w:tl2br w:val="nil"/>
                    <w:tr2bl w:val="nil"/>
                  </w:tcBorders>
                  <w:noWrap/>
                  <w:tcMar>
                    <w:top w:w="15" w:type="dxa"/>
                    <w:left w:w="15" w:type="dxa"/>
                    <w:right w:w="15" w:type="dxa"/>
                  </w:tcMar>
                  <w:vAlign w:val="center"/>
                </w:tcPr>
                <w:p>
                  <w:pPr>
                    <w:pStyle w:val="10"/>
                    <w:ind w:left="0" w:leftChars="0" w:firstLine="0" w:firstLineChars="0"/>
                    <w:rPr>
                      <w:rFonts w:hint="default" w:ascii="Times New Roman" w:hAnsi="Times New Roman" w:cs="Times New Roman"/>
                      <w:b w:val="0"/>
                      <w:bCs w:val="0"/>
                      <w:color w:val="auto"/>
                      <w:kern w:val="0"/>
                      <w:sz w:val="21"/>
                      <w:szCs w:val="21"/>
                      <w:u w:val="none"/>
                      <w:lang w:val="en-US" w:eastAsia="zh-CN" w:bidi="ar"/>
                    </w:rPr>
                  </w:pPr>
                  <w:r>
                    <w:rPr>
                      <w:rFonts w:hint="default" w:ascii="Times New Roman" w:hAnsi="Times New Roman" w:cs="Times New Roman"/>
                      <w:b w:val="0"/>
                      <w:bCs w:val="0"/>
                      <w:sz w:val="21"/>
                      <w:szCs w:val="21"/>
                      <w:u w:val="none"/>
                      <w:lang w:val="en-US" w:eastAsia="zh-CN"/>
                    </w:rPr>
                    <w:t>经查阅《产业结构调整指导目录（2019年本）》，本项目属于允许类，不属于</w:t>
                  </w:r>
                  <w:r>
                    <w:rPr>
                      <w:rFonts w:hint="default" w:ascii="Times New Roman" w:hAnsi="Times New Roman" w:eastAsia="宋体" w:cs="Times New Roman"/>
                      <w:b w:val="0"/>
                      <w:bCs w:val="0"/>
                      <w:color w:val="auto"/>
                      <w:kern w:val="0"/>
                      <w:sz w:val="21"/>
                      <w:szCs w:val="21"/>
                      <w:u w:val="none"/>
                      <w:lang w:eastAsia="zh-CN" w:bidi="ar"/>
                    </w:rPr>
                    <w:t>淘汰类</w:t>
                  </w:r>
                  <w:r>
                    <w:rPr>
                      <w:rFonts w:hint="default" w:ascii="Times New Roman" w:hAnsi="Times New Roman" w:cs="Times New Roman"/>
                      <w:b w:val="0"/>
                      <w:bCs w:val="0"/>
                      <w:color w:val="auto"/>
                      <w:kern w:val="0"/>
                      <w:sz w:val="21"/>
                      <w:szCs w:val="21"/>
                      <w:u w:val="none"/>
                      <w:lang w:eastAsia="zh-CN" w:bidi="ar"/>
                    </w:rPr>
                    <w:t>。</w:t>
                  </w:r>
                  <w:r>
                    <w:rPr>
                      <w:rFonts w:hint="default" w:ascii="Times New Roman" w:hAnsi="Times New Roman" w:cs="Times New Roman"/>
                      <w:b w:val="0"/>
                      <w:bCs w:val="0"/>
                      <w:color w:val="auto"/>
                      <w:kern w:val="0"/>
                      <w:sz w:val="21"/>
                      <w:szCs w:val="21"/>
                      <w:u w:val="none"/>
                      <w:lang w:val="en-US" w:eastAsia="zh-CN" w:bidi="ar"/>
                    </w:rPr>
                    <w:t>本项目在鲁山产业集聚区已取得入驻证明和备案，符合集聚区规划。</w:t>
                  </w:r>
                </w:p>
                <w:p>
                  <w:pPr>
                    <w:pStyle w:val="10"/>
                    <w:ind w:left="0" w:leftChars="0" w:firstLine="0" w:firstLineChars="0"/>
                    <w:rPr>
                      <w:rFonts w:hint="default" w:ascii="Times New Roman" w:hAnsi="Times New Roman" w:eastAsia="宋体"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本项目属于</w:t>
                  </w:r>
                  <w:r>
                    <w:rPr>
                      <w:rFonts w:hint="default" w:ascii="Times New Roman" w:hAnsi="Times New Roman" w:cs="Times New Roman"/>
                      <w:color w:val="auto"/>
                      <w:sz w:val="21"/>
                      <w:szCs w:val="21"/>
                    </w:rPr>
                    <w:t>C2461露天游乐场所游乐设备制造</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b w:val="0"/>
                      <w:bCs w:val="0"/>
                      <w:sz w:val="21"/>
                      <w:szCs w:val="21"/>
                      <w:u w:val="none"/>
                      <w:lang w:val="en-US" w:eastAsia="zh-CN"/>
                    </w:rPr>
                    <w:t>不属于印染、制革、酿造、电镀等污染严重的企业</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通过查阅《河南省“两高”项目管理目录》（2023年修订），本项目不属于“两高”项目。</w:t>
                  </w:r>
                </w:p>
              </w:tc>
              <w:tc>
                <w:tcPr>
                  <w:tcW w:w="9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val="en-US" w:eastAsia="zh-CN" w:bidi="ar"/>
                    </w:rPr>
                  </w:pPr>
                  <w:r>
                    <w:rPr>
                      <w:rFonts w:hint="default" w:ascii="Times New Roman" w:hAnsi="Times New Roman" w:cs="Times New Roman"/>
                      <w:b w:val="0"/>
                      <w:bCs w:val="0"/>
                      <w:color w:val="auto"/>
                      <w:kern w:val="0"/>
                      <w:sz w:val="21"/>
                      <w:szCs w:val="21"/>
                      <w:u w:val="none"/>
                      <w:lang w:val="en-US" w:eastAsia="zh-CN" w:bidi="ar"/>
                    </w:rPr>
                    <w:t>符合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7"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bidi="ar"/>
                    </w:rPr>
                  </w:pPr>
                </w:p>
              </w:tc>
              <w:tc>
                <w:tcPr>
                  <w:tcW w:w="507" w:type="dxa"/>
                  <w:vMerge w:val="continue"/>
                  <w:tcBorders>
                    <w:tl2br w:val="nil"/>
                    <w:tr2bl w:val="nil"/>
                  </w:tcBorders>
                  <w:noWrap/>
                  <w:tcMar>
                    <w:top w:w="15" w:type="dxa"/>
                    <w:left w:w="15" w:type="dxa"/>
                    <w:right w:w="15" w:type="dxa"/>
                  </w:tcMar>
                  <w:vAlign w:val="center"/>
                </w:tcPr>
                <w:p>
                  <w:pPr>
                    <w:pStyle w:val="49"/>
                    <w:spacing w:line="360" w:lineRule="exact"/>
                    <w:jc w:val="center"/>
                    <w:rPr>
                      <w:rFonts w:hint="default" w:ascii="Times New Roman" w:hAnsi="Times New Roman" w:cs="Times New Roman"/>
                      <w:b w:val="0"/>
                      <w:bCs w:val="0"/>
                      <w:color w:val="auto"/>
                      <w:kern w:val="0"/>
                      <w:sz w:val="21"/>
                      <w:szCs w:val="21"/>
                      <w:u w:val="none"/>
                      <w:lang w:val="en-US" w:eastAsia="zh-CN" w:bidi="ar"/>
                    </w:rPr>
                  </w:pPr>
                </w:p>
              </w:tc>
              <w:tc>
                <w:tcPr>
                  <w:tcW w:w="647" w:type="dxa"/>
                  <w:vMerge w:val="continue"/>
                  <w:tcBorders>
                    <w:tl2br w:val="nil"/>
                    <w:tr2bl w:val="nil"/>
                  </w:tcBorders>
                  <w:noWrap/>
                  <w:tcMar>
                    <w:top w:w="15" w:type="dxa"/>
                    <w:left w:w="15" w:type="dxa"/>
                    <w:right w:w="15" w:type="dxa"/>
                  </w:tcMar>
                  <w:vAlign w:val="center"/>
                </w:tcPr>
                <w:p>
                  <w:pPr>
                    <w:pStyle w:val="49"/>
                    <w:spacing w:line="360" w:lineRule="exact"/>
                    <w:jc w:val="center"/>
                    <w:rPr>
                      <w:rFonts w:hint="default" w:ascii="Times New Roman" w:hAnsi="Times New Roman" w:cs="Times New Roman"/>
                      <w:b w:val="0"/>
                      <w:bCs w:val="0"/>
                      <w:sz w:val="21"/>
                      <w:szCs w:val="21"/>
                      <w:u w:val="none"/>
                    </w:rPr>
                  </w:pPr>
                </w:p>
              </w:tc>
              <w:tc>
                <w:tcPr>
                  <w:tcW w:w="544" w:type="dxa"/>
                  <w:tcBorders>
                    <w:bottom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eastAsia="zh-CN" w:bidi="ar"/>
                    </w:rPr>
                  </w:pPr>
                  <w:r>
                    <w:rPr>
                      <w:rFonts w:hint="default" w:ascii="Times New Roman" w:hAnsi="Times New Roman" w:cs="Times New Roman"/>
                      <w:b w:val="0"/>
                      <w:bCs w:val="0"/>
                      <w:color w:val="auto"/>
                      <w:sz w:val="21"/>
                      <w:szCs w:val="21"/>
                      <w:u w:val="none"/>
                    </w:rPr>
                    <w:t>污染物排放管控</w:t>
                  </w:r>
                </w:p>
              </w:tc>
              <w:tc>
                <w:tcPr>
                  <w:tcW w:w="2503" w:type="dxa"/>
                  <w:tcBorders>
                    <w:bottom w:val="single" w:color="auto" w:sz="4" w:space="0"/>
                    <w:tl2br w:val="nil"/>
                    <w:tr2bl w:val="nil"/>
                  </w:tcBorders>
                  <w:noWrap/>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spacing w:before="0" w:after="0" w:line="360" w:lineRule="exact"/>
                    <w:ind w:left="0" w:firstLine="0"/>
                    <w:rPr>
                      <w:rFonts w:hint="default" w:ascii="Times New Roman" w:hAnsi="Times New Roman" w:eastAsia="宋体" w:cs="Times New Roman"/>
                      <w:b w:val="0"/>
                      <w:bCs w:val="0"/>
                      <w:color w:val="auto"/>
                      <w:kern w:val="0"/>
                      <w:sz w:val="21"/>
                      <w:szCs w:val="21"/>
                      <w:u w:val="none"/>
                      <w:lang w:bidi="ar"/>
                    </w:rPr>
                  </w:pPr>
                  <w:r>
                    <w:rPr>
                      <w:rFonts w:hint="default" w:ascii="Times New Roman" w:hAnsi="Times New Roman" w:eastAsia="宋体" w:cs="Times New Roman"/>
                      <w:b w:val="0"/>
                      <w:bCs w:val="0"/>
                      <w:color w:val="auto"/>
                      <w:kern w:val="0"/>
                      <w:sz w:val="21"/>
                      <w:szCs w:val="21"/>
                      <w:u w:val="none"/>
                      <w:lang w:bidi="ar"/>
                    </w:rPr>
                    <w:t>1、严格执行污染物排放总量控制制度，区内现有企业改扩建要做到“增产不增污”，严格控制大气污染物的排放。</w:t>
                  </w:r>
                </w:p>
                <w:p>
                  <w:pPr>
                    <w:pStyle w:val="2"/>
                    <w:keepNext w:val="0"/>
                    <w:keepLines w:val="0"/>
                    <w:pageBreakBefore w:val="0"/>
                    <w:widowControl w:val="0"/>
                    <w:kinsoku/>
                    <w:wordWrap/>
                    <w:overflowPunct/>
                    <w:topLinePunct w:val="0"/>
                    <w:autoSpaceDE/>
                    <w:autoSpaceDN/>
                    <w:bidi w:val="0"/>
                    <w:adjustRightInd/>
                    <w:snapToGrid/>
                    <w:spacing w:before="0" w:after="0" w:line="360" w:lineRule="exact"/>
                    <w:ind w:left="0" w:firstLine="0"/>
                    <w:rPr>
                      <w:rFonts w:hint="default" w:ascii="Times New Roman" w:hAnsi="Times New Roman" w:eastAsia="宋体" w:cs="Times New Roman"/>
                      <w:b w:val="0"/>
                      <w:bCs w:val="0"/>
                      <w:color w:val="auto"/>
                      <w:kern w:val="0"/>
                      <w:sz w:val="21"/>
                      <w:szCs w:val="21"/>
                      <w:u w:val="none"/>
                      <w:lang w:bidi="ar"/>
                    </w:rPr>
                  </w:pPr>
                  <w:r>
                    <w:rPr>
                      <w:rFonts w:hint="default" w:ascii="Times New Roman" w:hAnsi="Times New Roman" w:eastAsia="宋体" w:cs="Times New Roman"/>
                      <w:b w:val="0"/>
                      <w:bCs w:val="0"/>
                      <w:color w:val="auto"/>
                      <w:kern w:val="0"/>
                      <w:sz w:val="21"/>
                      <w:szCs w:val="21"/>
                      <w:u w:val="none"/>
                      <w:lang w:bidi="ar"/>
                    </w:rPr>
                    <w:t>2、推进集中供热、供气，新建项目不得建设燃煤锅炉。</w:t>
                  </w:r>
                </w:p>
                <w:p>
                  <w:pPr>
                    <w:pStyle w:val="2"/>
                    <w:keepNext w:val="0"/>
                    <w:keepLines w:val="0"/>
                    <w:pageBreakBefore w:val="0"/>
                    <w:widowControl w:val="0"/>
                    <w:kinsoku/>
                    <w:wordWrap/>
                    <w:overflowPunct/>
                    <w:topLinePunct w:val="0"/>
                    <w:autoSpaceDE/>
                    <w:autoSpaceDN/>
                    <w:bidi w:val="0"/>
                    <w:adjustRightInd/>
                    <w:snapToGrid/>
                    <w:spacing w:before="0" w:after="0" w:line="360" w:lineRule="exact"/>
                    <w:ind w:left="0" w:firstLine="0"/>
                    <w:rPr>
                      <w:rFonts w:hint="default" w:ascii="Times New Roman" w:hAnsi="Times New Roman" w:eastAsia="宋体" w:cs="Times New Roman"/>
                      <w:b w:val="0"/>
                      <w:bCs w:val="0"/>
                      <w:color w:val="auto"/>
                      <w:kern w:val="0"/>
                      <w:sz w:val="21"/>
                      <w:szCs w:val="21"/>
                      <w:u w:val="none"/>
                      <w:lang w:bidi="ar"/>
                    </w:rPr>
                  </w:pPr>
                  <w:r>
                    <w:rPr>
                      <w:rFonts w:hint="default" w:ascii="Times New Roman" w:hAnsi="Times New Roman" w:eastAsia="宋体" w:cs="Times New Roman"/>
                      <w:b w:val="0"/>
                      <w:bCs w:val="0"/>
                      <w:color w:val="auto"/>
                      <w:kern w:val="0"/>
                      <w:sz w:val="21"/>
                      <w:szCs w:val="21"/>
                      <w:u w:val="none"/>
                      <w:lang w:bidi="ar"/>
                    </w:rPr>
                    <w:t>3、重点行业（炭素、工业涂装等）二氧化硫、氮氧化物、颗粒物、VOCs逐步推行大气污染物特别排放限值。新改扩建设项目主要污染物排放应满足总量减排要求。</w:t>
                  </w:r>
                </w:p>
                <w:p>
                  <w:pPr>
                    <w:pStyle w:val="2"/>
                    <w:keepNext w:val="0"/>
                    <w:keepLines w:val="0"/>
                    <w:pageBreakBefore w:val="0"/>
                    <w:widowControl w:val="0"/>
                    <w:kinsoku/>
                    <w:wordWrap/>
                    <w:overflowPunct/>
                    <w:topLinePunct w:val="0"/>
                    <w:autoSpaceDE/>
                    <w:autoSpaceDN/>
                    <w:bidi w:val="0"/>
                    <w:adjustRightInd/>
                    <w:snapToGrid/>
                    <w:spacing w:before="0" w:after="0" w:line="360" w:lineRule="exact"/>
                    <w:ind w:left="0" w:firstLine="0"/>
                    <w:rPr>
                      <w:rFonts w:hint="default" w:ascii="Times New Roman" w:hAnsi="Times New Roman" w:eastAsia="宋体" w:cs="Times New Roman"/>
                      <w:b w:val="0"/>
                      <w:bCs w:val="0"/>
                      <w:color w:val="auto"/>
                      <w:kern w:val="0"/>
                      <w:sz w:val="21"/>
                      <w:szCs w:val="21"/>
                      <w:u w:val="none"/>
                      <w:lang w:bidi="ar"/>
                    </w:rPr>
                  </w:pPr>
                  <w:r>
                    <w:rPr>
                      <w:rFonts w:hint="default" w:ascii="Times New Roman" w:hAnsi="Times New Roman" w:eastAsia="宋体" w:cs="Times New Roman"/>
                      <w:b w:val="0"/>
                      <w:bCs w:val="0"/>
                      <w:color w:val="auto"/>
                      <w:kern w:val="0"/>
                      <w:sz w:val="21"/>
                      <w:szCs w:val="21"/>
                      <w:u w:val="none"/>
                      <w:lang w:bidi="ar"/>
                    </w:rPr>
                    <w:t>4、新建、改建、扩建涉VOCs排放项目应加强废气收集，安装高效治理设施，严格VOCs无组织排放治理。</w:t>
                  </w:r>
                </w:p>
                <w:p>
                  <w:pPr>
                    <w:pStyle w:val="2"/>
                    <w:keepNext w:val="0"/>
                    <w:keepLines w:val="0"/>
                    <w:pageBreakBefore w:val="0"/>
                    <w:widowControl w:val="0"/>
                    <w:kinsoku/>
                    <w:wordWrap/>
                    <w:overflowPunct/>
                    <w:topLinePunct w:val="0"/>
                    <w:autoSpaceDE/>
                    <w:autoSpaceDN/>
                    <w:bidi w:val="0"/>
                    <w:adjustRightInd/>
                    <w:snapToGrid/>
                    <w:spacing w:before="0" w:after="0" w:line="360" w:lineRule="exact"/>
                    <w:ind w:left="0" w:firstLine="0"/>
                    <w:rPr>
                      <w:rFonts w:hint="default" w:ascii="Times New Roman" w:hAnsi="Times New Roman" w:eastAsia="宋体" w:cs="Times New Roman"/>
                      <w:b w:val="0"/>
                      <w:bCs w:val="0"/>
                      <w:color w:val="auto"/>
                      <w:kern w:val="0"/>
                      <w:sz w:val="21"/>
                      <w:szCs w:val="21"/>
                      <w:u w:val="none"/>
                      <w:lang w:eastAsia="zh-CN" w:bidi="ar"/>
                    </w:rPr>
                  </w:pPr>
                  <w:r>
                    <w:rPr>
                      <w:rFonts w:hint="default" w:ascii="Times New Roman" w:hAnsi="Times New Roman" w:eastAsia="宋体" w:cs="Times New Roman"/>
                      <w:b w:val="0"/>
                      <w:bCs w:val="0"/>
                      <w:color w:val="auto"/>
                      <w:kern w:val="0"/>
                      <w:sz w:val="21"/>
                      <w:szCs w:val="21"/>
                      <w:u w:val="none"/>
                      <w:lang w:val="en-US" w:eastAsia="zh-CN" w:bidi="ar"/>
                    </w:rPr>
                    <w:t>5、</w:t>
                  </w:r>
                  <w:r>
                    <w:rPr>
                      <w:rFonts w:hint="default" w:ascii="Times New Roman" w:hAnsi="Times New Roman" w:eastAsia="宋体" w:cs="Times New Roman"/>
                      <w:b w:val="0"/>
                      <w:bCs w:val="0"/>
                      <w:color w:val="auto"/>
                      <w:kern w:val="0"/>
                      <w:sz w:val="21"/>
                      <w:szCs w:val="21"/>
                      <w:u w:val="none"/>
                      <w:lang w:eastAsia="zh-CN" w:bidi="ar"/>
                    </w:rPr>
                    <w:t>“一河一策”制定综合整治方案并组织实施，确保河流水质稳定达标。</w:t>
                  </w:r>
                </w:p>
                <w:p>
                  <w:pPr>
                    <w:pStyle w:val="2"/>
                    <w:keepNext w:val="0"/>
                    <w:keepLines w:val="0"/>
                    <w:pageBreakBefore w:val="0"/>
                    <w:widowControl w:val="0"/>
                    <w:kinsoku/>
                    <w:wordWrap/>
                    <w:overflowPunct/>
                    <w:topLinePunct w:val="0"/>
                    <w:autoSpaceDE/>
                    <w:autoSpaceDN/>
                    <w:bidi w:val="0"/>
                    <w:adjustRightInd/>
                    <w:snapToGrid/>
                    <w:spacing w:before="0" w:after="0" w:line="360" w:lineRule="exact"/>
                    <w:ind w:left="0" w:firstLine="0"/>
                    <w:rPr>
                      <w:rFonts w:hint="default" w:ascii="Times New Roman" w:hAnsi="Times New Roman" w:eastAsia="宋体" w:cs="Times New Roman"/>
                      <w:b w:val="0"/>
                      <w:bCs w:val="0"/>
                      <w:color w:val="auto"/>
                      <w:kern w:val="0"/>
                      <w:sz w:val="21"/>
                      <w:szCs w:val="21"/>
                      <w:u w:val="none"/>
                      <w:lang w:val="en-US" w:eastAsia="zh-CN" w:bidi="ar"/>
                    </w:rPr>
                  </w:pPr>
                  <w:r>
                    <w:rPr>
                      <w:rFonts w:hint="default" w:ascii="Times New Roman" w:hAnsi="Times New Roman" w:eastAsia="宋体" w:cs="Times New Roman"/>
                      <w:b w:val="0"/>
                      <w:bCs w:val="0"/>
                      <w:color w:val="auto"/>
                      <w:kern w:val="0"/>
                      <w:sz w:val="21"/>
                      <w:szCs w:val="21"/>
                      <w:u w:val="none"/>
                      <w:lang w:val="en-US" w:eastAsia="zh-CN" w:bidi="ar"/>
                    </w:rPr>
                    <w:t>6、新建“两高”项目应按照《关于加强重点行业建设项目区域削减措施监督管理的通知》要求，依据区域环境质量改善目标，制定配套区域污染物削减方案，采取有效的污染物区域削减措施，腾出足够的环境容量。</w:t>
                  </w:r>
                </w:p>
                <w:p>
                  <w:pPr>
                    <w:pStyle w:val="2"/>
                    <w:keepNext w:val="0"/>
                    <w:keepLines w:val="0"/>
                    <w:pageBreakBefore w:val="0"/>
                    <w:widowControl w:val="0"/>
                    <w:kinsoku/>
                    <w:wordWrap/>
                    <w:overflowPunct/>
                    <w:topLinePunct w:val="0"/>
                    <w:autoSpaceDE/>
                    <w:autoSpaceDN/>
                    <w:bidi w:val="0"/>
                    <w:adjustRightInd/>
                    <w:snapToGrid/>
                    <w:spacing w:before="0" w:after="0" w:line="360" w:lineRule="exact"/>
                    <w:ind w:left="0" w:firstLine="0"/>
                    <w:rPr>
                      <w:rFonts w:hint="default" w:ascii="Times New Roman" w:hAnsi="Times New Roman" w:eastAsia="宋体" w:cs="Times New Roman"/>
                      <w:b w:val="0"/>
                      <w:bCs w:val="0"/>
                      <w:color w:val="auto"/>
                      <w:kern w:val="0"/>
                      <w:sz w:val="21"/>
                      <w:szCs w:val="21"/>
                      <w:u w:val="none"/>
                      <w:lang w:val="en-US" w:eastAsia="zh-CN" w:bidi="ar"/>
                    </w:rPr>
                  </w:pPr>
                  <w:r>
                    <w:rPr>
                      <w:rFonts w:hint="default" w:ascii="Times New Roman" w:hAnsi="Times New Roman" w:eastAsia="宋体" w:cs="Times New Roman"/>
                      <w:b w:val="0"/>
                      <w:bCs w:val="0"/>
                      <w:color w:val="auto"/>
                      <w:kern w:val="0"/>
                      <w:sz w:val="21"/>
                      <w:szCs w:val="21"/>
                      <w:u w:val="none"/>
                      <w:lang w:val="en-US" w:eastAsia="zh-CN" w:bidi="ar"/>
                    </w:rPr>
                    <w:t>7、新建耗煤项目还应严格按规定采取煤炭消费减量替代措施，不得使用高污染燃料作为煤炭减量替代措施。</w:t>
                  </w:r>
                </w:p>
                <w:p>
                  <w:pPr>
                    <w:pStyle w:val="49"/>
                    <w:spacing w:line="360" w:lineRule="exact"/>
                    <w:rPr>
                      <w:rFonts w:hint="default" w:ascii="Times New Roman" w:hAnsi="Times New Roman"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val="en-US" w:eastAsia="zh-CN" w:bidi="ar"/>
                    </w:rPr>
                    <w:t>8、已出台超低排放要求的“两高”行业建设项目应满足超低排放要求。</w:t>
                  </w:r>
                </w:p>
              </w:tc>
              <w:tc>
                <w:tcPr>
                  <w:tcW w:w="23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val="en-US" w:eastAsia="zh-CN" w:bidi="ar"/>
                    </w:rPr>
                  </w:pPr>
                  <w:r>
                    <w:rPr>
                      <w:rFonts w:hint="default" w:ascii="Times New Roman" w:hAnsi="Times New Roman" w:cs="Times New Roman"/>
                      <w:b w:val="0"/>
                      <w:bCs w:val="0"/>
                      <w:color w:val="auto"/>
                      <w:kern w:val="0"/>
                      <w:sz w:val="21"/>
                      <w:szCs w:val="21"/>
                      <w:u w:val="none"/>
                      <w:lang w:bidi="ar"/>
                    </w:rPr>
                    <w:t>本项目</w:t>
                  </w:r>
                  <w:r>
                    <w:rPr>
                      <w:rFonts w:hint="default" w:ascii="Times New Roman" w:hAnsi="Times New Roman" w:cs="Times New Roman"/>
                      <w:b w:val="0"/>
                      <w:bCs w:val="0"/>
                      <w:color w:val="auto"/>
                      <w:kern w:val="0"/>
                      <w:sz w:val="21"/>
                      <w:szCs w:val="21"/>
                      <w:u w:val="none"/>
                      <w:lang w:val="en-US" w:eastAsia="zh-CN" w:bidi="ar"/>
                    </w:rPr>
                    <w:t>为新建项目，承诺严格执行排放总量控制制度，废气总量控制指标为有机废气（非甲烷总烃）</w:t>
                  </w:r>
                  <w:r>
                    <w:rPr>
                      <w:rFonts w:hint="eastAsia" w:cs="Times New Roman"/>
                      <w:b w:val="0"/>
                      <w:bCs w:val="0"/>
                      <w:color w:val="auto"/>
                      <w:kern w:val="0"/>
                      <w:sz w:val="21"/>
                      <w:szCs w:val="21"/>
                      <w:u w:val="none"/>
                      <w:lang w:val="en-US" w:eastAsia="zh-CN" w:bidi="ar"/>
                    </w:rPr>
                    <w:t>、颗粒物、SO</w:t>
                  </w:r>
                  <w:r>
                    <w:rPr>
                      <w:rFonts w:hint="eastAsia" w:cs="Times New Roman"/>
                      <w:b w:val="0"/>
                      <w:bCs w:val="0"/>
                      <w:color w:val="auto"/>
                      <w:kern w:val="0"/>
                      <w:sz w:val="21"/>
                      <w:szCs w:val="21"/>
                      <w:u w:val="none"/>
                      <w:vertAlign w:val="subscript"/>
                      <w:lang w:val="en-US" w:eastAsia="zh-CN" w:bidi="ar"/>
                    </w:rPr>
                    <w:t>2</w:t>
                  </w:r>
                  <w:r>
                    <w:rPr>
                      <w:rFonts w:hint="eastAsia" w:cs="Times New Roman"/>
                      <w:b w:val="0"/>
                      <w:bCs w:val="0"/>
                      <w:color w:val="auto"/>
                      <w:kern w:val="0"/>
                      <w:sz w:val="21"/>
                      <w:szCs w:val="21"/>
                      <w:u w:val="none"/>
                      <w:lang w:val="en-US" w:eastAsia="zh-CN" w:bidi="ar"/>
                    </w:rPr>
                    <w:t>、NOx。其中颗粒物</w:t>
                  </w:r>
                  <w:r>
                    <w:rPr>
                      <w:rFonts w:hint="default" w:ascii="Times New Roman" w:hAnsi="Times New Roman" w:cs="Times New Roman"/>
                      <w:b w:val="0"/>
                      <w:bCs w:val="0"/>
                      <w:color w:val="auto"/>
                      <w:kern w:val="0"/>
                      <w:sz w:val="21"/>
                      <w:szCs w:val="21"/>
                      <w:u w:val="none"/>
                      <w:lang w:val="en-US" w:eastAsia="zh-CN" w:bidi="ar"/>
                    </w:rPr>
                    <w:t>：</w:t>
                  </w:r>
                  <w:r>
                    <w:rPr>
                      <w:rFonts w:hint="eastAsia" w:cs="Times New Roman"/>
                      <w:b w:val="0"/>
                      <w:bCs w:val="0"/>
                      <w:color w:val="auto"/>
                      <w:kern w:val="0"/>
                      <w:sz w:val="21"/>
                      <w:szCs w:val="21"/>
                      <w:u w:val="none"/>
                      <w:lang w:val="en-US" w:eastAsia="zh-CN" w:bidi="ar"/>
                    </w:rPr>
                    <w:t>0.15t/a，非甲烷总烃：0.00924</w:t>
                  </w:r>
                  <w:r>
                    <w:rPr>
                      <w:rFonts w:hint="default" w:ascii="Times New Roman" w:hAnsi="Times New Roman" w:cs="Times New Roman"/>
                      <w:b w:val="0"/>
                      <w:bCs w:val="0"/>
                      <w:color w:val="auto"/>
                      <w:kern w:val="0"/>
                      <w:sz w:val="21"/>
                      <w:szCs w:val="21"/>
                      <w:u w:val="none"/>
                      <w:lang w:val="en-US" w:eastAsia="zh-CN" w:bidi="ar"/>
                    </w:rPr>
                    <w:t>t/a；NOx：0.01109t/a；SO</w:t>
                  </w:r>
                  <w:r>
                    <w:rPr>
                      <w:rFonts w:hint="default" w:ascii="Times New Roman" w:hAnsi="Times New Roman" w:cs="Times New Roman"/>
                      <w:b w:val="0"/>
                      <w:bCs w:val="0"/>
                      <w:color w:val="auto"/>
                      <w:kern w:val="0"/>
                      <w:sz w:val="21"/>
                      <w:szCs w:val="21"/>
                      <w:u w:val="none"/>
                      <w:vertAlign w:val="subscript"/>
                      <w:lang w:val="en-US" w:eastAsia="zh-CN" w:bidi="ar"/>
                    </w:rPr>
                    <w:t>2</w:t>
                  </w:r>
                  <w:r>
                    <w:rPr>
                      <w:rFonts w:hint="default" w:ascii="Times New Roman" w:hAnsi="Times New Roman" w:cs="Times New Roman"/>
                      <w:b w:val="0"/>
                      <w:bCs w:val="0"/>
                      <w:color w:val="auto"/>
                      <w:kern w:val="0"/>
                      <w:sz w:val="21"/>
                      <w:szCs w:val="21"/>
                      <w:u w:val="none"/>
                      <w:vertAlign w:val="baseline"/>
                      <w:lang w:val="en-US" w:eastAsia="zh-CN" w:bidi="ar"/>
                    </w:rPr>
                    <w:t>：0.001476t/a。</w:t>
                  </w:r>
                  <w:r>
                    <w:rPr>
                      <w:rFonts w:hint="default" w:ascii="Times New Roman" w:hAnsi="Times New Roman" w:cs="Times New Roman"/>
                      <w:b w:val="0"/>
                      <w:bCs w:val="0"/>
                      <w:color w:val="auto"/>
                      <w:kern w:val="0"/>
                      <w:sz w:val="21"/>
                      <w:szCs w:val="21"/>
                      <w:u w:val="none"/>
                      <w:lang w:val="en-US" w:eastAsia="zh-CN" w:bidi="ar"/>
                    </w:rPr>
                    <w:t>烘烤工序产生的有机废气经1套“UV光催化氧化+活性炭吸附”装置处理后通过1根15m排气筒（DA002）达标排放，</w:t>
                  </w:r>
                  <w:r>
                    <w:rPr>
                      <w:rFonts w:hint="default" w:ascii="Times New Roman" w:hAnsi="Times New Roman" w:cs="Times New Roman"/>
                      <w:b w:val="0"/>
                      <w:bCs/>
                      <w:color w:val="auto"/>
                      <w:kern w:val="0"/>
                      <w:sz w:val="21"/>
                      <w:szCs w:val="21"/>
                      <w:u w:val="none"/>
                      <w:lang w:val="en-US" w:eastAsia="zh-CN"/>
                    </w:rPr>
                    <w:t>其中活性炭吸附工艺需满足以下要求：</w:t>
                  </w:r>
                  <w:r>
                    <w:rPr>
                      <w:rFonts w:hint="default" w:ascii="Times New Roman" w:hAnsi="Times New Roman" w:eastAsia="宋体" w:cs="Times New Roman"/>
                      <w:b w:val="0"/>
                      <w:bCs/>
                      <w:color w:val="auto"/>
                      <w:sz w:val="21"/>
                      <w:szCs w:val="21"/>
                      <w:u w:val="none"/>
                      <w:vertAlign w:val="baseline"/>
                      <w:lang w:val="en-US" w:eastAsia="zh-CN"/>
                    </w:rPr>
                    <w:t>颗粒状、柱状活性炭碘值不低于800毫克/克，蜂窝状活性炭碘值不低于650毫克/克</w:t>
                  </w:r>
                  <w:r>
                    <w:rPr>
                      <w:rFonts w:hint="default" w:ascii="Times New Roman" w:hAnsi="Times New Roman" w:cs="Times New Roman"/>
                      <w:b w:val="0"/>
                      <w:bCs/>
                      <w:color w:val="auto"/>
                      <w:sz w:val="21"/>
                      <w:szCs w:val="21"/>
                      <w:u w:val="none"/>
                      <w:vertAlign w:val="baseline"/>
                      <w:lang w:val="en-US" w:eastAsia="zh-CN"/>
                    </w:rPr>
                    <w:t>。</w:t>
                  </w:r>
                </w:p>
              </w:tc>
              <w:tc>
                <w:tcPr>
                  <w:tcW w:w="9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cs="Times New Roman"/>
                      <w:b w:val="0"/>
                      <w:bCs w:val="0"/>
                      <w:color w:val="auto"/>
                      <w:kern w:val="0"/>
                      <w:sz w:val="21"/>
                      <w:szCs w:val="21"/>
                      <w:u w:val="none"/>
                      <w:lang w:val="en-US" w:eastAsia="zh-CN" w:bidi="ar"/>
                    </w:rPr>
                  </w:pPr>
                  <w:r>
                    <w:rPr>
                      <w:rFonts w:hint="default" w:ascii="Times New Roman" w:hAnsi="Times New Roman" w:cs="Times New Roman"/>
                      <w:b w:val="0"/>
                      <w:bCs w:val="0"/>
                      <w:color w:val="auto"/>
                      <w:kern w:val="0"/>
                      <w:sz w:val="21"/>
                      <w:szCs w:val="21"/>
                      <w:u w:val="none"/>
                      <w:lang w:val="en-US" w:eastAsia="zh-CN" w:bidi="ar"/>
                    </w:rPr>
                    <w:t>符合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7"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bidi="ar"/>
                    </w:rPr>
                  </w:pPr>
                </w:p>
              </w:tc>
              <w:tc>
                <w:tcPr>
                  <w:tcW w:w="507" w:type="dxa"/>
                  <w:vMerge w:val="continue"/>
                  <w:tcBorders>
                    <w:tl2br w:val="nil"/>
                    <w:tr2bl w:val="nil"/>
                  </w:tcBorders>
                  <w:noWrap/>
                  <w:tcMar>
                    <w:top w:w="15" w:type="dxa"/>
                    <w:left w:w="15" w:type="dxa"/>
                    <w:right w:w="15" w:type="dxa"/>
                  </w:tcMar>
                  <w:vAlign w:val="center"/>
                </w:tcPr>
                <w:p>
                  <w:pPr>
                    <w:pStyle w:val="49"/>
                    <w:spacing w:line="360" w:lineRule="exact"/>
                    <w:jc w:val="center"/>
                    <w:rPr>
                      <w:rFonts w:hint="default" w:ascii="Times New Roman" w:hAnsi="Times New Roman" w:cs="Times New Roman"/>
                      <w:b w:val="0"/>
                      <w:bCs w:val="0"/>
                      <w:color w:val="auto"/>
                      <w:kern w:val="0"/>
                      <w:sz w:val="21"/>
                      <w:szCs w:val="21"/>
                      <w:u w:val="none"/>
                      <w:lang w:val="en-US" w:eastAsia="zh-CN" w:bidi="ar"/>
                    </w:rPr>
                  </w:pPr>
                </w:p>
              </w:tc>
              <w:tc>
                <w:tcPr>
                  <w:tcW w:w="647" w:type="dxa"/>
                  <w:vMerge w:val="continue"/>
                  <w:tcBorders>
                    <w:tl2br w:val="nil"/>
                    <w:tr2bl w:val="nil"/>
                  </w:tcBorders>
                  <w:noWrap/>
                  <w:tcMar>
                    <w:top w:w="15" w:type="dxa"/>
                    <w:left w:w="15" w:type="dxa"/>
                    <w:right w:w="15" w:type="dxa"/>
                  </w:tcMar>
                  <w:vAlign w:val="center"/>
                </w:tcPr>
                <w:p>
                  <w:pPr>
                    <w:pStyle w:val="49"/>
                    <w:spacing w:line="360" w:lineRule="exact"/>
                    <w:jc w:val="center"/>
                    <w:rPr>
                      <w:rFonts w:hint="default" w:ascii="Times New Roman" w:hAnsi="Times New Roman" w:cs="Times New Roman"/>
                      <w:b w:val="0"/>
                      <w:bCs w:val="0"/>
                      <w:sz w:val="21"/>
                      <w:szCs w:val="21"/>
                      <w:u w:val="none"/>
                    </w:rPr>
                  </w:pPr>
                </w:p>
              </w:tc>
              <w:tc>
                <w:tcPr>
                  <w:tcW w:w="544" w:type="dxa"/>
                  <w:tcBorders>
                    <w:top w:val="single" w:color="auto" w:sz="4" w:space="0"/>
                    <w:bottom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环境风险防控</w:t>
                  </w:r>
                </w:p>
              </w:tc>
              <w:tc>
                <w:tcPr>
                  <w:tcW w:w="2503" w:type="dxa"/>
                  <w:tcBorders>
                    <w:top w:val="single" w:color="auto" w:sz="4" w:space="0"/>
                    <w:bottom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1、优化调整货物运输结构，逐步淘汰国三及以下排放标准柴油货车，持续开展车辆更新工作。</w:t>
                  </w:r>
                </w:p>
                <w:p>
                  <w:pPr>
                    <w:numPr>
                      <w:ilvl w:val="0"/>
                      <w:numId w:val="0"/>
                    </w:numP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Cs w:val="21"/>
                      <w:u w:val="none"/>
                    </w:rPr>
                    <w:t>2、禁燃区内禁止销售、使用煤等高污染燃料，现有使用高污染燃料的单位和个人，应当按照市、县（市）人民政府规定的期限改用清洁能源或拆除使用高污染燃料的设施</w:t>
                  </w:r>
                </w:p>
              </w:tc>
              <w:tc>
                <w:tcPr>
                  <w:tcW w:w="23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cs="Times New Roman"/>
                      <w:b w:val="0"/>
                      <w:bCs w:val="0"/>
                      <w:color w:val="auto"/>
                      <w:kern w:val="0"/>
                      <w:sz w:val="21"/>
                      <w:szCs w:val="21"/>
                      <w:u w:val="none"/>
                      <w:lang w:val="en-US" w:eastAsia="zh-CN" w:bidi="ar"/>
                    </w:rPr>
                  </w:pPr>
                  <w:r>
                    <w:rPr>
                      <w:rFonts w:hint="default" w:ascii="Times New Roman" w:hAnsi="Times New Roman" w:cs="Times New Roman"/>
                      <w:b w:val="0"/>
                      <w:bCs w:val="0"/>
                      <w:color w:val="auto"/>
                      <w:kern w:val="0"/>
                      <w:sz w:val="21"/>
                      <w:szCs w:val="21"/>
                      <w:u w:val="none"/>
                      <w:lang w:val="en-US" w:eastAsia="zh-CN" w:bidi="ar"/>
                    </w:rPr>
                    <w:t>本项目后期运营期间，承诺运输将采用国三以上车辆进行；本项目不涉及用煤等高污染燃料</w:t>
                  </w:r>
                </w:p>
              </w:tc>
              <w:tc>
                <w:tcPr>
                  <w:tcW w:w="9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cs="Times New Roman"/>
                      <w:b w:val="0"/>
                      <w:bCs w:val="0"/>
                      <w:color w:val="auto"/>
                      <w:kern w:val="0"/>
                      <w:sz w:val="21"/>
                      <w:szCs w:val="21"/>
                      <w:u w:val="none"/>
                      <w:lang w:val="en-US" w:eastAsia="zh-CN" w:bidi="ar"/>
                    </w:rPr>
                  </w:pPr>
                  <w:r>
                    <w:rPr>
                      <w:rFonts w:hint="default" w:ascii="Times New Roman" w:hAnsi="Times New Roman" w:cs="Times New Roman"/>
                      <w:b w:val="0"/>
                      <w:bCs w:val="0"/>
                      <w:color w:val="auto"/>
                      <w:kern w:val="0"/>
                      <w:sz w:val="21"/>
                      <w:szCs w:val="21"/>
                      <w:u w:val="none"/>
                      <w:lang w:val="en-US" w:eastAsia="zh-CN" w:bidi="ar"/>
                    </w:rPr>
                    <w:t>符合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7"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bidi="ar"/>
                    </w:rPr>
                  </w:pPr>
                </w:p>
              </w:tc>
              <w:tc>
                <w:tcPr>
                  <w:tcW w:w="507" w:type="dxa"/>
                  <w:vMerge w:val="continue"/>
                  <w:tcBorders>
                    <w:tl2br w:val="nil"/>
                    <w:tr2bl w:val="nil"/>
                  </w:tcBorders>
                  <w:noWrap/>
                  <w:tcMar>
                    <w:top w:w="15" w:type="dxa"/>
                    <w:left w:w="15" w:type="dxa"/>
                    <w:right w:w="15" w:type="dxa"/>
                  </w:tcMar>
                  <w:vAlign w:val="center"/>
                </w:tcPr>
                <w:p>
                  <w:pPr>
                    <w:pStyle w:val="49"/>
                    <w:spacing w:line="360" w:lineRule="exact"/>
                    <w:jc w:val="center"/>
                    <w:rPr>
                      <w:rFonts w:hint="default" w:ascii="Times New Roman" w:hAnsi="Times New Roman" w:cs="Times New Roman"/>
                      <w:b w:val="0"/>
                      <w:bCs w:val="0"/>
                      <w:color w:val="auto"/>
                      <w:kern w:val="0"/>
                      <w:sz w:val="21"/>
                      <w:szCs w:val="21"/>
                      <w:u w:val="none"/>
                      <w:lang w:val="en-US" w:eastAsia="zh-CN" w:bidi="ar"/>
                    </w:rPr>
                  </w:pPr>
                </w:p>
              </w:tc>
              <w:tc>
                <w:tcPr>
                  <w:tcW w:w="647" w:type="dxa"/>
                  <w:vMerge w:val="continue"/>
                  <w:tcBorders>
                    <w:tl2br w:val="nil"/>
                    <w:tr2bl w:val="nil"/>
                  </w:tcBorders>
                  <w:noWrap/>
                  <w:tcMar>
                    <w:top w:w="15" w:type="dxa"/>
                    <w:left w:w="15" w:type="dxa"/>
                    <w:right w:w="15" w:type="dxa"/>
                  </w:tcMar>
                  <w:vAlign w:val="center"/>
                </w:tcPr>
                <w:p>
                  <w:pPr>
                    <w:pStyle w:val="49"/>
                    <w:spacing w:line="360" w:lineRule="exact"/>
                    <w:jc w:val="center"/>
                    <w:rPr>
                      <w:rFonts w:hint="default" w:ascii="Times New Roman" w:hAnsi="Times New Roman" w:cs="Times New Roman"/>
                      <w:b w:val="0"/>
                      <w:bCs w:val="0"/>
                      <w:sz w:val="21"/>
                      <w:szCs w:val="21"/>
                      <w:u w:val="none"/>
                    </w:rPr>
                  </w:pPr>
                </w:p>
              </w:tc>
              <w:tc>
                <w:tcPr>
                  <w:tcW w:w="544" w:type="dxa"/>
                  <w:tcBorders>
                    <w:top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cs="Times New Roman"/>
                      <w:b w:val="0"/>
                      <w:bCs w:val="0"/>
                      <w:sz w:val="21"/>
                      <w:szCs w:val="21"/>
                      <w:u w:val="none"/>
                    </w:rPr>
                  </w:pPr>
                  <w:r>
                    <w:rPr>
                      <w:rFonts w:hint="default" w:ascii="Times New Roman" w:hAnsi="Times New Roman" w:cs="Times New Roman"/>
                      <w:sz w:val="21"/>
                      <w:szCs w:val="21"/>
                    </w:rPr>
                    <w:t>资源开发效率要求</w:t>
                  </w:r>
                </w:p>
              </w:tc>
              <w:tc>
                <w:tcPr>
                  <w:tcW w:w="2503" w:type="dxa"/>
                  <w:tcBorders>
                    <w:top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cs="Times New Roman"/>
                      <w:b w:val="0"/>
                      <w:bCs w:val="0"/>
                      <w:color w:val="auto"/>
                      <w:kern w:val="0"/>
                      <w:szCs w:val="21"/>
                      <w:u w:val="none"/>
                      <w:lang w:eastAsia="zh-CN" w:bidi="ar"/>
                    </w:rPr>
                  </w:pPr>
                  <w:r>
                    <w:rPr>
                      <w:rFonts w:hint="default" w:ascii="Times New Roman" w:hAnsi="Times New Roman" w:cs="Times New Roman"/>
                      <w:b w:val="0"/>
                      <w:bCs w:val="0"/>
                      <w:color w:val="auto"/>
                      <w:kern w:val="0"/>
                      <w:szCs w:val="21"/>
                      <w:u w:val="none"/>
                      <w:lang w:bidi="ar"/>
                    </w:rPr>
                    <w:t>1、工业固体废弃物综合利用率达95%。</w:t>
                  </w:r>
                </w:p>
                <w:p>
                  <w:pPr>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cs="Times New Roman"/>
                      <w:b w:val="0"/>
                      <w:bCs w:val="0"/>
                      <w:color w:val="auto"/>
                      <w:kern w:val="0"/>
                      <w:szCs w:val="21"/>
                      <w:u w:val="none"/>
                      <w:lang w:eastAsia="zh-CN" w:bidi="ar"/>
                    </w:rPr>
                  </w:pPr>
                  <w:r>
                    <w:rPr>
                      <w:rFonts w:hint="default" w:ascii="Times New Roman" w:hAnsi="Times New Roman" w:cs="Times New Roman"/>
                      <w:b w:val="0"/>
                      <w:bCs w:val="0"/>
                      <w:color w:val="auto"/>
                      <w:kern w:val="0"/>
                      <w:szCs w:val="21"/>
                      <w:u w:val="none"/>
                      <w:lang w:bidi="ar"/>
                    </w:rPr>
                    <w:t>2、工业用水重复利用率75%，中水回用率90%。</w:t>
                  </w:r>
                </w:p>
                <w:p>
                  <w:pP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kern w:val="0"/>
                      <w:szCs w:val="21"/>
                      <w:u w:val="none"/>
                      <w:lang w:bidi="ar"/>
                    </w:rPr>
                    <w:t>3、单位工业增加值综合能耗不高于0.5吨标煤/万元；单位工业增加值水耗不高于9立方米/万元。</w:t>
                  </w:r>
                </w:p>
              </w:tc>
              <w:tc>
                <w:tcPr>
                  <w:tcW w:w="23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cs="Times New Roman"/>
                      <w:b w:val="0"/>
                      <w:bCs w:val="0"/>
                      <w:color w:val="auto"/>
                      <w:kern w:val="0"/>
                      <w:sz w:val="21"/>
                      <w:szCs w:val="21"/>
                      <w:u w:val="none"/>
                      <w:lang w:val="en-US" w:eastAsia="zh-CN" w:bidi="ar"/>
                    </w:rPr>
                  </w:pPr>
                  <w:r>
                    <w:rPr>
                      <w:rFonts w:hint="default" w:ascii="Times New Roman" w:hAnsi="Times New Roman" w:cs="Times New Roman"/>
                      <w:b w:val="0"/>
                      <w:bCs w:val="0"/>
                      <w:color w:val="auto"/>
                      <w:kern w:val="0"/>
                      <w:sz w:val="21"/>
                      <w:szCs w:val="21"/>
                      <w:u w:val="none"/>
                      <w:lang w:val="en-US" w:eastAsia="zh-CN" w:bidi="ar"/>
                    </w:rPr>
                    <w:t>项目营运期废水主要为生活污水。</w:t>
                  </w:r>
                  <w:r>
                    <w:rPr>
                      <w:rFonts w:hint="default" w:ascii="Times New Roman" w:hAnsi="Times New Roman" w:eastAsia="宋体" w:cs="Times New Roman"/>
                      <w:lang w:val="en-US" w:eastAsia="zh-CN"/>
                    </w:rPr>
                    <w:t>生活污水经化粪池收集后可直接进入</w:t>
                  </w:r>
                  <w:r>
                    <w:rPr>
                      <w:rFonts w:hint="default" w:ascii="Times New Roman" w:hAnsi="Times New Roman" w:cs="Times New Roman"/>
                      <w:lang w:val="en-US" w:eastAsia="zh-CN"/>
                    </w:rPr>
                    <w:t>集聚区</w:t>
                  </w:r>
                  <w:r>
                    <w:rPr>
                      <w:rFonts w:hint="default" w:ascii="Times New Roman" w:hAnsi="Times New Roman" w:eastAsia="宋体" w:cs="Times New Roman"/>
                      <w:lang w:val="en-US" w:eastAsia="zh-CN"/>
                    </w:rPr>
                    <w:t>污水管网，最终进入</w:t>
                  </w:r>
                  <w:r>
                    <w:rPr>
                      <w:rFonts w:hint="default" w:ascii="Times New Roman" w:hAnsi="Times New Roman" w:cs="Times New Roman"/>
                      <w:lang w:val="en-US" w:eastAsia="zh-CN"/>
                    </w:rPr>
                    <w:t>鲁山县产业集聚区污水处理厂</w:t>
                  </w:r>
                  <w:r>
                    <w:rPr>
                      <w:rFonts w:hint="default" w:ascii="Times New Roman" w:hAnsi="Times New Roman" w:eastAsia="宋体" w:cs="Times New Roman"/>
                      <w:lang w:val="en-US" w:eastAsia="zh-CN"/>
                    </w:rPr>
                    <w:t>进行</w:t>
                  </w:r>
                  <w:r>
                    <w:rPr>
                      <w:rFonts w:hint="default" w:ascii="Times New Roman" w:hAnsi="Times New Roman" w:cs="Times New Roman"/>
                      <w:lang w:val="en-US" w:eastAsia="zh-CN"/>
                    </w:rPr>
                    <w:t>深度达标</w:t>
                  </w:r>
                  <w:r>
                    <w:rPr>
                      <w:rFonts w:hint="default" w:ascii="Times New Roman" w:hAnsi="Times New Roman" w:eastAsia="宋体" w:cs="Times New Roman"/>
                      <w:lang w:val="en-US" w:eastAsia="zh-CN"/>
                    </w:rPr>
                    <w:t>处理</w:t>
                  </w:r>
                  <w:r>
                    <w:rPr>
                      <w:rFonts w:hint="eastAsia" w:cs="Times New Roman"/>
                      <w:lang w:val="en-US" w:eastAsia="zh-CN"/>
                    </w:rPr>
                    <w:t>，最终全部中水回用</w:t>
                  </w:r>
                  <w:r>
                    <w:rPr>
                      <w:rFonts w:hint="default" w:ascii="Times New Roman" w:hAnsi="Times New Roman" w:cs="Times New Roman"/>
                      <w:color w:val="auto"/>
                      <w:sz w:val="21"/>
                      <w:szCs w:val="21"/>
                      <w:lang w:val="en-US" w:eastAsia="zh-CN"/>
                    </w:rPr>
                    <w:t>；本项目</w:t>
                  </w:r>
                  <w:r>
                    <w:rPr>
                      <w:rFonts w:hint="default" w:ascii="Times New Roman" w:hAnsi="Times New Roman" w:cs="Times New Roman"/>
                      <w:b w:val="0"/>
                      <w:bCs w:val="0"/>
                      <w:color w:val="auto"/>
                      <w:kern w:val="0"/>
                      <w:sz w:val="21"/>
                      <w:szCs w:val="21"/>
                      <w:u w:val="none"/>
                      <w:lang w:val="en-US" w:eastAsia="zh-CN" w:bidi="ar"/>
                    </w:rPr>
                    <w:t>生产过程产生的固废（一般固废和危险废物）可以全部得到妥善处置。</w:t>
                  </w:r>
                </w:p>
              </w:tc>
              <w:tc>
                <w:tcPr>
                  <w:tcW w:w="9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cs="Times New Roman"/>
                      <w:b w:val="0"/>
                      <w:bCs w:val="0"/>
                      <w:color w:val="auto"/>
                      <w:kern w:val="0"/>
                      <w:sz w:val="21"/>
                      <w:szCs w:val="21"/>
                      <w:u w:val="none"/>
                      <w:lang w:val="en-US" w:eastAsia="zh-CN" w:bidi="ar"/>
                    </w:rPr>
                  </w:pPr>
                  <w:r>
                    <w:rPr>
                      <w:rFonts w:hint="default" w:ascii="Times New Roman" w:hAnsi="Times New Roman" w:cs="Times New Roman"/>
                      <w:b w:val="0"/>
                      <w:bCs w:val="0"/>
                      <w:color w:val="auto"/>
                      <w:kern w:val="0"/>
                      <w:sz w:val="21"/>
                      <w:szCs w:val="21"/>
                      <w:u w:val="none"/>
                      <w:lang w:val="en-US" w:eastAsia="zh-CN" w:bidi="ar"/>
                    </w:rPr>
                    <w:t>符合</w:t>
                  </w:r>
                </w:p>
              </w:tc>
            </w:tr>
          </w:tbl>
          <w:p>
            <w:pPr>
              <w:autoSpaceDE w:val="0"/>
              <w:autoSpaceDN w:val="0"/>
              <w:adjustRightInd w:val="0"/>
              <w:snapToGrid w:val="0"/>
              <w:spacing w:line="360" w:lineRule="auto"/>
              <w:ind w:firstLine="480" w:firstLineChars="200"/>
              <w:rPr>
                <w:rFonts w:hint="default" w:ascii="Times New Roman" w:hAnsi="Times New Roman" w:cs="Times New Roman"/>
                <w:b w:val="0"/>
                <w:bCs w:val="0"/>
                <w:sz w:val="24"/>
                <w:u w:val="none"/>
              </w:rPr>
            </w:pPr>
            <w:r>
              <w:rPr>
                <w:rFonts w:hint="default" w:ascii="Times New Roman" w:hAnsi="Times New Roman" w:eastAsia="宋体" w:cs="Times New Roman"/>
                <w:b w:val="0"/>
                <w:bCs w:val="0"/>
                <w:strike w:val="0"/>
                <w:dstrike w:val="0"/>
                <w:color w:val="auto"/>
                <w:sz w:val="24"/>
                <w:szCs w:val="24"/>
                <w:u w:val="none"/>
                <w:lang w:val="en-US" w:eastAsia="zh-CN"/>
              </w:rPr>
              <w:t>综上所述，本项目符合当地生态保护红线要求，项目建设不会降低项目周边环境质量底线，亦不会超出当地资源利用上线，</w:t>
            </w:r>
            <w:r>
              <w:rPr>
                <w:rFonts w:hint="default" w:ascii="Times New Roman" w:hAnsi="Times New Roman" w:cs="Times New Roman"/>
                <w:b w:val="0"/>
                <w:bCs w:val="0"/>
                <w:strike w:val="0"/>
                <w:dstrike w:val="0"/>
                <w:color w:val="auto"/>
                <w:sz w:val="24"/>
                <w:szCs w:val="24"/>
                <w:u w:val="none"/>
                <w:lang w:val="en-US" w:eastAsia="zh-CN"/>
              </w:rPr>
              <w:t>符合</w:t>
            </w:r>
            <w:r>
              <w:rPr>
                <w:rFonts w:hint="default" w:ascii="Times New Roman" w:hAnsi="Times New Roman" w:eastAsia="宋体" w:cs="Times New Roman"/>
                <w:b w:val="0"/>
                <w:bCs w:val="0"/>
                <w:strike w:val="0"/>
                <w:dstrike w:val="0"/>
                <w:color w:val="auto"/>
                <w:sz w:val="24"/>
                <w:szCs w:val="24"/>
                <w:u w:val="none"/>
                <w:lang w:val="en-US" w:eastAsia="zh-CN"/>
              </w:rPr>
              <w:t>当地生态环境准入清单中</w:t>
            </w:r>
            <w:r>
              <w:rPr>
                <w:rFonts w:hint="default" w:ascii="Times New Roman" w:hAnsi="Times New Roman" w:cs="Times New Roman"/>
                <w:b w:val="0"/>
                <w:bCs w:val="0"/>
                <w:strike w:val="0"/>
                <w:dstrike w:val="0"/>
                <w:color w:val="auto"/>
                <w:sz w:val="24"/>
                <w:szCs w:val="24"/>
                <w:u w:val="none"/>
                <w:lang w:val="en-US" w:eastAsia="zh-CN"/>
              </w:rPr>
              <w:t>的相关管控要求</w:t>
            </w:r>
            <w:r>
              <w:rPr>
                <w:rFonts w:hint="default" w:ascii="Times New Roman" w:hAnsi="Times New Roman" w:eastAsia="宋体" w:cs="Times New Roman"/>
                <w:b w:val="0"/>
                <w:bCs w:val="0"/>
                <w:strike w:val="0"/>
                <w:dstrike w:val="0"/>
                <w:color w:val="auto"/>
                <w:sz w:val="24"/>
                <w:szCs w:val="24"/>
                <w:u w:val="none"/>
                <w:lang w:val="en-US" w:eastAsia="zh-CN"/>
              </w:rPr>
              <w:t>。因此本项目建设符合</w:t>
            </w:r>
            <w:r>
              <w:rPr>
                <w:rFonts w:hint="default" w:ascii="Times New Roman" w:hAnsi="Times New Roman" w:cs="Times New Roman"/>
                <w:b w:val="0"/>
                <w:bCs w:val="0"/>
                <w:strike w:val="0"/>
                <w:dstrike w:val="0"/>
                <w:color w:val="auto"/>
                <w:sz w:val="24"/>
                <w:szCs w:val="24"/>
                <w:u w:val="none"/>
                <w:lang w:val="en-US" w:eastAsia="zh-CN"/>
              </w:rPr>
              <w:t>“</w:t>
            </w:r>
            <w:r>
              <w:rPr>
                <w:rFonts w:hint="default" w:ascii="Times New Roman" w:hAnsi="Times New Roman" w:eastAsia="宋体" w:cs="Times New Roman"/>
                <w:b w:val="0"/>
                <w:bCs w:val="0"/>
                <w:strike w:val="0"/>
                <w:dstrike w:val="0"/>
                <w:color w:val="auto"/>
                <w:sz w:val="24"/>
                <w:szCs w:val="24"/>
                <w:u w:val="none"/>
                <w:lang w:val="en-US" w:eastAsia="zh-CN"/>
              </w:rPr>
              <w:t>三线一单</w:t>
            </w:r>
            <w:r>
              <w:rPr>
                <w:rFonts w:hint="default" w:ascii="Times New Roman" w:hAnsi="Times New Roman" w:cs="Times New Roman"/>
                <w:b w:val="0"/>
                <w:bCs w:val="0"/>
                <w:strike w:val="0"/>
                <w:dstrike w:val="0"/>
                <w:color w:val="auto"/>
                <w:sz w:val="24"/>
                <w:szCs w:val="24"/>
                <w:u w:val="none"/>
                <w:lang w:val="en-US" w:eastAsia="zh-CN"/>
              </w:rPr>
              <w:t>”</w:t>
            </w:r>
            <w:r>
              <w:rPr>
                <w:rFonts w:hint="default" w:ascii="Times New Roman" w:hAnsi="Times New Roman" w:eastAsia="宋体" w:cs="Times New Roman"/>
                <w:b w:val="0"/>
                <w:bCs w:val="0"/>
                <w:strike w:val="0"/>
                <w:dstrike w:val="0"/>
                <w:color w:val="auto"/>
                <w:sz w:val="24"/>
                <w:szCs w:val="24"/>
                <w:u w:val="none"/>
                <w:lang w:val="en-US" w:eastAsia="zh-CN"/>
              </w:rPr>
              <w:t>的要求。</w:t>
            </w:r>
          </w:p>
          <w:p>
            <w:pPr>
              <w:numPr>
                <w:ilvl w:val="0"/>
                <w:numId w:val="1"/>
              </w:numPr>
              <w:spacing w:line="360" w:lineRule="auto"/>
              <w:ind w:left="0" w:leftChars="0" w:firstLine="482" w:firstLineChars="200"/>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与集中式饮用水水源保护区划相符性分析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鲁山县县级集中式饮用水水源地保护区</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2014年1月7日河南省人民政府办公厅发布的《河南省人民政府办公厅关于印发河南省县级集中式饮用水水源保护区划的通知》（豫政办〔2013〕107号）、2021年5月22日《河南省人民政府关于调整取消部分集中式饮用水水源保护区的通知》（豫政文〔2021〕72号）中关于鲁山县县级集中式饮用水源地保护区如下：</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①鲁山县鲁阳镇地下水井群（共6眼井）。</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一级保护区范围：1号、2号、5号、7号取水井外围50米的区域；3号、8号井群外包线内及外围50米的区域。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二级保护区范围：一级保护区外，取水井外围550米外公切线所包含的区域。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准保护区范围：二级保护区外，东至墨公路、南至鲁平大道、北至311国道、西至鲁平大道—311国道连线。</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②鲁山县昭平台水库饮用水水源保护区</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一级保护区：水库大坝至上游3800米，水库高程169米以内的区域及以外200米不超过环库路的区域。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二级保护区：一级保护区外，水库大坝上游3800米至5800米，水库高程169米以内的区域及以外至环库路的区域。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准保护区：二级保护区外，水库高程169米以内的区域及以外至环库路的区域；沙河、荡泽河、柳林河、团城河、清水河河道管理范围外500米以内的区域。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本项目位于鲁山县产业集聚区北区，距离鲁阳镇地下水井群准保护区约7.18km，距离昭平台水库约14.83km，不在鲁山县县级集中式饮用水源地保护区区划内。</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鲁山县乡镇级饮用水源保护区划</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2016年3月6日，河南省人民政府办公厅发布了《河南省人民政府办公厅关于印发河南省乡镇集中式饮用水水源保护区划的通知（豫政办〔2016〕23号）》，河南省乡镇集中式饮用水水源保护区划划定了河南省各县市乡镇级集中饮用水源保护区范围。</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（1）鲁山县四棵树乡清水河前庄</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一级保护区范围：清水河取水口上游1000米及下游100米河道内及两侧50米的区域。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二级保护区范围：一级保护区外，清水河上游2000米及下游200米河道内及两侧1000米的区域。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准保护区范围：二级保护区外，清水河上游至鲁山县界河道内及两侧50米的区域。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（2）鲁山县尧山镇玉皇庙河西竹园</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一级保护区范围：玉皇庙河尧山第一漂上站水坝至上游1000米河道内及两侧50米的区域。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二级保护区范围：一级保护区外，玉皇庙河上游2000米河道内及两侧1000米的区域。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准保护区范围：二级保护区外，玉皇庙河上游2000米河道内及两侧50米的区域，北沟河上游2000米河道内及两侧50米的区域。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（3）鲁山县土门办事处土门河侯家庄</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一级保护区范围：土门河取水口上游1000米至下游100米河道内及两侧50米的区域。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二级保护区范围：一级保护区外，土门河上游2000米至下游200米河道内及两侧1000米的区域。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准保护区范围：二级保护区外，土门河上游2000米河道内及两侧50米的区域，西沟河上游2000米河道内及两侧50米的区域。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（4）鲁山县下汤镇沙河地下水井（共1眼井）</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一级保护区范围：沙河取水井上游二广高速桥（770米）至下游100米河道内及两侧50米的区域。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二级保护区范围：一级保护区外，沙河上游2000米至下游200米河道内及左岸1000米、右岸至分水岭的区域。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（5）鲁山县张官营镇地下水井群（共2眼井）</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一级保护区范围：水厂厂区及外围47米的区域。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（6）鲁山县张良镇地下水井群（共2眼井）</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一级保护区范围：水厂厂区及外围47米的区域。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（7）鲁山县马楼乡地下水井群（共2眼井）</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一级保护区范围：水厂厂区及外围34米的区域。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（8）鲁山县磙子营乡地下水井群（共2眼井）</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一级保护区范围：水厂厂区及外围47米的区域（1号取水井），2号取水井外围47米的区域。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（9）鲁山县让河乡地下水井群（共2眼井）</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一级保护区范围：水厂厂区及外围30米的区域（1号取水井），2号取水井外围30米的区域。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本项目位于</w:t>
            </w:r>
            <w:r>
              <w:rPr>
                <w:rFonts w:hint="default" w:ascii="Times New Roman" w:hAnsi="Times New Roman" w:eastAsia="宋体" w:cs="Times New Roman"/>
                <w:sz w:val="24"/>
                <w:szCs w:val="24"/>
                <w:lang w:val="en-US"/>
              </w:rPr>
              <w:t>鲁山县先进制造业开发区北区兴工路路北河南方圆炭素集团院内8号厂房</w:t>
            </w:r>
            <w:r>
              <w:rPr>
                <w:rFonts w:hint="default" w:ascii="Times New Roman" w:hAnsi="Times New Roman" w:cs="Times New Roman"/>
                <w:color w:val="auto"/>
                <w:sz w:val="24"/>
                <w:lang w:val="en-US" w:eastAsia="zh-CN"/>
              </w:rPr>
              <w:t>，距离最近的地下水井群为项目西南方向13.12km的鲁山县让河乡地下水井群（共2眼井），因此本项目不在上述规定的饮用水保护范围内，因此，项目建设符合鲁山县集中式饮用水保护要求。</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南水北调中线工程</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河南省南水北调路线工程建设领导小组办公室、河南省环境保护厅河南省水利厅河南省国土资源厅关于印发南水北调一期工程总干渠（河南段）两侧饮用水水源保护区划的通知》（豫调办〔2018〕56号）中的规定，总干渠两侧饮用水水源保护区划范围为：南水北调中线一期工程总干渠在河南省内的工程类型分为建筑物段和总干渠明渠段：</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（一）建筑物段（渡槽、倒虹吸、暗涵、隧洞）</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一级保护区范围自总干渠管理范围边线（防护栏网）外延50m，不设二级保护区。</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（二）总干渠明渠段</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根据地下水水位与总干渠渠底高程的关系，分为以下几种类型：</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（1）地下水水位低于总干渠渠底的渠段</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一级保护区范围自总干渠管理范围边线（防护栏网）外延50m。</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二级保护区范围自一级保护区边线外延150m。</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（2）地下水水位高于总干渠渠底的渠段</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①微～弱透水性地层</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一级保护区范围自总干渠管理范围边线（防护栏网）外延50m；</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二级保护区范围自一级保护区边线外延500m。</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②弱～中等透水性地层</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一级保护区范围自总干渠管理范围边线（防护栏网）外延100m；</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二级保护区范围自一级保护区边线外延1000m。</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③弱透水性地层</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一级保护区范围自总干渠管理范围边线（防护栏网）外延200m；</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二级保护区范围自一级保护区边线外延2000、1500m。</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经调查，南水北调中线一期工程河南段鲁山县境内的划定范围如下：分段桩号TS237+400～SH2+818.1，该区段一级保护区宽度50m，二级保护区宽度150m。沙河渡槽SH2+818.1～SH11+913.1，一级保护区宽度50m。</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本项目选址位于</w:t>
            </w:r>
            <w:r>
              <w:rPr>
                <w:rFonts w:hint="default" w:ascii="Times New Roman" w:hAnsi="Times New Roman" w:eastAsia="宋体" w:cs="Times New Roman"/>
                <w:sz w:val="24"/>
                <w:szCs w:val="24"/>
                <w:lang w:val="en-US"/>
              </w:rPr>
              <w:t>鲁山县先进制造业开发区北区兴工路路北河南方圆炭素集团院内8号厂房</w:t>
            </w:r>
            <w:r>
              <w:rPr>
                <w:rFonts w:hint="default" w:ascii="Times New Roman" w:hAnsi="Times New Roman" w:cs="Times New Roman"/>
                <w:color w:val="auto"/>
                <w:sz w:val="24"/>
                <w:lang w:val="en-US" w:eastAsia="zh-CN"/>
              </w:rPr>
              <w:t>，位于南水北调工程左岸，距离南水北调工程最近距离为5.5km，不在南水北调中线工程划定的保护区范围内，符合南水北调规划要求。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（6）绩效分级标准</w:t>
            </w:r>
          </w:p>
          <w:p>
            <w:pPr>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Times New Roman" w:hAnsi="Times New Roman" w:cs="Times New Roman"/>
                <w:b w:val="0"/>
                <w:bCs w:val="0"/>
                <w:color w:val="auto"/>
                <w:sz w:val="24"/>
                <w:szCs w:val="24"/>
                <w:u w:val="none"/>
                <w:lang w:val="en-US" w:eastAsia="zh-CN"/>
              </w:rPr>
            </w:pPr>
            <w:r>
              <w:rPr>
                <w:rFonts w:hint="default" w:ascii="Times New Roman" w:hAnsi="Times New Roman" w:cs="Times New Roman"/>
                <w:b w:val="0"/>
                <w:bCs w:val="0"/>
                <w:color w:val="auto"/>
                <w:sz w:val="24"/>
                <w:szCs w:val="24"/>
                <w:u w:val="none"/>
                <w:lang w:val="en-US" w:eastAsia="zh-CN"/>
              </w:rPr>
              <w:t>为进一步突出精准治污、科学治污、依法治污，更好地保障公众身体健康，积极应对重污染天气，生态环境部办公厅于2020年6月29日发布了《重污染天气重点行业应急减排措施制定技术指南（2020年修订版）》（环办大气函〔2020〕340号）</w:t>
            </w:r>
            <w:r>
              <w:rPr>
                <w:rFonts w:hint="default" w:ascii="Times New Roman" w:hAnsi="Times New Roman" w:cs="Times New Roman"/>
                <w:b w:val="0"/>
                <w:bCs w:val="0"/>
                <w:color w:val="auto"/>
                <w:u w:val="none"/>
                <w:lang w:eastAsia="zh-CN"/>
              </w:rPr>
              <w:t>；</w:t>
            </w:r>
            <w:r>
              <w:rPr>
                <w:rFonts w:hint="default" w:ascii="Times New Roman" w:hAnsi="Times New Roman" w:cs="Times New Roman"/>
                <w:b w:val="0"/>
                <w:bCs w:val="0"/>
                <w:color w:val="auto"/>
                <w:sz w:val="24"/>
                <w:szCs w:val="24"/>
                <w:u w:val="none"/>
                <w:lang w:val="en-US" w:eastAsia="zh-CN"/>
              </w:rPr>
              <w:t>后续河南省生态环境厅以此为基础，于2021年6月发布了《河南省重污染天气重点行业应急减排措施制定技术指南（2021年修订版）》和《河南省重污染天气通用行业应急减排措施制定技术指南（2021年修订版）》，进一步完善了相关指标和减排措施。</w:t>
            </w:r>
          </w:p>
          <w:p>
            <w:pPr>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Times New Roman" w:hAnsi="Times New Roman" w:cs="Times New Roman"/>
                <w:b w:val="0"/>
                <w:bCs w:val="0"/>
                <w:color w:val="auto"/>
                <w:sz w:val="24"/>
                <w:szCs w:val="24"/>
                <w:u w:val="none"/>
                <w:lang w:val="en-US" w:eastAsia="zh-CN"/>
              </w:rPr>
            </w:pPr>
            <w:r>
              <w:rPr>
                <w:rFonts w:hint="default" w:ascii="Times New Roman" w:hAnsi="Times New Roman" w:cs="Times New Roman"/>
                <w:b w:val="0"/>
                <w:bCs w:val="0"/>
                <w:color w:val="auto"/>
                <w:sz w:val="24"/>
                <w:szCs w:val="24"/>
                <w:u w:val="none"/>
                <w:lang w:val="en-US" w:eastAsia="zh-CN"/>
              </w:rPr>
              <w:t>本项目绩效分级指标参照《重污染天气重点行业应急减排措施制定技术指南（2020年修订版）》（环办大气函〔2020〕340号）中“工业涂装”行业相关绩效分级指标要求和《河南省重污染天气通用行业应急减排措施制定技术指南》（2021年修订版）中“涉锅炉/炉窑企业”相关绩效分级指标要求。</w:t>
            </w:r>
            <w:r>
              <w:rPr>
                <w:rFonts w:hint="default" w:ascii="Times New Roman" w:hAnsi="Times New Roman" w:cs="Times New Roman"/>
                <w:b w:val="0"/>
                <w:bCs/>
                <w:color w:val="auto"/>
                <w:sz w:val="24"/>
                <w:szCs w:val="24"/>
                <w:highlight w:val="none"/>
                <w:u w:val="none"/>
                <w:lang w:val="en-US" w:eastAsia="zh-CN"/>
              </w:rPr>
              <w:t>项目与相关行业绩效分级指标对照分析见表1-4和表1-5。</w:t>
            </w:r>
          </w:p>
          <w:p>
            <w:pPr>
              <w:spacing w:line="240" w:lineRule="auto"/>
              <w:jc w:val="center"/>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表1-</w:t>
            </w:r>
            <w:r>
              <w:rPr>
                <w:rFonts w:hint="default" w:ascii="Times New Roman" w:hAnsi="Times New Roman" w:cs="Times New Roman"/>
                <w:b/>
                <w:bCs/>
                <w:color w:val="auto"/>
                <w:sz w:val="24"/>
                <w:u w:val="none"/>
                <w:lang w:val="en-US" w:eastAsia="zh-CN"/>
              </w:rPr>
              <w:t>4本项目与工业涂装行业绩效分级指标对比分析一览表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4726"/>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32"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rPr>
                  </w:pPr>
                  <w:r>
                    <w:rPr>
                      <w:rFonts w:hint="default" w:ascii="Times New Roman" w:hAnsi="Times New Roman" w:eastAsia="宋体" w:cs="Times New Roman"/>
                      <w:b w:val="0"/>
                      <w:bCs/>
                      <w:color w:val="auto"/>
                      <w:kern w:val="0"/>
                      <w:sz w:val="21"/>
                      <w:szCs w:val="21"/>
                      <w:highlight w:val="none"/>
                      <w:u w:val="none"/>
                      <w:lang w:val="en-US" w:eastAsia="zh-CN"/>
                    </w:rPr>
                    <w:t>差异化指标</w:t>
                  </w:r>
                </w:p>
              </w:tc>
              <w:tc>
                <w:tcPr>
                  <w:tcW w:w="2980"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rPr>
                  </w:pPr>
                  <w:r>
                    <w:rPr>
                      <w:rFonts w:hint="default" w:ascii="Times New Roman" w:hAnsi="Times New Roman" w:eastAsia="宋体" w:cs="Times New Roman"/>
                      <w:b w:val="0"/>
                      <w:bCs/>
                      <w:color w:val="auto"/>
                      <w:kern w:val="0"/>
                      <w:sz w:val="21"/>
                      <w:szCs w:val="21"/>
                      <w:highlight w:val="none"/>
                      <w:u w:val="none"/>
                      <w:lang w:val="en-US" w:eastAsia="zh-CN"/>
                    </w:rPr>
                    <w:t>A级企业</w:t>
                  </w:r>
                </w:p>
              </w:tc>
              <w:tc>
                <w:tcPr>
                  <w:tcW w:w="1386" w:type="pct"/>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rPr>
                  </w:pPr>
                  <w:r>
                    <w:rPr>
                      <w:rFonts w:hint="default" w:ascii="Times New Roman" w:hAnsi="Times New Roman" w:eastAsia="宋体" w:cs="Times New Roman"/>
                      <w:b w:val="0"/>
                      <w:bCs/>
                      <w:color w:val="auto"/>
                      <w:kern w:val="0"/>
                      <w:sz w:val="21"/>
                      <w:szCs w:val="21"/>
                      <w:highlight w:val="none"/>
                      <w:u w:val="none"/>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rPr>
                  </w:pPr>
                  <w:r>
                    <w:rPr>
                      <w:rFonts w:hint="default" w:ascii="Times New Roman" w:hAnsi="Times New Roman" w:eastAsia="宋体" w:cs="Times New Roman"/>
                      <w:b w:val="0"/>
                      <w:bCs/>
                      <w:color w:val="auto"/>
                      <w:kern w:val="0"/>
                      <w:sz w:val="21"/>
                      <w:szCs w:val="21"/>
                      <w:highlight w:val="none"/>
                      <w:u w:val="none"/>
                      <w:lang w:val="en-US" w:eastAsia="zh-CN"/>
                    </w:rPr>
                    <w:t>原辅材料</w:t>
                  </w:r>
                </w:p>
              </w:tc>
              <w:tc>
                <w:tcPr>
                  <w:tcW w:w="29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rPr>
                  </w:pPr>
                  <w:r>
                    <w:rPr>
                      <w:rFonts w:hint="default" w:ascii="Times New Roman" w:hAnsi="Times New Roman" w:eastAsia="宋体" w:cs="Times New Roman"/>
                      <w:b w:val="0"/>
                      <w:bCs/>
                      <w:color w:val="auto"/>
                      <w:kern w:val="0"/>
                      <w:sz w:val="21"/>
                      <w:szCs w:val="21"/>
                      <w:highlight w:val="none"/>
                      <w:u w:val="none"/>
                      <w:lang w:val="en-US" w:eastAsia="zh-CN"/>
                    </w:rPr>
                    <w:t>1、使用粉末涂料；2、使用符合《低挥发性有机化合物含量涂料产品技术要求》（GB/T38597-2020）规定的低VOCs含量涂料产品</w:t>
                  </w:r>
                </w:p>
              </w:tc>
              <w:tc>
                <w:tcPr>
                  <w:tcW w:w="1386" w:type="pct"/>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rPr>
                  </w:pPr>
                  <w:r>
                    <w:rPr>
                      <w:rFonts w:hint="default" w:ascii="Times New Roman" w:hAnsi="Times New Roman" w:eastAsia="宋体" w:cs="Times New Roman"/>
                      <w:b w:val="0"/>
                      <w:bCs/>
                      <w:color w:val="auto"/>
                      <w:kern w:val="0"/>
                      <w:sz w:val="21"/>
                      <w:szCs w:val="21"/>
                      <w:highlight w:val="none"/>
                      <w:u w:val="none"/>
                      <w:lang w:val="en-US" w:eastAsia="zh-CN"/>
                    </w:rPr>
                    <w:t>项目使用粉末涂料，常温下不挥发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无组织排放</w:t>
                  </w:r>
                </w:p>
              </w:tc>
              <w:tc>
                <w:tcPr>
                  <w:tcW w:w="29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rPr>
                  </w:pPr>
                  <w:r>
                    <w:rPr>
                      <w:rFonts w:hint="default" w:ascii="Times New Roman" w:hAnsi="Times New Roman" w:eastAsia="宋体" w:cs="Times New Roman"/>
                      <w:b w:val="0"/>
                      <w:bCs/>
                      <w:color w:val="auto"/>
                      <w:kern w:val="0"/>
                      <w:sz w:val="21"/>
                      <w:szCs w:val="21"/>
                      <w:highlight w:val="none"/>
                      <w:u w:val="none"/>
                      <w:lang w:val="en-US" w:eastAsia="zh-CN"/>
                    </w:rPr>
                    <w:t>1、满足《挥发性有机物无组织排放控制标准》（GB37822-2019）特别控制要求；2、VOCs物料存储于密闭容器或包装袋中，盛装VOCs物料的容器或包装袋存放于密闭负压的储库、料仓内；3、除大型工件特殊作业（例如，船舶制造行业的分段总组、船台、船坞、造船码头等涂装工序）外，调漆、喷漆、流平、</w:t>
                  </w:r>
                  <w:r>
                    <w:rPr>
                      <w:rFonts w:hint="default" w:ascii="Times New Roman" w:hAnsi="Times New Roman" w:cs="Times New Roman"/>
                      <w:b w:val="0"/>
                      <w:bCs/>
                      <w:color w:val="auto"/>
                      <w:kern w:val="0"/>
                      <w:sz w:val="21"/>
                      <w:szCs w:val="21"/>
                      <w:highlight w:val="none"/>
                      <w:u w:val="none"/>
                      <w:lang w:val="en-US" w:eastAsia="zh-CN"/>
                    </w:rPr>
                    <w:t>烘烤</w:t>
                  </w:r>
                  <w:r>
                    <w:rPr>
                      <w:rFonts w:hint="default" w:ascii="Times New Roman" w:hAnsi="Times New Roman" w:eastAsia="宋体" w:cs="Times New Roman"/>
                      <w:b w:val="0"/>
                      <w:bCs/>
                      <w:color w:val="auto"/>
                      <w:kern w:val="0"/>
                      <w:sz w:val="21"/>
                      <w:szCs w:val="21"/>
                      <w:highlight w:val="none"/>
                      <w:u w:val="none"/>
                      <w:lang w:val="en-US" w:eastAsia="zh-CN"/>
                    </w:rPr>
                    <w:t>、清洗等工序在密闭设备或密闭负压空间内操作；4、密闭回收废清洗剂；5、建设干式喷漆房；使用湿式喷漆房时，循环水泵间和刮渣间应密闭，安装废气收集设施；</w:t>
                  </w:r>
                </w:p>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rPr>
                  </w:pPr>
                  <w:r>
                    <w:rPr>
                      <w:rFonts w:hint="default" w:ascii="Times New Roman" w:hAnsi="Times New Roman" w:eastAsia="宋体" w:cs="Times New Roman"/>
                      <w:b w:val="0"/>
                      <w:bCs/>
                      <w:color w:val="auto"/>
                      <w:kern w:val="0"/>
                      <w:sz w:val="21"/>
                      <w:szCs w:val="21"/>
                      <w:highlight w:val="none"/>
                      <w:u w:val="none"/>
                      <w:lang w:val="en-US" w:eastAsia="zh-CN"/>
                    </w:rPr>
                    <w:t>6、采用静电喷涂、自动喷涂、高压无气喷涂或高流低压（HVLP）喷枪等高效涂装技术，不可使用手动空气喷涂技术</w:t>
                  </w:r>
                </w:p>
              </w:tc>
              <w:tc>
                <w:tcPr>
                  <w:tcW w:w="1386" w:type="pct"/>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rPr>
                  </w:pPr>
                  <w:r>
                    <w:rPr>
                      <w:rFonts w:hint="default" w:ascii="Times New Roman" w:hAnsi="Times New Roman" w:eastAsia="宋体" w:cs="Times New Roman"/>
                      <w:b w:val="0"/>
                      <w:bCs/>
                      <w:color w:val="auto"/>
                      <w:kern w:val="0"/>
                      <w:sz w:val="21"/>
                      <w:szCs w:val="21"/>
                      <w:highlight w:val="none"/>
                      <w:u w:val="none"/>
                      <w:lang w:val="en-US" w:eastAsia="zh-CN"/>
                    </w:rPr>
                    <w:t>项目有机废气排放满足《挥发性有机物无组织排放控制标准》（GB37822-2019）特别控制要求；VOCs物料存储于密闭包装袋中，包装袋存放于原料库内；烘</w:t>
                  </w:r>
                  <w:r>
                    <w:rPr>
                      <w:rFonts w:hint="default" w:ascii="Times New Roman" w:hAnsi="Times New Roman" w:cs="Times New Roman"/>
                      <w:b w:val="0"/>
                      <w:bCs/>
                      <w:color w:val="auto"/>
                      <w:kern w:val="0"/>
                      <w:sz w:val="21"/>
                      <w:szCs w:val="21"/>
                      <w:highlight w:val="none"/>
                      <w:u w:val="none"/>
                      <w:lang w:val="en-US" w:eastAsia="zh-CN"/>
                    </w:rPr>
                    <w:t>烤</w:t>
                  </w:r>
                  <w:r>
                    <w:rPr>
                      <w:rFonts w:hint="default" w:ascii="Times New Roman" w:hAnsi="Times New Roman" w:eastAsia="宋体" w:cs="Times New Roman"/>
                      <w:b w:val="0"/>
                      <w:bCs/>
                      <w:color w:val="auto"/>
                      <w:kern w:val="0"/>
                      <w:sz w:val="21"/>
                      <w:szCs w:val="21"/>
                      <w:highlight w:val="none"/>
                      <w:u w:val="none"/>
                      <w:lang w:val="en-US" w:eastAsia="zh-CN"/>
                    </w:rPr>
                    <w:t>工序在密闭</w:t>
                  </w:r>
                  <w:r>
                    <w:rPr>
                      <w:rFonts w:hint="default" w:ascii="Times New Roman" w:hAnsi="Times New Roman" w:cs="Times New Roman"/>
                      <w:b w:val="0"/>
                      <w:bCs/>
                      <w:color w:val="auto"/>
                      <w:kern w:val="0"/>
                      <w:sz w:val="21"/>
                      <w:szCs w:val="21"/>
                      <w:highlight w:val="none"/>
                      <w:u w:val="none"/>
                      <w:lang w:val="en-US" w:eastAsia="zh-CN"/>
                    </w:rPr>
                    <w:t>烘烤</w:t>
                  </w:r>
                  <w:r>
                    <w:rPr>
                      <w:rFonts w:hint="default" w:ascii="Times New Roman" w:hAnsi="Times New Roman" w:eastAsia="宋体" w:cs="Times New Roman"/>
                      <w:b w:val="0"/>
                      <w:bCs/>
                      <w:color w:val="auto"/>
                      <w:kern w:val="0"/>
                      <w:sz w:val="21"/>
                      <w:szCs w:val="21"/>
                      <w:highlight w:val="none"/>
                      <w:u w:val="none"/>
                      <w:lang w:val="en-US" w:eastAsia="zh-CN"/>
                    </w:rPr>
                    <w:t>房内操作；</w:t>
                  </w:r>
                  <w:r>
                    <w:rPr>
                      <w:rFonts w:hint="default" w:ascii="Times New Roman" w:hAnsi="Times New Roman" w:cs="Times New Roman"/>
                      <w:b w:val="0"/>
                      <w:bCs/>
                      <w:color w:val="auto"/>
                      <w:kern w:val="0"/>
                      <w:sz w:val="21"/>
                      <w:szCs w:val="21"/>
                      <w:highlight w:val="none"/>
                      <w:u w:val="none"/>
                      <w:lang w:val="en-US" w:eastAsia="zh-CN"/>
                    </w:rPr>
                    <w:t>喷塑</w:t>
                  </w:r>
                  <w:r>
                    <w:rPr>
                      <w:rFonts w:hint="default" w:ascii="Times New Roman" w:hAnsi="Times New Roman" w:eastAsia="宋体" w:cs="Times New Roman"/>
                      <w:b w:val="0"/>
                      <w:bCs/>
                      <w:color w:val="auto"/>
                      <w:kern w:val="0"/>
                      <w:sz w:val="21"/>
                      <w:szCs w:val="21"/>
                      <w:highlight w:val="none"/>
                      <w:u w:val="none"/>
                      <w:lang w:val="en-US" w:eastAsia="zh-CN"/>
                    </w:rPr>
                    <w:t>采用静电喷涂高效涂装技术，不使用手动空气喷涂技术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VOCs治污设施</w:t>
                  </w:r>
                </w:p>
              </w:tc>
              <w:tc>
                <w:tcPr>
                  <w:tcW w:w="29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1、喷涂废气设置干式的石灰石、纸盒或湿式的文丘里等高效漆雾处理装置；2、使用溶剂型涂料时，调漆、喷漆、流平、</w:t>
                  </w:r>
                  <w:r>
                    <w:rPr>
                      <w:rFonts w:hint="default" w:ascii="Times New Roman" w:hAnsi="Times New Roman" w:cs="Times New Roman"/>
                      <w:b w:val="0"/>
                      <w:bCs/>
                      <w:color w:val="auto"/>
                      <w:kern w:val="0"/>
                      <w:sz w:val="21"/>
                      <w:szCs w:val="21"/>
                      <w:highlight w:val="none"/>
                      <w:u w:val="none"/>
                      <w:lang w:val="en-US" w:eastAsia="zh-CN"/>
                    </w:rPr>
                    <w:t>烘烤</w:t>
                  </w:r>
                  <w:r>
                    <w:rPr>
                      <w:rFonts w:hint="default" w:ascii="Times New Roman" w:hAnsi="Times New Roman" w:eastAsia="宋体" w:cs="Times New Roman"/>
                      <w:b w:val="0"/>
                      <w:bCs/>
                      <w:color w:val="auto"/>
                      <w:kern w:val="0"/>
                      <w:sz w:val="21"/>
                      <w:szCs w:val="21"/>
                      <w:highlight w:val="none"/>
                      <w:u w:val="none"/>
                      <w:lang w:val="en-US" w:eastAsia="zh-CN"/>
                    </w:rPr>
                    <w:t>、清洗等工序含VOCs废气采用吸附浓缩+燃烧、燃烧等治理技术，处理效率≥95%；3、使用水性涂料（含水性UV）时，当车间或生产设施排气中非甲烷总烃（NMHC）初始排放速率≥2kg/h时，建设末端治污设施</w:t>
                  </w:r>
                </w:p>
              </w:tc>
              <w:tc>
                <w:tcPr>
                  <w:tcW w:w="1386"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rPr>
                  </w:pPr>
                  <w:r>
                    <w:rPr>
                      <w:rFonts w:hint="default" w:ascii="Times New Roman" w:hAnsi="Times New Roman" w:eastAsia="宋体" w:cs="Times New Roman"/>
                      <w:b w:val="0"/>
                      <w:bCs/>
                      <w:color w:val="auto"/>
                      <w:kern w:val="0"/>
                      <w:sz w:val="21"/>
                      <w:szCs w:val="21"/>
                      <w:highlight w:val="none"/>
                      <w:u w:val="none"/>
                      <w:lang w:val="en-US" w:eastAsia="zh-CN"/>
                    </w:rPr>
                    <w:t>项目不使用漆、溶剂型涂料、水性涂料等，项目使用粉末涂料，</w:t>
                  </w:r>
                  <w:r>
                    <w:rPr>
                      <w:rFonts w:hint="default" w:ascii="Times New Roman" w:hAnsi="Times New Roman" w:cs="Times New Roman"/>
                      <w:b w:val="0"/>
                      <w:bCs/>
                      <w:color w:val="auto"/>
                      <w:kern w:val="0"/>
                      <w:sz w:val="21"/>
                      <w:szCs w:val="21"/>
                      <w:highlight w:val="none"/>
                      <w:u w:val="none"/>
                      <w:lang w:val="en-US" w:eastAsia="zh-CN"/>
                    </w:rPr>
                    <w:t>烘烤</w:t>
                  </w:r>
                  <w:r>
                    <w:rPr>
                      <w:rFonts w:hint="default" w:ascii="Times New Roman" w:hAnsi="Times New Roman" w:eastAsia="宋体" w:cs="Times New Roman"/>
                      <w:b w:val="0"/>
                      <w:bCs/>
                      <w:color w:val="auto"/>
                      <w:kern w:val="0"/>
                      <w:sz w:val="21"/>
                      <w:szCs w:val="21"/>
                      <w:highlight w:val="none"/>
                      <w:u w:val="none"/>
                      <w:lang w:val="en-US" w:eastAsia="zh-CN"/>
                    </w:rPr>
                    <w:t>工序有机废气收集后经1套“UV光催化氧化+活性炭吸附装置”进行处理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p>
              </w:tc>
              <w:tc>
                <w:tcPr>
                  <w:tcW w:w="29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备注：采用粉末涂料或VOCs含量≤60g/L的无溶剂涂料时，排放浓度稳定达标且排放速率、排放绩效等满足相关规定的，相应生产工序可不要求建设末端治理设施</w:t>
                  </w:r>
                </w:p>
              </w:tc>
              <w:tc>
                <w:tcPr>
                  <w:tcW w:w="1386"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排放限值</w:t>
                  </w:r>
                </w:p>
              </w:tc>
              <w:tc>
                <w:tcPr>
                  <w:tcW w:w="29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1、在连续一年的监测数据中，车间或生产设施排气筒排放的NMHC为20</w:t>
                  </w:r>
                  <w:r>
                    <w:rPr>
                      <w:rFonts w:hint="default" w:ascii="Times New Roman" w:hAnsi="Times New Roman" w:cs="Times New Roman"/>
                      <w:b w:val="0"/>
                      <w:bCs/>
                      <w:color w:val="auto"/>
                      <w:kern w:val="0"/>
                      <w:sz w:val="21"/>
                      <w:szCs w:val="21"/>
                      <w:highlight w:val="none"/>
                      <w:u w:val="none"/>
                      <w:lang w:val="en-US" w:eastAsia="zh-CN"/>
                    </w:rPr>
                    <w:t>—</w:t>
                  </w:r>
                  <w:r>
                    <w:rPr>
                      <w:rFonts w:hint="default" w:ascii="Times New Roman" w:hAnsi="Times New Roman" w:eastAsia="宋体" w:cs="Times New Roman"/>
                      <w:b w:val="0"/>
                      <w:bCs/>
                      <w:color w:val="auto"/>
                      <w:kern w:val="0"/>
                      <w:sz w:val="21"/>
                      <w:szCs w:val="21"/>
                      <w:highlight w:val="none"/>
                      <w:u w:val="none"/>
                      <w:lang w:val="en-US" w:eastAsia="zh-CN"/>
                    </w:rPr>
                    <w:t>30mg/m</w:t>
                  </w:r>
                  <w:r>
                    <w:rPr>
                      <w:rFonts w:hint="default" w:ascii="Times New Roman" w:hAnsi="Times New Roman" w:eastAsia="宋体" w:cs="Times New Roman"/>
                      <w:b w:val="0"/>
                      <w:bCs/>
                      <w:color w:val="auto"/>
                      <w:kern w:val="0"/>
                      <w:sz w:val="21"/>
                      <w:szCs w:val="21"/>
                      <w:highlight w:val="none"/>
                      <w:u w:val="none"/>
                      <w:vertAlign w:val="superscript"/>
                      <w:lang w:val="en-US" w:eastAsia="zh-CN"/>
                    </w:rPr>
                    <w:t>3</w:t>
                  </w:r>
                  <w:r>
                    <w:rPr>
                      <w:rFonts w:hint="default" w:ascii="Times New Roman" w:hAnsi="Times New Roman" w:eastAsia="宋体" w:cs="Times New Roman"/>
                      <w:b w:val="0"/>
                      <w:bCs/>
                      <w:color w:val="auto"/>
                      <w:kern w:val="0"/>
                      <w:sz w:val="21"/>
                      <w:szCs w:val="21"/>
                      <w:highlight w:val="none"/>
                      <w:u w:val="none"/>
                      <w:lang w:val="en-US" w:eastAsia="zh-CN"/>
                    </w:rPr>
                    <w:t>、TVOC为40</w:t>
                  </w:r>
                  <w:r>
                    <w:rPr>
                      <w:rFonts w:hint="default" w:ascii="Times New Roman" w:hAnsi="Times New Roman" w:cs="Times New Roman"/>
                      <w:b w:val="0"/>
                      <w:bCs/>
                      <w:color w:val="auto"/>
                      <w:kern w:val="0"/>
                      <w:sz w:val="21"/>
                      <w:szCs w:val="21"/>
                      <w:highlight w:val="none"/>
                      <w:u w:val="none"/>
                      <w:lang w:val="en-US" w:eastAsia="zh-CN"/>
                    </w:rPr>
                    <w:t>—</w:t>
                  </w:r>
                  <w:r>
                    <w:rPr>
                      <w:rFonts w:hint="default" w:ascii="Times New Roman" w:hAnsi="Times New Roman" w:eastAsia="宋体" w:cs="Times New Roman"/>
                      <w:b w:val="0"/>
                      <w:bCs/>
                      <w:color w:val="auto"/>
                      <w:kern w:val="0"/>
                      <w:sz w:val="21"/>
                      <w:szCs w:val="21"/>
                      <w:highlight w:val="none"/>
                      <w:u w:val="none"/>
                      <w:lang w:val="en-US" w:eastAsia="zh-CN"/>
                    </w:rPr>
                    <w:t>50mg/m</w:t>
                  </w:r>
                  <w:r>
                    <w:rPr>
                      <w:rFonts w:hint="default" w:ascii="Times New Roman" w:hAnsi="Times New Roman" w:eastAsia="宋体" w:cs="Times New Roman"/>
                      <w:b w:val="0"/>
                      <w:bCs/>
                      <w:color w:val="auto"/>
                      <w:kern w:val="0"/>
                      <w:sz w:val="21"/>
                      <w:szCs w:val="21"/>
                      <w:highlight w:val="none"/>
                      <w:u w:val="none"/>
                      <w:vertAlign w:val="superscript"/>
                      <w:lang w:val="en-US" w:eastAsia="zh-CN"/>
                    </w:rPr>
                    <w:t>3</w:t>
                  </w:r>
                  <w:r>
                    <w:rPr>
                      <w:rFonts w:hint="default" w:ascii="Times New Roman" w:hAnsi="Times New Roman" w:eastAsia="宋体" w:cs="Times New Roman"/>
                      <w:b w:val="0"/>
                      <w:bCs/>
                      <w:color w:val="auto"/>
                      <w:kern w:val="0"/>
                      <w:sz w:val="21"/>
                      <w:szCs w:val="21"/>
                      <w:highlight w:val="none"/>
                      <w:u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2、厂区内无组织排放监控点NMHC的小时平均浓度值不超过6mg/m</w:t>
                  </w:r>
                  <w:r>
                    <w:rPr>
                      <w:rFonts w:hint="default" w:ascii="Times New Roman" w:hAnsi="Times New Roman" w:eastAsia="宋体" w:cs="Times New Roman"/>
                      <w:b w:val="0"/>
                      <w:bCs/>
                      <w:color w:val="auto"/>
                      <w:kern w:val="0"/>
                      <w:sz w:val="21"/>
                      <w:szCs w:val="21"/>
                      <w:highlight w:val="none"/>
                      <w:u w:val="none"/>
                      <w:vertAlign w:val="superscript"/>
                      <w:lang w:val="en-US" w:eastAsia="zh-CN"/>
                    </w:rPr>
                    <w:t>3</w:t>
                  </w:r>
                  <w:r>
                    <w:rPr>
                      <w:rFonts w:hint="default" w:ascii="Times New Roman" w:hAnsi="Times New Roman" w:eastAsia="宋体" w:cs="Times New Roman"/>
                      <w:b w:val="0"/>
                      <w:bCs/>
                      <w:color w:val="auto"/>
                      <w:kern w:val="0"/>
                      <w:sz w:val="21"/>
                      <w:szCs w:val="21"/>
                      <w:highlight w:val="none"/>
                      <w:u w:val="none"/>
                      <w:lang w:val="en-US" w:eastAsia="zh-CN"/>
                    </w:rPr>
                    <w:t>、任意一次浓度值不超过20mg/m</w:t>
                  </w:r>
                  <w:r>
                    <w:rPr>
                      <w:rFonts w:hint="default" w:ascii="Times New Roman" w:hAnsi="Times New Roman" w:eastAsia="宋体" w:cs="Times New Roman"/>
                      <w:b w:val="0"/>
                      <w:bCs/>
                      <w:color w:val="auto"/>
                      <w:kern w:val="0"/>
                      <w:sz w:val="21"/>
                      <w:szCs w:val="21"/>
                      <w:highlight w:val="none"/>
                      <w:u w:val="none"/>
                      <w:vertAlign w:val="superscript"/>
                      <w:lang w:val="en-US" w:eastAsia="zh-CN"/>
                    </w:rPr>
                    <w:t>3</w:t>
                  </w:r>
                  <w:r>
                    <w:rPr>
                      <w:rFonts w:hint="default" w:ascii="Times New Roman" w:hAnsi="Times New Roman" w:eastAsia="宋体" w:cs="Times New Roman"/>
                      <w:b w:val="0"/>
                      <w:bCs/>
                      <w:color w:val="auto"/>
                      <w:kern w:val="0"/>
                      <w:sz w:val="21"/>
                      <w:szCs w:val="21"/>
                      <w:highlight w:val="none"/>
                      <w:u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3、其他各项污染物稳定达到现行排放控制要求，并从严地方要求</w:t>
                  </w:r>
                </w:p>
              </w:tc>
              <w:tc>
                <w:tcPr>
                  <w:tcW w:w="1386"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cs="Times New Roman"/>
                      <w:b w:val="0"/>
                      <w:bCs/>
                      <w:color w:val="auto"/>
                      <w:kern w:val="0"/>
                      <w:sz w:val="21"/>
                      <w:szCs w:val="21"/>
                      <w:highlight w:val="none"/>
                      <w:u w:val="none"/>
                      <w:lang w:val="en-US" w:eastAsia="zh-CN"/>
                    </w:rPr>
                    <w:t>经工程分析，本项目烘烤工序有机废气</w:t>
                  </w:r>
                  <w:r>
                    <w:rPr>
                      <w:rFonts w:hint="default" w:ascii="Times New Roman" w:hAnsi="Times New Roman" w:eastAsia="宋体" w:cs="Times New Roman"/>
                      <w:b w:val="0"/>
                      <w:bCs/>
                      <w:color w:val="auto"/>
                      <w:kern w:val="0"/>
                      <w:sz w:val="21"/>
                      <w:szCs w:val="21"/>
                      <w:highlight w:val="none"/>
                      <w:u w:val="none"/>
                      <w:lang w:val="en-US" w:eastAsia="zh-CN"/>
                    </w:rPr>
                    <w:t>排放浓度</w:t>
                  </w:r>
                  <w:r>
                    <w:rPr>
                      <w:rFonts w:hint="default" w:ascii="Times New Roman" w:hAnsi="Times New Roman" w:cs="Times New Roman"/>
                      <w:b w:val="0"/>
                      <w:bCs/>
                      <w:color w:val="auto"/>
                      <w:kern w:val="0"/>
                      <w:sz w:val="21"/>
                      <w:szCs w:val="21"/>
                      <w:highlight w:val="none"/>
                      <w:u w:val="none"/>
                      <w:lang w:val="en-US" w:eastAsia="zh-CN"/>
                    </w:rPr>
                    <w:t>为0.32mg/m</w:t>
                  </w:r>
                  <w:r>
                    <w:rPr>
                      <w:rFonts w:hint="default" w:ascii="Times New Roman" w:hAnsi="Times New Roman" w:cs="Times New Roman"/>
                      <w:b w:val="0"/>
                      <w:bCs/>
                      <w:color w:val="auto"/>
                      <w:kern w:val="0"/>
                      <w:sz w:val="21"/>
                      <w:szCs w:val="21"/>
                      <w:highlight w:val="none"/>
                      <w:u w:val="none"/>
                      <w:vertAlign w:val="superscript"/>
                      <w:lang w:val="en-US" w:eastAsia="zh-CN"/>
                    </w:rPr>
                    <w:t>3</w:t>
                  </w:r>
                  <w:r>
                    <w:rPr>
                      <w:rFonts w:hint="default" w:ascii="Times New Roman" w:hAnsi="Times New Roman" w:eastAsia="宋体" w:cs="Times New Roman"/>
                      <w:b w:val="0"/>
                      <w:bCs/>
                      <w:color w:val="auto"/>
                      <w:kern w:val="0"/>
                      <w:sz w:val="21"/>
                      <w:szCs w:val="21"/>
                      <w:highlight w:val="none"/>
                      <w:u w:val="none"/>
                      <w:lang w:val="en-US" w:eastAsia="zh-CN"/>
                    </w:rPr>
                    <w:t>，可满足相关排放限值要求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p>
              </w:tc>
              <w:tc>
                <w:tcPr>
                  <w:tcW w:w="29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备注：车间或生产设施排气筒排放的TVOC浓度限值要求待相应的监测标准发布后执行</w:t>
                  </w:r>
                </w:p>
              </w:tc>
              <w:tc>
                <w:tcPr>
                  <w:tcW w:w="1386"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监测监控水平</w:t>
                  </w:r>
                </w:p>
              </w:tc>
              <w:tc>
                <w:tcPr>
                  <w:tcW w:w="29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1、严格执行《排污许可证申请与核发技术规范总则》（HJ942－2018）以及相关行业排污许可证申请与核发技术规范规定的自行监测管理要求；2、重点排污企业风量大于10000m</w:t>
                  </w:r>
                  <w:r>
                    <w:rPr>
                      <w:rFonts w:hint="default" w:ascii="Times New Roman" w:hAnsi="Times New Roman" w:eastAsia="宋体" w:cs="Times New Roman"/>
                      <w:b w:val="0"/>
                      <w:bCs/>
                      <w:color w:val="auto"/>
                      <w:kern w:val="0"/>
                      <w:sz w:val="21"/>
                      <w:szCs w:val="21"/>
                      <w:highlight w:val="none"/>
                      <w:u w:val="none"/>
                      <w:vertAlign w:val="superscript"/>
                      <w:lang w:val="en-US" w:eastAsia="zh-CN"/>
                    </w:rPr>
                    <w:t>3</w:t>
                  </w:r>
                  <w:r>
                    <w:rPr>
                      <w:rFonts w:hint="default" w:ascii="Times New Roman" w:hAnsi="Times New Roman" w:eastAsia="宋体" w:cs="Times New Roman"/>
                      <w:b w:val="0"/>
                      <w:bCs/>
                      <w:color w:val="auto"/>
                      <w:kern w:val="0"/>
                      <w:sz w:val="21"/>
                      <w:szCs w:val="21"/>
                      <w:highlight w:val="none"/>
                      <w:u w:val="none"/>
                      <w:lang w:val="en-US" w:eastAsia="zh-CN"/>
                    </w:rPr>
                    <w:t>/h的主要排放口，有机废气排放口安装NMHC在线监测设施（FID检测器），自动监控数据保存一年以上；3、安装DCS系统、仪器仪表等装置，连续测量并记录治理设施控制指标温度、压力（压差）、时间和频率值。再生式活性炭连续自动测量并记录温度、再生时间和更换周期；更换式活性炭记录温度、更换周期及更换量；数据保存一年以上</w:t>
                  </w:r>
                </w:p>
              </w:tc>
              <w:tc>
                <w:tcPr>
                  <w:tcW w:w="1386" w:type="pct"/>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企业将严格执行《排污许可证申请与核发技术规范总则》（HJ942－2018）以及相关行业排污许可证申请与核发技术规范；</w:t>
                  </w:r>
                  <w:r>
                    <w:rPr>
                      <w:rFonts w:hint="default" w:ascii="Times New Roman" w:hAnsi="Times New Roman" w:cs="Times New Roman"/>
                      <w:b w:val="0"/>
                      <w:bCs/>
                      <w:color w:val="auto"/>
                      <w:kern w:val="0"/>
                      <w:sz w:val="21"/>
                      <w:szCs w:val="21"/>
                      <w:highlight w:val="none"/>
                      <w:u w:val="none"/>
                      <w:lang w:val="en-US" w:eastAsia="zh-CN"/>
                    </w:rPr>
                    <w:t>本项目</w:t>
                  </w:r>
                  <w:r>
                    <w:rPr>
                      <w:rFonts w:hint="default" w:ascii="Times New Roman" w:hAnsi="Times New Roman" w:eastAsia="宋体" w:cs="Times New Roman"/>
                      <w:b w:val="0"/>
                      <w:bCs/>
                      <w:color w:val="auto"/>
                      <w:kern w:val="0"/>
                      <w:sz w:val="21"/>
                      <w:szCs w:val="21"/>
                      <w:highlight w:val="none"/>
                      <w:u w:val="none"/>
                      <w:lang w:val="en-US" w:eastAsia="zh-CN"/>
                    </w:rPr>
                    <w:t>不属于重点排污企业，风量小于10000m</w:t>
                  </w:r>
                  <w:r>
                    <w:rPr>
                      <w:rFonts w:hint="default" w:ascii="Times New Roman" w:hAnsi="Times New Roman" w:eastAsia="宋体" w:cs="Times New Roman"/>
                      <w:b w:val="0"/>
                      <w:bCs/>
                      <w:color w:val="auto"/>
                      <w:kern w:val="0"/>
                      <w:sz w:val="21"/>
                      <w:szCs w:val="21"/>
                      <w:highlight w:val="none"/>
                      <w:u w:val="none"/>
                      <w:vertAlign w:val="superscript"/>
                      <w:lang w:val="en-US" w:eastAsia="zh-CN"/>
                    </w:rPr>
                    <w:t>3</w:t>
                  </w:r>
                  <w:r>
                    <w:rPr>
                      <w:rFonts w:hint="default" w:ascii="Times New Roman" w:hAnsi="Times New Roman" w:eastAsia="宋体" w:cs="Times New Roman"/>
                      <w:b w:val="0"/>
                      <w:bCs/>
                      <w:color w:val="auto"/>
                      <w:kern w:val="0"/>
                      <w:sz w:val="21"/>
                      <w:szCs w:val="21"/>
                      <w:highlight w:val="none"/>
                      <w:u w:val="none"/>
                      <w:lang w:val="en-US" w:eastAsia="zh-CN"/>
                    </w:rPr>
                    <w:t>/h，有机废气排放口无需安装NMHC在线监测设施（FID检测器）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环境管理水平</w:t>
                  </w:r>
                </w:p>
              </w:tc>
              <w:tc>
                <w:tcPr>
                  <w:tcW w:w="29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环保档案齐全：1、环评批复文件；2、排污许可证及季度、年度执行报告；3、竣工验收文件；4、废气治理设施运行管理规程；5、一年内废气监测报告</w:t>
                  </w:r>
                </w:p>
              </w:tc>
              <w:tc>
                <w:tcPr>
                  <w:tcW w:w="1386" w:type="pct"/>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企业将按要求对各环保手续进行存档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p>
              </w:tc>
              <w:tc>
                <w:tcPr>
                  <w:tcW w:w="29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台账记录：1、生产设施运行管理信息（生产时间、运行负荷、产品产量等，必须具备近一年及以上所用涂料的密度、扣水后VOCs含量、含水率（水性涂料）等信息的检测报告）；2、废气污染治理设施运行管理信息（燃烧室温度、冷凝温度、过滤材料更换频次、吸附剂更换频次、催化剂更换频次）；3、监测记录信息（主要污染排放口废气排放记录（手工监测或在线监测）等）；4、主要原辅材料消耗记录；5、燃料（天然气）消耗记录</w:t>
                  </w:r>
                </w:p>
              </w:tc>
              <w:tc>
                <w:tcPr>
                  <w:tcW w:w="1386" w:type="pct"/>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企业将按要求进行台账记录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p>
              </w:tc>
              <w:tc>
                <w:tcPr>
                  <w:tcW w:w="29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人员配置：设置环保部门，配备专职环保人员，并具备相应的环境管理能力</w:t>
                  </w:r>
                </w:p>
              </w:tc>
              <w:tc>
                <w:tcPr>
                  <w:tcW w:w="1386" w:type="pct"/>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企业将按要求进行人员配置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632" w:type="pc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运输方式</w:t>
                  </w:r>
                </w:p>
              </w:tc>
              <w:tc>
                <w:tcPr>
                  <w:tcW w:w="29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1、物料公路运输全部使用达到国五及以上排放标准重型载货车辆（含燃气）或新能源车辆；2、厂内运输车辆全部达到国五及以上排放标准（含燃气）或使用新能源车辆；3、厂内非道路移动机械全部达到国三及以上排放标准或使用新能源机械</w:t>
                  </w:r>
                </w:p>
              </w:tc>
              <w:tc>
                <w:tcPr>
                  <w:tcW w:w="1386" w:type="pct"/>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企业将按照要求</w:t>
                  </w:r>
                </w:p>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tcBorders>
                    <w:right w:val="single" w:color="auto" w:sz="4" w:space="0"/>
                  </w:tcBorders>
                  <w:noWrap w:val="0"/>
                  <w:vAlign w:val="center"/>
                </w:tcPr>
                <w:p>
                  <w:pPr>
                    <w:keepNext w:val="0"/>
                    <w:keepLines w:val="0"/>
                    <w:pageBreakBefore w:val="0"/>
                    <w:widowControl/>
                    <w:suppressLineNumbers w:val="0"/>
                    <w:kinsoku/>
                    <w:wordWrap/>
                    <w:overflowPunct/>
                    <w:topLinePunct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bidi="ar"/>
                    </w:rPr>
                    <w:t>运输监管</w:t>
                  </w:r>
                </w:p>
              </w:tc>
              <w:tc>
                <w:tcPr>
                  <w:tcW w:w="29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参照《重污染天气重点行业移动源应急管理技术指南》建立门禁系统和电子台账</w:t>
                  </w:r>
                </w:p>
              </w:tc>
              <w:tc>
                <w:tcPr>
                  <w:tcW w:w="1386" w:type="pct"/>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b w:val="0"/>
                      <w:bCs/>
                      <w:color w:val="auto"/>
                      <w:kern w:val="0"/>
                      <w:sz w:val="21"/>
                      <w:szCs w:val="21"/>
                      <w:highlight w:val="none"/>
                      <w:u w:val="none"/>
                      <w:lang w:val="en-US" w:eastAsia="zh-CN"/>
                    </w:rPr>
                  </w:pPr>
                  <w:r>
                    <w:rPr>
                      <w:rFonts w:hint="default" w:ascii="Times New Roman" w:hAnsi="Times New Roman" w:eastAsia="宋体" w:cs="Times New Roman"/>
                      <w:b w:val="0"/>
                      <w:bCs/>
                      <w:color w:val="auto"/>
                      <w:kern w:val="0"/>
                      <w:sz w:val="21"/>
                      <w:szCs w:val="21"/>
                      <w:highlight w:val="none"/>
                      <w:u w:val="none"/>
                      <w:lang w:val="en-US" w:eastAsia="zh-CN"/>
                    </w:rPr>
                    <w:t>企业将按要求建立门禁系统和电子台账</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kern w:val="0"/>
                <w:sz w:val="24"/>
                <w:szCs w:val="24"/>
                <w:u w:val="none"/>
              </w:rPr>
            </w:pPr>
            <w:r>
              <w:rPr>
                <w:rFonts w:hint="default" w:ascii="Times New Roman" w:hAnsi="Times New Roman" w:cs="Times New Roman"/>
                <w:b w:val="0"/>
                <w:bCs/>
                <w:color w:val="auto"/>
                <w:kern w:val="0"/>
                <w:sz w:val="24"/>
                <w:szCs w:val="24"/>
                <w:u w:val="none"/>
              </w:rPr>
              <w:t>综上所述，项目建设能</w:t>
            </w:r>
            <w:r>
              <w:rPr>
                <w:rFonts w:hint="default" w:ascii="Times New Roman" w:hAnsi="Times New Roman" w:cs="Times New Roman"/>
                <w:b w:val="0"/>
                <w:bCs/>
                <w:color w:val="auto"/>
                <w:kern w:val="0"/>
                <w:sz w:val="24"/>
                <w:szCs w:val="24"/>
                <w:u w:val="none"/>
                <w:lang w:val="en-US" w:eastAsia="zh-CN"/>
              </w:rPr>
              <w:t>够</w:t>
            </w:r>
            <w:r>
              <w:rPr>
                <w:rFonts w:hint="default" w:ascii="Times New Roman" w:hAnsi="Times New Roman" w:cs="Times New Roman"/>
                <w:b w:val="0"/>
                <w:bCs/>
                <w:color w:val="auto"/>
                <w:kern w:val="0"/>
                <w:sz w:val="24"/>
                <w:szCs w:val="24"/>
                <w:u w:val="none"/>
              </w:rPr>
              <w:t>满足</w:t>
            </w:r>
            <w:r>
              <w:rPr>
                <w:rFonts w:hint="default" w:ascii="Times New Roman" w:hAnsi="Times New Roman" w:cs="Times New Roman"/>
                <w:b w:val="0"/>
                <w:bCs/>
                <w:color w:val="auto"/>
                <w:kern w:val="0"/>
                <w:sz w:val="24"/>
                <w:szCs w:val="24"/>
                <w:u w:val="none"/>
                <w:lang w:val="en-US" w:eastAsia="zh-CN"/>
              </w:rPr>
              <w:t>《关于印发重污染天气重点行业应急减排措施制定技术指南（2020年修订版）的函》（环办大气函〔2020〕340号）工业涂装行业A级企业</w:t>
            </w:r>
            <w:r>
              <w:rPr>
                <w:rFonts w:hint="default" w:ascii="Times New Roman" w:hAnsi="Times New Roman" w:cs="Times New Roman"/>
                <w:b w:val="0"/>
                <w:bCs/>
                <w:color w:val="auto"/>
                <w:kern w:val="0"/>
                <w:sz w:val="24"/>
                <w:szCs w:val="24"/>
                <w:u w:val="none"/>
              </w:rPr>
              <w:t>相关要求。</w:t>
            </w:r>
          </w:p>
          <w:p>
            <w:pPr>
              <w:spacing w:line="240" w:lineRule="auto"/>
              <w:jc w:val="center"/>
              <w:rPr>
                <w:rFonts w:hint="default" w:ascii="Times New Roman" w:hAnsi="Times New Roman" w:cs="Times New Roman"/>
                <w:b/>
                <w:bCs/>
                <w:color w:val="auto"/>
                <w:sz w:val="24"/>
                <w:u w:val="none"/>
                <w:lang w:val="en-US" w:eastAsia="zh-CN"/>
              </w:rPr>
            </w:pPr>
            <w:r>
              <w:rPr>
                <w:rFonts w:hint="default" w:ascii="Times New Roman" w:hAnsi="Times New Roman" w:cs="Times New Roman"/>
                <w:b/>
                <w:bCs/>
                <w:color w:val="auto"/>
                <w:sz w:val="24"/>
                <w:u w:val="none"/>
              </w:rPr>
              <w:t>表1-</w:t>
            </w:r>
            <w:r>
              <w:rPr>
                <w:rFonts w:hint="default" w:ascii="Times New Roman" w:hAnsi="Times New Roman" w:cs="Times New Roman"/>
                <w:b/>
                <w:bCs/>
                <w:color w:val="auto"/>
                <w:sz w:val="24"/>
                <w:u w:val="none"/>
                <w:lang w:val="en-US" w:eastAsia="zh-CN"/>
              </w:rPr>
              <w:t>4本项目与涉锅炉/炉窑企业绩效分级指标对比分析一览表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4268"/>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差异化指标</w:t>
                  </w:r>
                </w:p>
              </w:tc>
              <w:tc>
                <w:tcPr>
                  <w:tcW w:w="2692"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A级企业</w:t>
                  </w:r>
                </w:p>
              </w:tc>
              <w:tc>
                <w:tcPr>
                  <w:tcW w:w="1765" w:type="pct"/>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2" w:type="pct"/>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能源类型</w:t>
                  </w:r>
                </w:p>
              </w:tc>
              <w:tc>
                <w:tcPr>
                  <w:tcW w:w="2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以电、天然气为能源</w:t>
                  </w:r>
                </w:p>
              </w:tc>
              <w:tc>
                <w:tcPr>
                  <w:tcW w:w="1765" w:type="pct"/>
                  <w:tcBorders>
                    <w:top w:val="single" w:color="auto" w:sz="4" w:space="0"/>
                    <w:left w:val="single" w:color="auto" w:sz="4" w:space="0"/>
                  </w:tcBorders>
                  <w:noWrap w:val="0"/>
                  <w:vAlign w:val="center"/>
                </w:tcPr>
                <w:p>
                  <w:pPr>
                    <w:keepNext w:val="0"/>
                    <w:keepLines w:val="0"/>
                    <w:pageBreakBefore w:val="0"/>
                    <w:widowControl/>
                    <w:suppressLineNumbers w:val="0"/>
                    <w:kinsoku/>
                    <w:wordWrap/>
                    <w:overflowPunct/>
                    <w:topLinePunct w:val="0"/>
                    <w:bidi w:val="0"/>
                    <w:adjustRightInd w:val="0"/>
                    <w:snapToGrid w:val="0"/>
                    <w:spacing w:line="28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w:t>
                  </w:r>
                  <w:r>
                    <w:rPr>
                      <w:rFonts w:hint="default" w:ascii="Times New Roman" w:hAnsi="Times New Roman" w:cs="Times New Roman"/>
                      <w:color w:val="auto"/>
                      <w:kern w:val="0"/>
                      <w:sz w:val="21"/>
                      <w:szCs w:val="21"/>
                      <w:lang w:val="en-US" w:eastAsia="zh-CN"/>
                    </w:rPr>
                    <w:t>烘烤工序</w:t>
                  </w:r>
                  <w:r>
                    <w:rPr>
                      <w:rFonts w:hint="default" w:ascii="Times New Roman" w:hAnsi="Times New Roman" w:eastAsia="宋体" w:cs="Times New Roman"/>
                      <w:b w:val="0"/>
                      <w:bCs/>
                      <w:color w:val="auto"/>
                      <w:kern w:val="0"/>
                      <w:sz w:val="21"/>
                      <w:szCs w:val="21"/>
                      <w:highlight w:val="none"/>
                      <w:u w:val="none"/>
                      <w:lang w:val="en-US" w:eastAsia="zh-CN"/>
                    </w:rPr>
                    <w:t>燃料为</w:t>
                  </w:r>
                  <w:r>
                    <w:rPr>
                      <w:rFonts w:hint="default" w:ascii="Times New Roman" w:hAnsi="Times New Roman" w:cs="Times New Roman"/>
                      <w:b w:val="0"/>
                      <w:bCs/>
                      <w:color w:val="auto"/>
                      <w:kern w:val="0"/>
                      <w:sz w:val="21"/>
                      <w:szCs w:val="21"/>
                      <w:highlight w:val="none"/>
                      <w:u w:val="none"/>
                      <w:lang w:val="en-US" w:eastAsia="zh-CN"/>
                    </w:rPr>
                    <w:t>天然气</w:t>
                  </w:r>
                  <w:r>
                    <w:rPr>
                      <w:rFonts w:hint="eastAsia" w:ascii="Times New Roman" w:hAnsi="Times New Roman" w:cs="Times New Roman"/>
                      <w:b w:val="0"/>
                      <w:bCs/>
                      <w:color w:val="auto"/>
                      <w:kern w:val="0"/>
                      <w:sz w:val="21"/>
                      <w:szCs w:val="21"/>
                      <w:highlight w:val="none"/>
                      <w:u w:val="no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tcBorders>
                    <w:top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adjustRightInd w:val="0"/>
                    <w:snapToGrid w:val="0"/>
                    <w:spacing w:line="280" w:lineRule="exact"/>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生产工艺</w:t>
                  </w:r>
                </w:p>
              </w:tc>
              <w:tc>
                <w:tcPr>
                  <w:tcW w:w="2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1.属于《产业结构调整指导目录（2019年版）》鼓励类和允许类；2.符合相关行业产业政策；3.符合河南省相关政策要求；4.符合市级规划。</w:t>
                  </w:r>
                </w:p>
              </w:tc>
              <w:tc>
                <w:tcPr>
                  <w:tcW w:w="1765" w:type="pct"/>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default" w:ascii="Times New Roman" w:hAnsi="Times New Roman" w:eastAsia="宋体" w:cs="Times New Roman"/>
                      <w:color w:val="auto"/>
                      <w:kern w:val="0"/>
                      <w:sz w:val="21"/>
                      <w:szCs w:val="21"/>
                      <w:lang w:val="en-US"/>
                    </w:rPr>
                  </w:pPr>
                  <w:r>
                    <w:rPr>
                      <w:rFonts w:hint="default" w:ascii="Times New Roman" w:hAnsi="Times New Roman" w:cs="Times New Roman"/>
                      <w:bCs/>
                      <w:color w:val="auto"/>
                      <w:kern w:val="0"/>
                      <w:sz w:val="21"/>
                      <w:szCs w:val="21"/>
                    </w:rPr>
                    <w:t>项目</w:t>
                  </w:r>
                  <w:r>
                    <w:rPr>
                      <w:rFonts w:hint="default" w:ascii="Times New Roman" w:hAnsi="Times New Roman" w:eastAsia="宋体" w:cs="Times New Roman"/>
                      <w:color w:val="auto"/>
                      <w:kern w:val="0"/>
                      <w:sz w:val="21"/>
                      <w:szCs w:val="21"/>
                      <w:lang w:val="en-US" w:eastAsia="zh-CN"/>
                    </w:rPr>
                    <w:t>属于《产业结构调整指导目录（2019年版）》允许类；符合相关行业产业政策；符合河南省相关政策要求；符合</w:t>
                  </w:r>
                  <w:r>
                    <w:rPr>
                      <w:rFonts w:hint="default" w:ascii="Times New Roman" w:hAnsi="Times New Roman" w:cs="Times New Roman"/>
                      <w:color w:val="auto"/>
                      <w:kern w:val="0"/>
                      <w:sz w:val="21"/>
                      <w:szCs w:val="21"/>
                      <w:lang w:val="en-US" w:eastAsia="zh-CN"/>
                    </w:rPr>
                    <w:t>鲁山县</w:t>
                  </w:r>
                  <w:r>
                    <w:rPr>
                      <w:rFonts w:hint="default" w:ascii="Times New Roman" w:hAnsi="Times New Roman" w:eastAsia="宋体" w:cs="Times New Roman"/>
                      <w:color w:val="auto"/>
                      <w:kern w:val="0"/>
                      <w:sz w:val="21"/>
                      <w:szCs w:val="21"/>
                      <w:lang w:val="en-US" w:eastAsia="zh-CN"/>
                    </w:rPr>
                    <w:t>产业集聚区规划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污染治理技术</w:t>
                  </w:r>
                </w:p>
              </w:tc>
              <w:tc>
                <w:tcPr>
                  <w:tcW w:w="2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1.电窑：PM采用袋式除尘、电袋复合除尘、湿电除尘、静电除尘等高效除尘技术。</w:t>
                  </w:r>
                </w:p>
                <w:p>
                  <w:pPr>
                    <w:keepNext w:val="0"/>
                    <w:keepLines w:val="0"/>
                    <w:pageBreakBefore w:val="0"/>
                    <w:widowControl w:val="0"/>
                    <w:kinsoku/>
                    <w:wordWrap/>
                    <w:overflowPunct/>
                    <w:topLinePunct w:val="0"/>
                    <w:autoSpaceDE w:val="0"/>
                    <w:autoSpaceDN w:val="0"/>
                    <w:bidi w:val="0"/>
                    <w:adjustRightInd w:val="0"/>
                    <w:snapToGrid w:val="0"/>
                    <w:spacing w:line="280" w:lineRule="exact"/>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2.燃气锅炉/炉窑：（1）PM</w:t>
                  </w:r>
                  <w:r>
                    <w:rPr>
                      <w:rFonts w:hint="default" w:ascii="Times New Roman" w:hAnsi="Times New Roman" w:eastAsia="Times New Roman" w:cs="Times New Roman"/>
                      <w:color w:val="auto"/>
                      <w:sz w:val="21"/>
                      <w:szCs w:val="21"/>
                      <w:vertAlign w:val="superscript"/>
                      <w:lang w:val="zh-CN"/>
                    </w:rPr>
                    <w:t>【1】</w:t>
                  </w:r>
                  <w:r>
                    <w:rPr>
                      <w:rFonts w:hint="default" w:ascii="Times New Roman" w:hAnsi="Times New Roman" w:eastAsia="宋体" w:cs="Times New Roman"/>
                      <w:color w:val="auto"/>
                      <w:kern w:val="0"/>
                      <w:sz w:val="21"/>
                      <w:szCs w:val="21"/>
                      <w:lang w:val="en-US" w:eastAsia="zh-CN"/>
                    </w:rPr>
                    <w:t>采用袋式除尘、静电除尘、湿电除尘等高效除尘技术；（2）NOx</w:t>
                  </w:r>
                  <w:r>
                    <w:rPr>
                      <w:rFonts w:hint="default" w:ascii="Times New Roman" w:hAnsi="Times New Roman" w:eastAsia="Times New Roman" w:cs="Times New Roman"/>
                      <w:color w:val="auto"/>
                      <w:sz w:val="21"/>
                      <w:szCs w:val="21"/>
                      <w:vertAlign w:val="superscript"/>
                      <w:lang w:val="zh-CN"/>
                    </w:rPr>
                    <w:t>【</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Times New Roman" w:cs="Times New Roman"/>
                      <w:color w:val="auto"/>
                      <w:sz w:val="21"/>
                      <w:szCs w:val="21"/>
                      <w:vertAlign w:val="superscript"/>
                      <w:lang w:val="zh-CN"/>
                    </w:rPr>
                    <w:t>】</w:t>
                  </w:r>
                  <w:r>
                    <w:rPr>
                      <w:rFonts w:hint="default" w:ascii="Times New Roman" w:hAnsi="Times New Roman" w:eastAsia="宋体" w:cs="Times New Roman"/>
                      <w:color w:val="auto"/>
                      <w:kern w:val="0"/>
                      <w:sz w:val="21"/>
                      <w:szCs w:val="21"/>
                      <w:lang w:val="en-US" w:eastAsia="zh-CN"/>
                    </w:rPr>
                    <w:t>采用低氮燃烧或SNCR/SCR等技术。</w:t>
                  </w:r>
                </w:p>
                <w:p>
                  <w:pPr>
                    <w:keepNext w:val="0"/>
                    <w:keepLines w:val="0"/>
                    <w:pageBreakBefore w:val="0"/>
                    <w:widowControl w:val="0"/>
                    <w:kinsoku/>
                    <w:wordWrap/>
                    <w:overflowPunct/>
                    <w:topLinePunct w:val="0"/>
                    <w:autoSpaceDE w:val="0"/>
                    <w:autoSpaceDN w:val="0"/>
                    <w:bidi w:val="0"/>
                    <w:adjustRightInd w:val="0"/>
                    <w:snapToGrid w:val="0"/>
                    <w:spacing w:line="280" w:lineRule="exact"/>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3.其他工序（非锅炉/炉窑）：PM采用覆膜袋式除尘或其他先进除尘工艺</w:t>
                  </w:r>
                </w:p>
              </w:tc>
              <w:tc>
                <w:tcPr>
                  <w:tcW w:w="1765" w:type="pct"/>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w:t>
                  </w:r>
                  <w:r>
                    <w:rPr>
                      <w:rFonts w:hint="default" w:ascii="Times New Roman" w:hAnsi="Times New Roman" w:cs="Times New Roman"/>
                      <w:color w:val="auto"/>
                      <w:kern w:val="0"/>
                      <w:sz w:val="21"/>
                      <w:szCs w:val="21"/>
                      <w:lang w:val="en-US" w:eastAsia="zh-CN"/>
                    </w:rPr>
                    <w:t>烘烤工序</w:t>
                  </w:r>
                  <w:r>
                    <w:rPr>
                      <w:rFonts w:hint="default" w:ascii="Times New Roman" w:hAnsi="Times New Roman" w:cs="Times New Roman"/>
                      <w:b w:val="0"/>
                      <w:bCs w:val="0"/>
                      <w:color w:val="auto"/>
                      <w:sz w:val="21"/>
                      <w:szCs w:val="21"/>
                      <w:lang w:val="en-US" w:eastAsia="zh-CN"/>
                    </w:rPr>
                    <w:t>（热风炉）</w:t>
                  </w:r>
                  <w:r>
                    <w:rPr>
                      <w:rFonts w:hint="default" w:ascii="Times New Roman" w:hAnsi="Times New Roman" w:eastAsia="宋体" w:cs="Times New Roman"/>
                      <w:b w:val="0"/>
                      <w:bCs/>
                      <w:color w:val="auto"/>
                      <w:kern w:val="0"/>
                      <w:sz w:val="21"/>
                      <w:szCs w:val="21"/>
                      <w:highlight w:val="none"/>
                      <w:u w:val="none"/>
                      <w:lang w:val="en-US" w:eastAsia="zh-CN"/>
                    </w:rPr>
                    <w:t>燃料为</w:t>
                  </w:r>
                  <w:r>
                    <w:rPr>
                      <w:rFonts w:hint="default" w:ascii="Times New Roman" w:hAnsi="Times New Roman" w:cs="Times New Roman"/>
                      <w:b w:val="0"/>
                      <w:bCs/>
                      <w:color w:val="auto"/>
                      <w:kern w:val="0"/>
                      <w:sz w:val="21"/>
                      <w:szCs w:val="21"/>
                      <w:highlight w:val="none"/>
                      <w:u w:val="none"/>
                      <w:lang w:val="en-US" w:eastAsia="zh-CN"/>
                    </w:rPr>
                    <w:t>天然气</w:t>
                  </w:r>
                  <w:r>
                    <w:rPr>
                      <w:rFonts w:hint="default" w:ascii="Times New Roman" w:hAnsi="Times New Roman" w:cs="Times New Roman"/>
                      <w:color w:val="auto"/>
                      <w:kern w:val="0"/>
                      <w:sz w:val="21"/>
                      <w:szCs w:val="21"/>
                      <w:lang w:val="en-US" w:eastAsia="zh-CN"/>
                    </w:rPr>
                    <w:t>会产生一定的废气</w:t>
                  </w:r>
                  <w:r>
                    <w:rPr>
                      <w:rFonts w:hint="default" w:ascii="Times New Roman" w:hAnsi="Times New Roman" w:eastAsia="宋体" w:cs="Times New Roman"/>
                      <w:b w:val="0"/>
                      <w:bCs/>
                      <w:color w:val="auto"/>
                      <w:kern w:val="0"/>
                      <w:sz w:val="21"/>
                      <w:szCs w:val="21"/>
                      <w:highlight w:val="none"/>
                      <w:u w:val="none"/>
                      <w:lang w:val="en-US" w:eastAsia="zh-CN"/>
                    </w:rPr>
                    <w:t>，烟气中</w:t>
                  </w:r>
                  <w:r>
                    <w:rPr>
                      <w:rFonts w:hint="default" w:ascii="Times New Roman" w:hAnsi="Times New Roman" w:eastAsia="Times New Roman" w:cs="Times New Roman"/>
                      <w:color w:val="auto"/>
                      <w:sz w:val="21"/>
                      <w:szCs w:val="21"/>
                      <w:lang w:val="zh-CN"/>
                    </w:rPr>
                    <w:t>PM、</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default" w:ascii="Times New Roman" w:hAnsi="Times New Roman" w:eastAsia="宋体" w:cs="Times New Roman"/>
                      <w:color w:val="auto"/>
                      <w:sz w:val="21"/>
                      <w:szCs w:val="21"/>
                      <w:vertAlign w:val="baseline"/>
                      <w:lang w:val="en-US" w:eastAsia="zh-CN"/>
                    </w:rPr>
                    <w:t>均能够稳定达标排放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排放限值</w:t>
                  </w:r>
                </w:p>
              </w:tc>
              <w:tc>
                <w:tcPr>
                  <w:tcW w:w="2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adjustRightInd w:val="0"/>
                    <w:snapToGrid w:val="0"/>
                    <w:spacing w:line="280" w:lineRule="exact"/>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加热炉、热处理炉、干燥炉：PM、SO</w:t>
                  </w:r>
                  <w:r>
                    <w:rPr>
                      <w:rFonts w:hint="default" w:ascii="Times New Roman" w:hAnsi="Times New Roman" w:eastAsia="宋体" w:cs="Times New Roman"/>
                      <w:color w:val="auto"/>
                      <w:kern w:val="0"/>
                      <w:sz w:val="21"/>
                      <w:szCs w:val="21"/>
                      <w:vertAlign w:val="subscript"/>
                      <w:lang w:val="en-US" w:eastAsia="zh-CN"/>
                    </w:rPr>
                    <w:t>2</w:t>
                  </w:r>
                  <w:r>
                    <w:rPr>
                      <w:rFonts w:hint="default" w:ascii="Times New Roman" w:hAnsi="Times New Roman" w:eastAsia="宋体" w:cs="Times New Roman"/>
                      <w:color w:val="auto"/>
                      <w:kern w:val="0"/>
                      <w:sz w:val="21"/>
                      <w:szCs w:val="21"/>
                      <w:lang w:val="en-US" w:eastAsia="zh-CN"/>
                    </w:rPr>
                    <w:t>、NOx排放浓度分别不高于：燃气：10、35、50mg/m</w:t>
                  </w:r>
                  <w:r>
                    <w:rPr>
                      <w:rFonts w:hint="default" w:ascii="Times New Roman" w:hAnsi="Times New Roman" w:eastAsia="宋体" w:cs="Times New Roman"/>
                      <w:color w:val="auto"/>
                      <w:kern w:val="0"/>
                      <w:sz w:val="21"/>
                      <w:szCs w:val="21"/>
                      <w:vertAlign w:val="superscript"/>
                      <w:lang w:val="en-US" w:eastAsia="zh-CN"/>
                    </w:rPr>
                    <w:t>3</w:t>
                  </w:r>
                </w:p>
                <w:p>
                  <w:pPr>
                    <w:keepNext w:val="0"/>
                    <w:keepLines w:val="0"/>
                    <w:pageBreakBefore w:val="0"/>
                    <w:widowControl/>
                    <w:suppressLineNumbers w:val="0"/>
                    <w:kinsoku/>
                    <w:wordWrap/>
                    <w:overflowPunct/>
                    <w:topLinePunct w:val="0"/>
                    <w:bidi w:val="0"/>
                    <w:adjustRightInd w:val="0"/>
                    <w:snapToGrid w:val="0"/>
                    <w:spacing w:line="280" w:lineRule="exact"/>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（基准含氧量：3.5%）</w:t>
                  </w:r>
                </w:p>
              </w:tc>
              <w:tc>
                <w:tcPr>
                  <w:tcW w:w="1765" w:type="pct"/>
                  <w:tcBorders>
                    <w:left w:val="single" w:color="auto" w:sz="4" w:space="0"/>
                  </w:tcBorders>
                  <w:noWrap w:val="0"/>
                  <w:vAlign w:val="center"/>
                </w:tcPr>
                <w:p>
                  <w:pPr>
                    <w:keepNext w:val="0"/>
                    <w:keepLines w:val="0"/>
                    <w:pageBreakBefore w:val="0"/>
                    <w:widowControl/>
                    <w:suppressLineNumbers w:val="0"/>
                    <w:kinsoku/>
                    <w:wordWrap/>
                    <w:overflowPunct/>
                    <w:topLinePunct w:val="0"/>
                    <w:bidi w:val="0"/>
                    <w:adjustRightInd w:val="0"/>
                    <w:snapToGrid w:val="0"/>
                    <w:spacing w:line="28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w:t>
                  </w:r>
                  <w:r>
                    <w:rPr>
                      <w:rFonts w:hint="default" w:ascii="Times New Roman" w:hAnsi="Times New Roman" w:cs="Times New Roman"/>
                      <w:color w:val="auto"/>
                      <w:kern w:val="0"/>
                      <w:sz w:val="21"/>
                      <w:szCs w:val="21"/>
                      <w:lang w:val="en-US" w:eastAsia="zh-CN"/>
                    </w:rPr>
                    <w:t>烘烤工序</w:t>
                  </w:r>
                  <w:r>
                    <w:rPr>
                      <w:rFonts w:hint="default" w:ascii="Times New Roman" w:hAnsi="Times New Roman" w:cs="Times New Roman"/>
                      <w:b w:val="0"/>
                      <w:bCs w:val="0"/>
                      <w:color w:val="auto"/>
                      <w:sz w:val="21"/>
                      <w:szCs w:val="21"/>
                      <w:lang w:val="en-US" w:eastAsia="zh-CN"/>
                    </w:rPr>
                    <w:t>（热风炉）</w:t>
                  </w:r>
                  <w:r>
                    <w:rPr>
                      <w:rFonts w:hint="default" w:ascii="Times New Roman" w:hAnsi="Times New Roman" w:eastAsia="宋体" w:cs="Times New Roman"/>
                      <w:b w:val="0"/>
                      <w:bCs/>
                      <w:color w:val="auto"/>
                      <w:kern w:val="0"/>
                      <w:sz w:val="21"/>
                      <w:szCs w:val="21"/>
                      <w:highlight w:val="none"/>
                      <w:u w:val="none"/>
                      <w:lang w:val="en-US" w:eastAsia="zh-CN"/>
                    </w:rPr>
                    <w:t>燃料为</w:t>
                  </w:r>
                  <w:r>
                    <w:rPr>
                      <w:rFonts w:hint="default" w:ascii="Times New Roman" w:hAnsi="Times New Roman" w:cs="Times New Roman"/>
                      <w:b w:val="0"/>
                      <w:bCs/>
                      <w:color w:val="auto"/>
                      <w:kern w:val="0"/>
                      <w:sz w:val="21"/>
                      <w:szCs w:val="21"/>
                      <w:highlight w:val="none"/>
                      <w:u w:val="none"/>
                      <w:lang w:val="en-US" w:eastAsia="zh-CN"/>
                    </w:rPr>
                    <w:t>天然气</w:t>
                  </w:r>
                  <w:r>
                    <w:rPr>
                      <w:rFonts w:hint="default" w:ascii="Times New Roman" w:hAnsi="Times New Roman" w:cs="Times New Roman"/>
                      <w:color w:val="auto"/>
                      <w:kern w:val="0"/>
                      <w:sz w:val="21"/>
                      <w:szCs w:val="21"/>
                      <w:lang w:val="en-US" w:eastAsia="zh-CN"/>
                    </w:rPr>
                    <w:t>会产生一定的废气</w:t>
                  </w:r>
                  <w:r>
                    <w:rPr>
                      <w:rFonts w:hint="default" w:ascii="Times New Roman" w:hAnsi="Times New Roman" w:eastAsia="宋体" w:cs="Times New Roman"/>
                      <w:b w:val="0"/>
                      <w:bCs/>
                      <w:color w:val="auto"/>
                      <w:kern w:val="0"/>
                      <w:sz w:val="21"/>
                      <w:szCs w:val="21"/>
                      <w:highlight w:val="none"/>
                      <w:u w:val="none"/>
                      <w:lang w:val="en-US" w:eastAsia="zh-CN"/>
                    </w:rPr>
                    <w:t>，</w:t>
                  </w:r>
                  <w:r>
                    <w:rPr>
                      <w:rFonts w:hint="default" w:ascii="Times New Roman" w:hAnsi="Times New Roman" w:eastAsia="宋体" w:cs="Times New Roman"/>
                      <w:color w:val="auto"/>
                      <w:kern w:val="0"/>
                      <w:sz w:val="21"/>
                      <w:szCs w:val="21"/>
                      <w:lang w:val="en-US" w:eastAsia="zh-CN"/>
                    </w:rPr>
                    <w:t>PM、SO</w:t>
                  </w:r>
                  <w:r>
                    <w:rPr>
                      <w:rFonts w:hint="default" w:ascii="Times New Roman" w:hAnsi="Times New Roman" w:eastAsia="宋体" w:cs="Times New Roman"/>
                      <w:color w:val="auto"/>
                      <w:kern w:val="0"/>
                      <w:sz w:val="21"/>
                      <w:szCs w:val="21"/>
                      <w:vertAlign w:val="subscript"/>
                      <w:lang w:val="en-US" w:eastAsia="zh-CN"/>
                    </w:rPr>
                    <w:t>2</w:t>
                  </w:r>
                  <w:r>
                    <w:rPr>
                      <w:rFonts w:hint="default" w:ascii="Times New Roman" w:hAnsi="Times New Roman" w:eastAsia="宋体" w:cs="Times New Roman"/>
                      <w:color w:val="auto"/>
                      <w:kern w:val="0"/>
                      <w:sz w:val="21"/>
                      <w:szCs w:val="21"/>
                      <w:lang w:val="en-US" w:eastAsia="zh-CN"/>
                    </w:rPr>
                    <w:t>、NO</w:t>
                  </w:r>
                  <w:r>
                    <w:rPr>
                      <w:rFonts w:hint="default" w:ascii="Times New Roman" w:hAnsi="Times New Roman" w:eastAsia="宋体" w:cs="Times New Roman"/>
                      <w:color w:val="auto"/>
                      <w:kern w:val="0"/>
                      <w:sz w:val="21"/>
                      <w:szCs w:val="21"/>
                      <w:vertAlign w:val="subscript"/>
                      <w:lang w:val="en-US" w:eastAsia="zh-CN"/>
                    </w:rPr>
                    <w:t>x</w:t>
                  </w:r>
                  <w:r>
                    <w:rPr>
                      <w:rFonts w:hint="default" w:ascii="Times New Roman" w:hAnsi="Times New Roman" w:eastAsia="宋体" w:cs="Times New Roman"/>
                      <w:color w:val="auto"/>
                      <w:kern w:val="0"/>
                      <w:sz w:val="21"/>
                      <w:szCs w:val="21"/>
                      <w:lang w:val="en-US" w:eastAsia="zh-CN"/>
                    </w:rPr>
                    <w:t>排放浓度分别不高于10、35、50mg/m</w:t>
                  </w:r>
                  <w:r>
                    <w:rPr>
                      <w:rFonts w:hint="default" w:ascii="Times New Roman" w:hAnsi="Times New Roman" w:eastAsia="宋体" w:cs="Times New Roman"/>
                      <w:color w:val="auto"/>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both"/>
                    <w:textAlignment w:val="auto"/>
                    <w:rPr>
                      <w:rFonts w:hint="default" w:ascii="Times New Roman" w:hAnsi="Times New Roman" w:cs="Times New Roman"/>
                      <w:color w:val="auto"/>
                      <w:kern w:val="0"/>
                      <w:sz w:val="21"/>
                      <w:szCs w:val="21"/>
                      <w:lang w:val="en-US" w:eastAsia="zh-CN"/>
                    </w:rPr>
                  </w:pPr>
                </w:p>
              </w:tc>
              <w:tc>
                <w:tcPr>
                  <w:tcW w:w="2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adjustRightInd w:val="0"/>
                    <w:snapToGrid w:val="0"/>
                    <w:spacing w:line="280" w:lineRule="exact"/>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其他工序：</w:t>
                  </w:r>
                  <w:r>
                    <w:rPr>
                      <w:rFonts w:hint="default" w:ascii="Times New Roman" w:hAnsi="Times New Roman" w:eastAsia="宋体" w:cs="Times New Roman"/>
                      <w:color w:val="auto"/>
                      <w:kern w:val="0"/>
                      <w:sz w:val="21"/>
                      <w:szCs w:val="21"/>
                      <w:lang w:val="en-US" w:eastAsia="zh-CN"/>
                    </w:rPr>
                    <w:t>PM排放浓度不高于10mg/m</w:t>
                  </w:r>
                  <w:r>
                    <w:rPr>
                      <w:rFonts w:hint="default" w:ascii="Times New Roman" w:hAnsi="Times New Roman" w:eastAsia="宋体" w:cs="Times New Roman"/>
                      <w:color w:val="auto"/>
                      <w:kern w:val="0"/>
                      <w:sz w:val="21"/>
                      <w:szCs w:val="21"/>
                      <w:vertAlign w:val="superscript"/>
                      <w:lang w:val="en-US" w:eastAsia="zh-CN"/>
                    </w:rPr>
                    <w:t>3</w:t>
                  </w:r>
                </w:p>
              </w:tc>
              <w:tc>
                <w:tcPr>
                  <w:tcW w:w="1765" w:type="pct"/>
                  <w:tcBorders>
                    <w:left w:val="single" w:color="auto" w:sz="4" w:space="0"/>
                  </w:tcBorders>
                  <w:noWrap w:val="0"/>
                  <w:vAlign w:val="center"/>
                </w:tcPr>
                <w:p>
                  <w:pPr>
                    <w:keepNext w:val="0"/>
                    <w:keepLines w:val="0"/>
                    <w:pageBreakBefore w:val="0"/>
                    <w:widowControl/>
                    <w:suppressLineNumbers w:val="0"/>
                    <w:kinsoku/>
                    <w:wordWrap/>
                    <w:overflowPunct/>
                    <w:topLinePunct w:val="0"/>
                    <w:bidi w:val="0"/>
                    <w:adjustRightInd w:val="0"/>
                    <w:snapToGrid w:val="0"/>
                    <w:spacing w:line="28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w:t>
                  </w:r>
                  <w:r>
                    <w:rPr>
                      <w:rFonts w:hint="default" w:ascii="Times New Roman" w:hAnsi="Times New Roman" w:eastAsia="宋体" w:cs="Times New Roman"/>
                      <w:color w:val="auto"/>
                      <w:kern w:val="0"/>
                      <w:sz w:val="21"/>
                      <w:szCs w:val="21"/>
                      <w:lang w:val="en-US" w:eastAsia="zh-CN" w:bidi="ar"/>
                    </w:rPr>
                    <w:t>其他工序</w:t>
                  </w:r>
                  <w:r>
                    <w:rPr>
                      <w:rFonts w:hint="default" w:ascii="Times New Roman" w:hAnsi="Times New Roman" w:eastAsia="宋体" w:cs="Times New Roman"/>
                      <w:color w:val="auto"/>
                      <w:kern w:val="0"/>
                      <w:sz w:val="21"/>
                      <w:szCs w:val="21"/>
                      <w:lang w:val="en-US" w:eastAsia="zh-CN"/>
                    </w:rPr>
                    <w:t>PM排放浓度不高于10mg/m</w:t>
                  </w:r>
                  <w:r>
                    <w:rPr>
                      <w:rFonts w:hint="default" w:ascii="Times New Roman" w:hAnsi="Times New Roman" w:eastAsia="宋体" w:cs="Times New Roman"/>
                      <w:color w:val="auto"/>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监测监控水平</w:t>
                  </w:r>
                </w:p>
              </w:tc>
              <w:tc>
                <w:tcPr>
                  <w:tcW w:w="2692"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adjustRightInd w:val="0"/>
                    <w:snapToGrid w:val="0"/>
                    <w:spacing w:line="280" w:lineRule="exact"/>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重点排污企业主要排放口</w:t>
                  </w:r>
                  <w:r>
                    <w:rPr>
                      <w:rFonts w:hint="default" w:ascii="Times New Roman" w:hAnsi="Times New Roman" w:eastAsia="Times New Roman" w:cs="Times New Roman"/>
                      <w:color w:val="auto"/>
                      <w:sz w:val="21"/>
                      <w:szCs w:val="21"/>
                      <w:vertAlign w:val="superscript"/>
                      <w:lang w:val="zh-CN"/>
                    </w:rPr>
                    <w:t>【</w:t>
                  </w:r>
                  <w:r>
                    <w:rPr>
                      <w:rFonts w:hint="default" w:ascii="Times New Roman" w:hAnsi="Times New Roman" w:eastAsia="宋体" w:cs="Times New Roman"/>
                      <w:color w:val="auto"/>
                      <w:sz w:val="21"/>
                      <w:szCs w:val="21"/>
                      <w:vertAlign w:val="superscript"/>
                      <w:lang w:val="en-US" w:eastAsia="zh-CN"/>
                    </w:rPr>
                    <w:t>6</w:t>
                  </w:r>
                  <w:r>
                    <w:rPr>
                      <w:rFonts w:hint="default" w:ascii="Times New Roman" w:hAnsi="Times New Roman" w:eastAsia="Times New Roman" w:cs="Times New Roman"/>
                      <w:color w:val="auto"/>
                      <w:sz w:val="21"/>
                      <w:szCs w:val="21"/>
                      <w:vertAlign w:val="superscript"/>
                      <w:lang w:val="zh-CN"/>
                    </w:rPr>
                    <w:t>】</w:t>
                  </w:r>
                  <w:r>
                    <w:rPr>
                      <w:rFonts w:hint="default" w:ascii="Times New Roman" w:hAnsi="Times New Roman" w:eastAsia="宋体" w:cs="Times New Roman"/>
                      <w:color w:val="auto"/>
                      <w:kern w:val="0"/>
                      <w:sz w:val="21"/>
                      <w:szCs w:val="21"/>
                      <w:lang w:val="en-US" w:eastAsia="zh-CN" w:bidi="ar"/>
                    </w:rPr>
                    <w:t>安装CEMS，记录生产设施运行情况，数据保存一年以上。</w:t>
                  </w:r>
                </w:p>
              </w:tc>
              <w:tc>
                <w:tcPr>
                  <w:tcW w:w="1765" w:type="pct"/>
                  <w:tcBorders>
                    <w:left w:val="single" w:color="auto" w:sz="4" w:space="0"/>
                  </w:tcBorders>
                  <w:noWrap w:val="0"/>
                  <w:vAlign w:val="center"/>
                </w:tcPr>
                <w:p>
                  <w:pPr>
                    <w:keepNext w:val="0"/>
                    <w:keepLines w:val="0"/>
                    <w:pageBreakBefore w:val="0"/>
                    <w:widowControl/>
                    <w:suppressLineNumbers w:val="0"/>
                    <w:kinsoku/>
                    <w:wordWrap/>
                    <w:overflowPunct/>
                    <w:topLinePunct w:val="0"/>
                    <w:bidi w:val="0"/>
                    <w:adjustRightInd w:val="0"/>
                    <w:snapToGrid w:val="0"/>
                    <w:spacing w:line="28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企业运营期将按相关要求执行</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w:t>
            </w:r>
            <w:r>
              <w:rPr>
                <w:rFonts w:hint="default" w:ascii="Times New Roman" w:hAnsi="Times New Roman" w:cs="Times New Roman"/>
                <w:b/>
                <w:bCs/>
                <w:color w:val="auto"/>
                <w:sz w:val="24"/>
                <w:lang w:val="en-US" w:eastAsia="zh-CN"/>
              </w:rPr>
              <w:t>7</w:t>
            </w:r>
            <w:r>
              <w:rPr>
                <w:rFonts w:hint="default" w:ascii="Times New Roman" w:hAnsi="Times New Roman" w:eastAsia="宋体" w:cs="Times New Roman"/>
                <w:b/>
                <w:bCs/>
                <w:color w:val="auto"/>
                <w:sz w:val="24"/>
                <w:lang w:val="en-US" w:eastAsia="zh-CN"/>
              </w:rPr>
              <w:t>）与相关环保文件相符性分析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项目与相关环保文件相符性分析一览表</w:t>
            </w:r>
            <w:r>
              <w:rPr>
                <w:rFonts w:hint="default" w:ascii="Times New Roman" w:hAnsi="Times New Roman" w:eastAsia="宋体" w:cs="Times New Roman"/>
                <w:sz w:val="24"/>
                <w:lang w:val="en-US" w:eastAsia="zh-CN"/>
              </w:rPr>
              <w:t>具体见表1-</w:t>
            </w:r>
            <w:r>
              <w:rPr>
                <w:rFonts w:hint="default" w:ascii="Times New Roman" w:hAnsi="Times New Roman" w:cs="Times New Roman"/>
                <w:sz w:val="24"/>
                <w:lang w:val="en-US" w:eastAsia="zh-CN"/>
              </w:rPr>
              <w:t>5</w:t>
            </w:r>
            <w:r>
              <w:rPr>
                <w:rFonts w:hint="default" w:ascii="Times New Roman" w:hAnsi="Times New Roman" w:eastAsia="宋体" w:cs="Times New Roman"/>
                <w:sz w:val="24"/>
                <w:lang w:val="en-US" w:eastAsia="zh-CN"/>
              </w:rPr>
              <w:t>。</w:t>
            </w:r>
          </w:p>
          <w:p>
            <w:pPr>
              <w:spacing w:line="240" w:lineRule="auto"/>
              <w:jc w:val="center"/>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表1-</w:t>
            </w:r>
            <w:r>
              <w:rPr>
                <w:rFonts w:hint="default" w:ascii="Times New Roman" w:hAnsi="Times New Roman" w:cs="Times New Roman"/>
                <w:b/>
                <w:bCs/>
                <w:color w:val="auto"/>
                <w:sz w:val="24"/>
                <w:u w:val="none"/>
                <w:lang w:val="en-US" w:eastAsia="zh-CN"/>
              </w:rPr>
              <w:t>5</w:t>
            </w:r>
            <w:r>
              <w:rPr>
                <w:rFonts w:hint="default" w:ascii="Times New Roman" w:hAnsi="Times New Roman" w:eastAsia="宋体" w:cs="Times New Roman"/>
                <w:b/>
                <w:bCs/>
                <w:color w:val="auto"/>
                <w:sz w:val="24"/>
                <w:u w:val="none"/>
                <w:lang w:val="en-US" w:eastAsia="zh-CN"/>
              </w:rPr>
              <w:t>项目与相关环保文件相符性分析一览表</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8"/>
              <w:gridCol w:w="705"/>
              <w:gridCol w:w="3825"/>
              <w:gridCol w:w="1950"/>
              <w:gridCol w:w="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897" w:type="pct"/>
                  <w:gridSpan w:val="2"/>
                  <w:noWrap w:val="0"/>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项目</w:t>
                  </w:r>
                </w:p>
              </w:tc>
              <w:tc>
                <w:tcPr>
                  <w:tcW w:w="2412" w:type="pct"/>
                  <w:noWrap w:val="0"/>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相关要求</w:t>
                  </w:r>
                </w:p>
              </w:tc>
              <w:tc>
                <w:tcPr>
                  <w:tcW w:w="1230" w:type="pct"/>
                  <w:noWrap w:val="0"/>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本项目情况</w:t>
                  </w:r>
                </w:p>
              </w:tc>
              <w:tc>
                <w:tcPr>
                  <w:tcW w:w="459" w:type="pct"/>
                  <w:tcBorders>
                    <w:right w:val="single" w:color="auto" w:sz="4" w:space="0"/>
                  </w:tcBorders>
                  <w:noWrap w:val="0"/>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897" w:type="pct"/>
                  <w:gridSpan w:val="2"/>
                  <w:vMerge w:val="restart"/>
                  <w:noWrap w:val="0"/>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《河南省生态环境保护委员会办公室关于印发《河南省2023年蓝天保卫战实施方案》的通知》</w:t>
                  </w:r>
                  <w:r>
                    <w:rPr>
                      <w:rFonts w:hint="default" w:ascii="Times New Roman" w:hAnsi="Times New Roman" w:cs="Times New Roman"/>
                      <w:b w:val="0"/>
                      <w:bCs w:val="0"/>
                      <w:color w:val="000000"/>
                      <w:sz w:val="21"/>
                      <w:szCs w:val="21"/>
                    </w:rPr>
                    <w:t>（</w:t>
                  </w:r>
                  <w:r>
                    <w:rPr>
                      <w:rFonts w:hint="default" w:ascii="Times New Roman" w:hAnsi="Times New Roman" w:cs="Times New Roman"/>
                      <w:b w:val="0"/>
                      <w:bCs w:val="0"/>
                      <w:color w:val="000000"/>
                      <w:sz w:val="21"/>
                      <w:szCs w:val="21"/>
                      <w:lang w:val="en-US" w:eastAsia="zh-CN"/>
                    </w:rPr>
                    <w:t>豫</w:t>
                  </w:r>
                  <w:r>
                    <w:rPr>
                      <w:rFonts w:hint="default" w:ascii="Times New Roman" w:hAnsi="Times New Roman" w:cs="Times New Roman"/>
                      <w:b w:val="0"/>
                      <w:bCs w:val="0"/>
                      <w:color w:val="000000"/>
                      <w:sz w:val="21"/>
                      <w:szCs w:val="21"/>
                    </w:rPr>
                    <w:t>环委办</w:t>
                  </w:r>
                  <w:r>
                    <w:rPr>
                      <w:rFonts w:hint="default" w:ascii="Times New Roman" w:hAnsi="Times New Roman" w:eastAsia="宋体" w:cs="Times New Roman"/>
                      <w:b w:val="0"/>
                      <w:bCs w:val="0"/>
                      <w:color w:val="000000"/>
                      <w:sz w:val="21"/>
                      <w:szCs w:val="21"/>
                      <w:lang w:eastAsia="zh-CN"/>
                    </w:rPr>
                    <w:t>〔</w:t>
                  </w:r>
                  <w:r>
                    <w:rPr>
                      <w:rFonts w:hint="default" w:ascii="Times New Roman" w:hAnsi="Times New Roman" w:cs="Times New Roman"/>
                      <w:b w:val="0"/>
                      <w:bCs w:val="0"/>
                      <w:color w:val="000000"/>
                      <w:sz w:val="21"/>
                      <w:szCs w:val="21"/>
                    </w:rPr>
                    <w:t>202</w:t>
                  </w:r>
                  <w:r>
                    <w:rPr>
                      <w:rFonts w:hint="default" w:ascii="Times New Roman" w:hAnsi="Times New Roman" w:cs="Times New Roman"/>
                      <w:b w:val="0"/>
                      <w:bCs w:val="0"/>
                      <w:color w:val="000000"/>
                      <w:sz w:val="21"/>
                      <w:szCs w:val="21"/>
                      <w:lang w:val="en-US" w:eastAsia="zh-CN"/>
                    </w:rPr>
                    <w:t>3</w:t>
                  </w:r>
                  <w:r>
                    <w:rPr>
                      <w:rFonts w:hint="default" w:ascii="Times New Roman" w:hAnsi="Times New Roman" w:eastAsia="宋体" w:cs="Times New Roman"/>
                      <w:b w:val="0"/>
                      <w:bCs w:val="0"/>
                      <w:color w:val="000000"/>
                      <w:sz w:val="21"/>
                      <w:szCs w:val="21"/>
                      <w:lang w:eastAsia="zh-CN"/>
                    </w:rPr>
                    <w:t>〕</w:t>
                  </w:r>
                  <w:r>
                    <w:rPr>
                      <w:rFonts w:hint="default" w:ascii="Times New Roman" w:hAnsi="Times New Roman" w:cs="Times New Roman"/>
                      <w:b w:val="0"/>
                      <w:bCs w:val="0"/>
                      <w:color w:val="000000"/>
                      <w:sz w:val="21"/>
                      <w:szCs w:val="21"/>
                      <w:lang w:val="en-US" w:eastAsia="zh-CN"/>
                    </w:rPr>
                    <w:t>4号）</w:t>
                  </w:r>
                </w:p>
              </w:tc>
              <w:tc>
                <w:tcPr>
                  <w:tcW w:w="2412" w:type="pct"/>
                  <w:noWrap w:val="0"/>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5.实施工业炉窑清洁能源替代。在钢铁、建材、有色、石化化工、铸造等重点行业及其他行业加热、</w:t>
                  </w:r>
                  <w:r>
                    <w:rPr>
                      <w:rFonts w:hint="default" w:ascii="Times New Roman" w:hAnsi="Times New Roman" w:cs="Times New Roman"/>
                      <w:b w:val="0"/>
                      <w:bCs w:val="0"/>
                      <w:color w:val="000000"/>
                      <w:sz w:val="21"/>
                      <w:szCs w:val="21"/>
                      <w:lang w:eastAsia="zh-CN"/>
                    </w:rPr>
                    <w:t>烘烤</w:t>
                  </w:r>
                  <w:r>
                    <w:rPr>
                      <w:rFonts w:hint="default" w:ascii="Times New Roman" w:hAnsi="Times New Roman" w:cs="Times New Roman"/>
                      <w:b w:val="0"/>
                      <w:bCs w:val="0"/>
                      <w:color w:val="000000"/>
                      <w:sz w:val="21"/>
                      <w:szCs w:val="21"/>
                    </w:rPr>
                    <w:t>、蒸汽供应等环节，加快淘汰不达标的燃煤锅炉和以煤、石油焦、渣油、重油等为燃料的加热炉、热处理炉、干燥炉等炉窑，实施清洁低碳能源或利用工厂余热、集中供热等进行替代；推进陶瓷、氧化铝等行业分散建设的燃料类煤气发生炉采用清洁能源替代，或者采取</w:t>
                  </w:r>
                  <w:r>
                    <w:rPr>
                      <w:rFonts w:hint="default" w:ascii="Times New Roman" w:hAnsi="Times New Roman" w:cs="Times New Roman"/>
                      <w:b w:val="0"/>
                      <w:bCs w:val="0"/>
                      <w:color w:val="000000"/>
                      <w:sz w:val="21"/>
                      <w:szCs w:val="21"/>
                      <w:lang w:eastAsia="zh-CN"/>
                    </w:rPr>
                    <w:t>集聚区</w:t>
                  </w:r>
                  <w:r>
                    <w:rPr>
                      <w:rFonts w:hint="default" w:ascii="Times New Roman" w:hAnsi="Times New Roman" w:cs="Times New Roman"/>
                      <w:b w:val="0"/>
                      <w:bCs w:val="0"/>
                      <w:color w:val="000000"/>
                      <w:sz w:val="21"/>
                      <w:szCs w:val="21"/>
                    </w:rPr>
                    <w:t>（集群）集中供气供热、分散使用的方式</w:t>
                  </w:r>
                </w:p>
              </w:tc>
              <w:tc>
                <w:tcPr>
                  <w:tcW w:w="1230" w:type="pct"/>
                  <w:noWrap w:val="0"/>
                  <w:vAlign w:val="center"/>
                </w:tcPr>
                <w:p>
                  <w:pPr>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本项目烘烤工序</w:t>
                  </w:r>
                  <w:r>
                    <w:rPr>
                      <w:rFonts w:hint="default" w:ascii="Times New Roman" w:hAnsi="Times New Roman" w:eastAsia="宋体" w:cs="Times New Roman"/>
                      <w:b w:val="0"/>
                      <w:bCs/>
                      <w:color w:val="auto"/>
                      <w:kern w:val="0"/>
                      <w:sz w:val="21"/>
                      <w:szCs w:val="21"/>
                      <w:highlight w:val="none"/>
                      <w:u w:val="none"/>
                      <w:lang w:val="en-US" w:eastAsia="zh-CN"/>
                    </w:rPr>
                    <w:t>燃料为</w:t>
                  </w:r>
                  <w:r>
                    <w:rPr>
                      <w:rFonts w:hint="default" w:ascii="Times New Roman" w:hAnsi="Times New Roman" w:cs="Times New Roman"/>
                      <w:b w:val="0"/>
                      <w:bCs/>
                      <w:color w:val="auto"/>
                      <w:kern w:val="0"/>
                      <w:sz w:val="21"/>
                      <w:szCs w:val="21"/>
                      <w:highlight w:val="none"/>
                      <w:u w:val="none"/>
                      <w:lang w:val="en-US" w:eastAsia="zh-CN"/>
                    </w:rPr>
                    <w:t>天然气</w:t>
                  </w:r>
                  <w:r>
                    <w:rPr>
                      <w:rFonts w:hint="eastAsia" w:ascii="Times New Roman" w:hAnsi="Times New Roman" w:cs="Times New Roman"/>
                      <w:b w:val="0"/>
                      <w:bCs/>
                      <w:color w:val="auto"/>
                      <w:kern w:val="0"/>
                      <w:sz w:val="21"/>
                      <w:szCs w:val="21"/>
                      <w:highlight w:val="none"/>
                      <w:u w:val="none"/>
                      <w:lang w:val="en-US" w:eastAsia="zh-CN"/>
                    </w:rPr>
                    <w:t>，</w:t>
                  </w:r>
                  <w:r>
                    <w:rPr>
                      <w:rFonts w:hint="default" w:ascii="Times New Roman" w:hAnsi="Times New Roman" w:cs="Times New Roman"/>
                      <w:b w:val="0"/>
                      <w:bCs/>
                      <w:color w:val="auto"/>
                      <w:kern w:val="0"/>
                      <w:sz w:val="21"/>
                      <w:szCs w:val="21"/>
                      <w:highlight w:val="none"/>
                      <w:u w:val="none"/>
                      <w:lang w:val="en-US" w:eastAsia="zh-CN"/>
                    </w:rPr>
                    <w:t>属于清洁能源，符合</w:t>
                  </w:r>
                  <w:r>
                    <w:rPr>
                      <w:rFonts w:hint="default" w:ascii="Times New Roman" w:hAnsi="Times New Roman" w:cs="Times New Roman"/>
                      <w:b w:val="0"/>
                      <w:bCs w:val="0"/>
                      <w:color w:val="000000"/>
                      <w:sz w:val="21"/>
                      <w:szCs w:val="21"/>
                    </w:rPr>
                    <w:t>清洁低碳能源</w:t>
                  </w:r>
                  <w:r>
                    <w:rPr>
                      <w:rFonts w:hint="default" w:ascii="Times New Roman" w:hAnsi="Times New Roman" w:cs="Times New Roman"/>
                      <w:b w:val="0"/>
                      <w:bCs w:val="0"/>
                      <w:color w:val="000000"/>
                      <w:sz w:val="21"/>
                      <w:szCs w:val="21"/>
                      <w:lang w:val="en-US" w:eastAsia="zh-CN"/>
                    </w:rPr>
                    <w:t>替代相关要求</w:t>
                  </w:r>
                </w:p>
              </w:tc>
              <w:tc>
                <w:tcPr>
                  <w:tcW w:w="459" w:type="pct"/>
                  <w:tcBorders>
                    <w:right w:val="single" w:color="auto" w:sz="4" w:space="0"/>
                  </w:tcBorders>
                  <w:noWrap w:val="0"/>
                  <w:vAlign w:val="center"/>
                </w:tcPr>
                <w:p>
                  <w:pPr>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897" w:type="pct"/>
                  <w:gridSpan w:val="2"/>
                  <w:vMerge w:val="continue"/>
                  <w:noWrap w:val="0"/>
                  <w:vAlign w:val="center"/>
                </w:tcPr>
                <w:p>
                  <w:pPr>
                    <w:jc w:val="center"/>
                    <w:rPr>
                      <w:rFonts w:hint="default" w:ascii="Times New Roman" w:hAnsi="Times New Roman" w:cs="Times New Roman"/>
                      <w:b w:val="0"/>
                      <w:bCs w:val="0"/>
                      <w:color w:val="000000"/>
                      <w:sz w:val="21"/>
                      <w:szCs w:val="21"/>
                      <w:lang w:val="en-US" w:eastAsia="zh-CN"/>
                    </w:rPr>
                  </w:pPr>
                </w:p>
              </w:tc>
              <w:tc>
                <w:tcPr>
                  <w:tcW w:w="2412" w:type="pct"/>
                  <w:noWrap w:val="0"/>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22.推进低VOCs含量原辅材料源头替代。按照“可替尽替、应代尽代”的原则，开展汽车制造、工业涂装、家具制造、包装印刷、钢结构制造、工程机械等行业溶剂型涂料、油墨、胶粘剂、清洗剂使用低VOCs含量原辅材料替代，明确治理任务，动态更新清单台账。汽车整车制造行业大力提升底漆、中涂、色漆低VOCs含量涂料使用比例；房屋建筑和市政工程全面推广使用低VOCs含量涂料和胶粘剂，除特殊功能要求外，室内地坪施工、室外构筑物防护和城市道路交通标志基本使用低VOCs含量涂料。城市建成区严格控制生产和使用溶剂型涂料、油墨、胶粘剂、清洗剂等建设项目。</w:t>
                  </w:r>
                </w:p>
              </w:tc>
              <w:tc>
                <w:tcPr>
                  <w:tcW w:w="1230" w:type="pct"/>
                  <w:vMerge w:val="restart"/>
                  <w:noWrap w:val="0"/>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eastAsia="宋体" w:cs="Times New Roman"/>
                      <w:b w:val="0"/>
                      <w:bCs/>
                      <w:color w:val="auto"/>
                      <w:kern w:val="0"/>
                      <w:sz w:val="21"/>
                      <w:szCs w:val="21"/>
                      <w:highlight w:val="none"/>
                      <w:u w:val="none"/>
                      <w:lang w:val="en-US" w:eastAsia="zh-CN"/>
                    </w:rPr>
                    <w:t>项目不使用漆、溶剂型涂料、水性涂料等，项目使用粉末涂料，</w:t>
                  </w:r>
                  <w:r>
                    <w:rPr>
                      <w:rFonts w:hint="default" w:ascii="Times New Roman" w:hAnsi="Times New Roman" w:cs="Times New Roman"/>
                      <w:b w:val="0"/>
                      <w:bCs/>
                      <w:color w:val="auto"/>
                      <w:kern w:val="0"/>
                      <w:sz w:val="21"/>
                      <w:szCs w:val="21"/>
                      <w:highlight w:val="none"/>
                      <w:u w:val="none"/>
                      <w:lang w:val="en-US" w:eastAsia="zh-CN"/>
                    </w:rPr>
                    <w:t>项目</w:t>
                  </w:r>
                  <w:r>
                    <w:rPr>
                      <w:rFonts w:hint="default" w:ascii="Times New Roman" w:hAnsi="Times New Roman" w:cs="Times New Roman"/>
                      <w:b w:val="0"/>
                      <w:bCs w:val="0"/>
                      <w:color w:val="auto"/>
                      <w:sz w:val="21"/>
                      <w:szCs w:val="21"/>
                    </w:rPr>
                    <w:t>所用的VOCs含量低，且密封暂存；</w:t>
                  </w:r>
                  <w:r>
                    <w:rPr>
                      <w:rFonts w:hint="default" w:ascii="Times New Roman" w:hAnsi="Times New Roman" w:cs="Times New Roman"/>
                      <w:b w:val="0"/>
                      <w:bCs w:val="0"/>
                      <w:color w:val="auto"/>
                      <w:sz w:val="21"/>
                      <w:szCs w:val="21"/>
                      <w:lang w:val="en-US" w:eastAsia="zh-CN"/>
                    </w:rPr>
                    <w:t>烘烤</w:t>
                  </w:r>
                  <w:r>
                    <w:rPr>
                      <w:rFonts w:hint="default" w:ascii="Times New Roman" w:hAnsi="Times New Roman" w:cs="Times New Roman"/>
                      <w:b w:val="0"/>
                      <w:bCs w:val="0"/>
                      <w:color w:val="auto"/>
                      <w:sz w:val="21"/>
                      <w:szCs w:val="21"/>
                    </w:rPr>
                    <w:t>工序上方安装集气罩，晾干区全封闭，收集的废气经1套“UV光催化氧化+活性炭吸附”装置处理后通过1根15m排气筒</w:t>
                  </w:r>
                  <w:r>
                    <w:rPr>
                      <w:rFonts w:hint="eastAsia" w:ascii="Times New Roman" w:hAnsi="Times New Roman" w:cs="Times New Roman"/>
                      <w:b w:val="0"/>
                      <w:bCs w:val="0"/>
                      <w:color w:val="auto"/>
                      <w:sz w:val="21"/>
                      <w:szCs w:val="21"/>
                      <w:lang w:val="en-US" w:eastAsia="zh-CN"/>
                    </w:rPr>
                    <w:t>P2</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DA002</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排放</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color w:val="auto"/>
                      <w:kern w:val="0"/>
                      <w:sz w:val="21"/>
                      <w:szCs w:val="21"/>
                      <w:u w:val="none"/>
                      <w:lang w:val="en-US" w:eastAsia="zh-CN"/>
                    </w:rPr>
                    <w:t>其中活性炭吸附工艺需满足以下要求：</w:t>
                  </w:r>
                  <w:r>
                    <w:rPr>
                      <w:rFonts w:hint="default" w:ascii="Times New Roman" w:hAnsi="Times New Roman" w:eastAsia="宋体" w:cs="Times New Roman"/>
                      <w:b w:val="0"/>
                      <w:bCs/>
                      <w:color w:val="auto"/>
                      <w:sz w:val="21"/>
                      <w:szCs w:val="21"/>
                      <w:u w:val="none"/>
                      <w:vertAlign w:val="baseline"/>
                      <w:lang w:val="en-US" w:eastAsia="zh-CN"/>
                    </w:rPr>
                    <w:t>颗粒状、柱状活性炭碘值不低于800毫克/克，蜂窝状活性炭碘值不低于650毫克/克</w:t>
                  </w:r>
                  <w:r>
                    <w:rPr>
                      <w:rFonts w:hint="default" w:ascii="Times New Roman" w:hAnsi="Times New Roman" w:cs="Times New Roman"/>
                      <w:b w:val="0"/>
                      <w:bCs w:val="0"/>
                      <w:color w:val="auto"/>
                      <w:sz w:val="21"/>
                      <w:szCs w:val="21"/>
                    </w:rPr>
                    <w:t>。项目运营后根据要求记录活性炭更换频次、更换量、更换时间、废活性炭暂存转运情况、活性炭购买发票、活性炭碘值等。项目满足《河南省生态环境保护委员会办公室关于印发《河南省2023年蓝天保卫战实施方案》的通知》（豫环委办</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2023</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4号）中的相关规定。</w:t>
                  </w:r>
                </w:p>
              </w:tc>
              <w:tc>
                <w:tcPr>
                  <w:tcW w:w="459" w:type="pct"/>
                  <w:vMerge w:val="restart"/>
                  <w:tcBorders>
                    <w:right w:val="single" w:color="auto" w:sz="4" w:space="0"/>
                  </w:tcBorders>
                  <w:noWrap w:val="0"/>
                  <w:vAlign w:val="center"/>
                </w:tcPr>
                <w:p>
                  <w:pPr>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897" w:type="pct"/>
                  <w:gridSpan w:val="2"/>
                  <w:vMerge w:val="continue"/>
                  <w:noWrap w:val="0"/>
                  <w:vAlign w:val="center"/>
                </w:tcPr>
                <w:p>
                  <w:pPr>
                    <w:jc w:val="center"/>
                    <w:rPr>
                      <w:rFonts w:hint="default" w:ascii="Times New Roman" w:hAnsi="Times New Roman" w:cs="Times New Roman"/>
                      <w:b w:val="0"/>
                      <w:bCs w:val="0"/>
                      <w:color w:val="000000"/>
                      <w:sz w:val="21"/>
                      <w:szCs w:val="21"/>
                      <w:lang w:val="en-US" w:eastAsia="zh-CN"/>
                    </w:rPr>
                  </w:pPr>
                </w:p>
              </w:tc>
              <w:tc>
                <w:tcPr>
                  <w:tcW w:w="2412" w:type="pct"/>
                  <w:noWrap w:val="0"/>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23.持续加大无组织排放整治力度。2023年5月底前，排查含VOCs物料储存、转移和输送、设备与管线组件泄漏、敞开液面逸散以及工艺过程等五类排放源，在保证安全生产前提下，督促企业通过采取设备与场所密闭、工艺改进、废气有效收集等措施，对VOCs无组织排放废气进行综合治理，将需要集气罩收集无组织排放的集气流速测量监控纳入日常管理工作中监督落实；按要求对气态、液态VOCs物料的设备与管线组件密封点大于等于1000个的企业开展泄漏检测与修复工作；焦化行业使用红外热成像仪、火焰离子化检测仪（FID）等设备定期对酚氰废水处理池密闭设施、煤气管线及焦炉等装置进行巡检修护，防止逸散泄漏；产生含挥发性有机物废水的企业，采取密闭管道等措施逐步替代地漏、沟、渠、井等敞开式集输方式，减少挥发性有机物无组织排放</w:t>
                  </w:r>
                </w:p>
              </w:tc>
              <w:tc>
                <w:tcPr>
                  <w:tcW w:w="1230" w:type="pct"/>
                  <w:vMerge w:val="continue"/>
                  <w:noWrap w:val="0"/>
                  <w:vAlign w:val="center"/>
                </w:tcPr>
                <w:p>
                  <w:pPr>
                    <w:jc w:val="center"/>
                    <w:rPr>
                      <w:rFonts w:hint="default" w:ascii="Times New Roman" w:hAnsi="Times New Roman" w:cs="Times New Roman"/>
                      <w:b w:val="0"/>
                      <w:bCs w:val="0"/>
                      <w:color w:val="000000"/>
                      <w:sz w:val="21"/>
                      <w:szCs w:val="21"/>
                    </w:rPr>
                  </w:pPr>
                </w:p>
              </w:tc>
              <w:tc>
                <w:tcPr>
                  <w:tcW w:w="459" w:type="pct"/>
                  <w:vMerge w:val="continue"/>
                  <w:tcBorders>
                    <w:right w:val="single" w:color="auto" w:sz="4" w:space="0"/>
                  </w:tcBorders>
                  <w:noWrap w:val="0"/>
                  <w:vAlign w:val="center"/>
                </w:tcPr>
                <w:p>
                  <w:pPr>
                    <w:jc w:val="center"/>
                    <w:rPr>
                      <w:rFonts w:hint="default" w:ascii="Times New Roman" w:hAnsi="Times New Roman" w:cs="Times New Roman"/>
                      <w:b w:val="0"/>
                      <w:bCs w:val="0"/>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897" w:type="pct"/>
                  <w:gridSpan w:val="2"/>
                  <w:vMerge w:val="continue"/>
                  <w:noWrap w:val="0"/>
                  <w:vAlign w:val="center"/>
                </w:tcPr>
                <w:p>
                  <w:pPr>
                    <w:jc w:val="center"/>
                    <w:rPr>
                      <w:rFonts w:hint="default" w:ascii="Times New Roman" w:hAnsi="Times New Roman" w:cs="Times New Roman"/>
                      <w:b w:val="0"/>
                      <w:bCs w:val="0"/>
                      <w:color w:val="000000"/>
                      <w:sz w:val="21"/>
                      <w:szCs w:val="21"/>
                      <w:lang w:val="en-US" w:eastAsia="zh-CN"/>
                    </w:rPr>
                  </w:pPr>
                </w:p>
              </w:tc>
              <w:tc>
                <w:tcPr>
                  <w:tcW w:w="2412" w:type="pct"/>
                  <w:noWrap w:val="0"/>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24.大力提升治理设施去除效率。4月底前，按照行业特点、企业规模、废气成分、废气量、含水（尘）率等，综合分析治理技术与VOCs废气处理工艺可行性、规模匹配性，建立问题企业清单台账，指导帮扶企业做好活性炭更换频次、更换量、购买记录、活性炭质检报告等台账记录，RTO和RCO设施吸附剂再生频次、焚烧温度等记录数据至少保留一年以上。6月底前，对废气处理效率低下的企业实施提升治理。</w:t>
                  </w:r>
                </w:p>
              </w:tc>
              <w:tc>
                <w:tcPr>
                  <w:tcW w:w="1230" w:type="pct"/>
                  <w:vMerge w:val="continue"/>
                  <w:noWrap w:val="0"/>
                  <w:vAlign w:val="center"/>
                </w:tcPr>
                <w:p>
                  <w:pPr>
                    <w:jc w:val="center"/>
                    <w:rPr>
                      <w:rFonts w:hint="default" w:ascii="Times New Roman" w:hAnsi="Times New Roman" w:cs="Times New Roman"/>
                      <w:b w:val="0"/>
                      <w:bCs w:val="0"/>
                      <w:color w:val="000000"/>
                      <w:sz w:val="21"/>
                      <w:szCs w:val="21"/>
                    </w:rPr>
                  </w:pPr>
                </w:p>
              </w:tc>
              <w:tc>
                <w:tcPr>
                  <w:tcW w:w="459" w:type="pct"/>
                  <w:vMerge w:val="continue"/>
                  <w:tcBorders>
                    <w:right w:val="single" w:color="auto" w:sz="4" w:space="0"/>
                  </w:tcBorders>
                  <w:noWrap w:val="0"/>
                  <w:vAlign w:val="center"/>
                </w:tcPr>
                <w:p>
                  <w:pPr>
                    <w:jc w:val="center"/>
                    <w:rPr>
                      <w:rFonts w:hint="default" w:ascii="Times New Roman" w:hAnsi="Times New Roman" w:cs="Times New Roman"/>
                      <w:b w:val="0"/>
                      <w:bCs w:val="0"/>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97" w:type="pct"/>
                  <w:gridSpan w:val="2"/>
                  <w:vMerge w:val="restart"/>
                  <w:noWrap w:val="0"/>
                  <w:vAlign w:val="center"/>
                </w:tcPr>
                <w:p>
                  <w:pP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《河南省202</w:t>
                  </w: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eastAsia="zh-CN"/>
                    </w:rPr>
                    <w:t>年大气污染防治攻坚战实施方案》（豫环委办〔202</w:t>
                  </w: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9</w:t>
                  </w:r>
                  <w:r>
                    <w:rPr>
                      <w:rFonts w:hint="default" w:ascii="Times New Roman" w:hAnsi="Times New Roman" w:eastAsia="宋体" w:cs="Times New Roman"/>
                      <w:b w:val="0"/>
                      <w:bCs w:val="0"/>
                      <w:color w:val="auto"/>
                      <w:sz w:val="21"/>
                      <w:szCs w:val="21"/>
                      <w:lang w:eastAsia="zh-CN"/>
                    </w:rPr>
                    <w:t>号）</w:t>
                  </w:r>
                </w:p>
                <w:p>
                  <w:pPr>
                    <w:jc w:val="center"/>
                    <w:rPr>
                      <w:rFonts w:hint="default" w:ascii="Times New Roman" w:hAnsi="Times New Roman" w:cs="Times New Roman"/>
                      <w:b w:val="0"/>
                      <w:bCs w:val="0"/>
                      <w:color w:val="auto"/>
                      <w:sz w:val="21"/>
                      <w:szCs w:val="21"/>
                    </w:rPr>
                  </w:pPr>
                </w:p>
              </w:tc>
              <w:tc>
                <w:tcPr>
                  <w:tcW w:w="2412" w:type="pct"/>
                  <w:noWrap w:val="0"/>
                  <w:vAlign w:val="center"/>
                </w:tcPr>
                <w:p>
                  <w:pP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3.推进绿色低碳产业发展。落实国家产业规划、产业政策、“三线一单”、规划环评，以及产能置换、煤炭消费减量替代、区域污染物削减等相关要求，积极支持节能环保、新能源等战略性新兴产业发展，坚决遏制高耗能、高排放项目盲目建设。落实“两高”项目会商联审机制，强化项目环评及“三同时”管理，重点行业企业新建、扩建项目达到A级绩效水平，改建项目达到B级以上绩效水平。严禁新增钢铁、电解铝、水泥熟料、煤化工（甲醇、合成氨）、氧化铝、焦化、铸造、铝用碳素、烧结砖瓦、铁合金等行业产能。禁止耐火材料、铅锌冶炼（含再生铅）行业单纯新增产能。水泥行业产能置换项目应实现矿石皮带廊密闭运输，大宗物料产品清洁运输。</w:t>
                  </w:r>
                </w:p>
              </w:tc>
              <w:tc>
                <w:tcPr>
                  <w:tcW w:w="1230" w:type="pct"/>
                  <w:vMerge w:val="restart"/>
                  <w:noWrap w:val="0"/>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b w:val="0"/>
                      <w:bCs w:val="0"/>
                      <w:color w:val="FF0000"/>
                      <w:sz w:val="21"/>
                      <w:szCs w:val="21"/>
                    </w:rPr>
                  </w:pPr>
                  <w:r>
                    <w:rPr>
                      <w:rFonts w:hint="default" w:ascii="Times New Roman" w:hAnsi="Times New Roman" w:cs="Times New Roman"/>
                      <w:sz w:val="21"/>
                      <w:szCs w:val="21"/>
                    </w:rPr>
                    <w:t>本项目</w:t>
                  </w:r>
                  <w:r>
                    <w:rPr>
                      <w:rFonts w:hint="default" w:ascii="Times New Roman" w:hAnsi="Times New Roman" w:cs="Times New Roman"/>
                      <w:sz w:val="21"/>
                      <w:szCs w:val="21"/>
                      <w:lang w:val="en-US" w:eastAsia="zh-CN"/>
                    </w:rPr>
                    <w:t>建设过程中应</w:t>
                  </w:r>
                  <w:r>
                    <w:rPr>
                      <w:rFonts w:hint="default" w:ascii="Times New Roman" w:hAnsi="Times New Roman" w:cs="Times New Roman"/>
                      <w:sz w:val="21"/>
                      <w:szCs w:val="21"/>
                    </w:rPr>
                    <w:t>达到行业A级绩效水平</w:t>
                  </w:r>
                  <w:r>
                    <w:rPr>
                      <w:rFonts w:hint="default" w:ascii="Times New Roman" w:hAnsi="Times New Roman" w:cs="Times New Roman"/>
                      <w:sz w:val="21"/>
                      <w:szCs w:val="21"/>
                      <w:lang w:eastAsia="zh-CN"/>
                    </w:rPr>
                    <w:t>；</w:t>
                  </w:r>
                  <w:r>
                    <w:rPr>
                      <w:rFonts w:hint="default" w:ascii="Times New Roman" w:hAnsi="Times New Roman" w:eastAsia="宋体" w:cs="Times New Roman"/>
                      <w:b w:val="0"/>
                      <w:bCs w:val="0"/>
                      <w:color w:val="auto"/>
                      <w:kern w:val="2"/>
                      <w:sz w:val="21"/>
                      <w:szCs w:val="21"/>
                      <w:u w:val="none"/>
                      <w:lang w:val="en-US" w:eastAsia="zh-CN" w:bidi="ar-SA"/>
                    </w:rPr>
                    <w:t>本项目租用已建的工业厂房进行生产，施工期仅进行设备的安装，主要为噪声污染，对周边环境的影响较小，且随着施工期的结束而消失，因此，本</w:t>
                  </w:r>
                  <w:r>
                    <w:rPr>
                      <w:rFonts w:hint="default" w:ascii="Times New Roman" w:hAnsi="Times New Roman" w:cs="Times New Roman"/>
                      <w:b w:val="0"/>
                      <w:bCs w:val="0"/>
                      <w:color w:val="auto"/>
                      <w:kern w:val="2"/>
                      <w:sz w:val="21"/>
                      <w:szCs w:val="21"/>
                      <w:u w:val="none"/>
                      <w:lang w:val="en-US" w:eastAsia="zh-CN" w:bidi="ar-SA"/>
                    </w:rPr>
                    <w:t>项目施工期对周围环境影响较小</w:t>
                  </w:r>
                  <w:r>
                    <w:rPr>
                      <w:rFonts w:hint="default" w:ascii="Times New Roman" w:hAnsi="Times New Roman" w:eastAsia="宋体" w:cs="Times New Roman"/>
                      <w:b w:val="0"/>
                      <w:bCs w:val="0"/>
                      <w:color w:val="auto"/>
                      <w:kern w:val="2"/>
                      <w:sz w:val="21"/>
                      <w:szCs w:val="21"/>
                      <w:u w:val="none"/>
                      <w:lang w:val="en-US" w:eastAsia="zh-CN" w:bidi="ar-SA"/>
                    </w:rPr>
                    <w:t>。本项目将严格按照《河南省重污染天气</w:t>
                  </w:r>
                  <w:r>
                    <w:rPr>
                      <w:rFonts w:hint="default" w:ascii="Times New Roman" w:hAnsi="Times New Roman" w:cs="Times New Roman"/>
                      <w:b w:val="0"/>
                      <w:bCs w:val="0"/>
                      <w:color w:val="auto"/>
                      <w:kern w:val="2"/>
                      <w:sz w:val="21"/>
                      <w:szCs w:val="21"/>
                      <w:u w:val="none"/>
                      <w:lang w:val="en-US" w:eastAsia="zh-CN" w:bidi="ar-SA"/>
                    </w:rPr>
                    <w:t>重点</w:t>
                  </w:r>
                  <w:r>
                    <w:rPr>
                      <w:rFonts w:hint="default" w:ascii="Times New Roman" w:hAnsi="Times New Roman" w:eastAsia="宋体" w:cs="Times New Roman"/>
                      <w:b w:val="0"/>
                      <w:bCs w:val="0"/>
                      <w:color w:val="auto"/>
                      <w:kern w:val="2"/>
                      <w:sz w:val="21"/>
                      <w:szCs w:val="21"/>
                      <w:u w:val="none"/>
                      <w:lang w:val="en-US" w:eastAsia="zh-CN" w:bidi="ar-SA"/>
                    </w:rPr>
                    <w:t>行业应急减排措施制定技术指南（2021年修订版）》文件中相关标准要求进行建设</w:t>
                  </w:r>
                  <w:r>
                    <w:rPr>
                      <w:rFonts w:hint="default" w:ascii="Times New Roman" w:hAnsi="Times New Roman" w:cs="Times New Roman"/>
                      <w:b w:val="0"/>
                      <w:bCs w:val="0"/>
                      <w:color w:val="auto"/>
                      <w:kern w:val="2"/>
                      <w:sz w:val="21"/>
                      <w:szCs w:val="21"/>
                      <w:u w:val="none"/>
                      <w:lang w:val="en-US" w:eastAsia="zh-CN" w:bidi="ar-SA"/>
                    </w:rPr>
                    <w:t>。</w:t>
                  </w:r>
                </w:p>
              </w:tc>
              <w:tc>
                <w:tcPr>
                  <w:tcW w:w="459" w:type="pct"/>
                  <w:vMerge w:val="restart"/>
                  <w:tcBorders>
                    <w:right w:val="single" w:color="auto" w:sz="4" w:space="0"/>
                  </w:tcBorders>
                  <w:noWrap w:val="0"/>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97" w:type="pct"/>
                  <w:gridSpan w:val="2"/>
                  <w:vMerge w:val="continue"/>
                  <w:noWrap w:val="0"/>
                  <w:vAlign w:val="center"/>
                </w:tcPr>
                <w:p>
                  <w:pPr>
                    <w:jc w:val="center"/>
                    <w:rPr>
                      <w:rFonts w:hint="default" w:ascii="Times New Roman" w:hAnsi="Times New Roman" w:cs="Times New Roman"/>
                      <w:b w:val="0"/>
                      <w:bCs w:val="0"/>
                      <w:color w:val="auto"/>
                      <w:sz w:val="21"/>
                      <w:szCs w:val="21"/>
                    </w:rPr>
                  </w:pPr>
                </w:p>
              </w:tc>
              <w:tc>
                <w:tcPr>
                  <w:tcW w:w="2412" w:type="pct"/>
                  <w:noWrap w:val="0"/>
                  <w:vAlign w:val="center"/>
                </w:tcPr>
                <w:p>
                  <w:pP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14.</w:t>
                  </w:r>
                  <w:r>
                    <w:rPr>
                      <w:rFonts w:hint="default" w:ascii="Times New Roman" w:hAnsi="Times New Roman" w:eastAsia="宋体" w:cs="Times New Roman"/>
                      <w:b w:val="0"/>
                      <w:bCs w:val="0"/>
                      <w:color w:val="auto"/>
                      <w:sz w:val="21"/>
                      <w:szCs w:val="21"/>
                      <w:lang w:eastAsia="zh-CN"/>
                    </w:rPr>
                    <w:t>提升扬尘污染防治水平。深入开展扬尘治理专项活动，严格落实《城市房屋建筑和市政基础设施工程及道路扬尘污染差异化评价标准》《河南省房屋建筑和市政基础设施工程扬尘治理监控平台数据接入标准》要求，对扬尘重点污染源实行清单化动态管理，强化开复工验收、“三员”管理、“两个禁止”等扬尘治理制度机制，实施渣土车密闭运输、清洁运输，完善降尘监测和考评体系。</w:t>
                  </w:r>
                </w:p>
              </w:tc>
              <w:tc>
                <w:tcPr>
                  <w:tcW w:w="1230" w:type="pct"/>
                  <w:vMerge w:val="continue"/>
                  <w:noWrap w:val="0"/>
                  <w:vAlign w:val="center"/>
                </w:tcPr>
                <w:p>
                  <w:pPr>
                    <w:rPr>
                      <w:rFonts w:hint="default" w:ascii="Times New Roman" w:hAnsi="Times New Roman" w:cs="Times New Roman"/>
                      <w:b w:val="0"/>
                      <w:bCs w:val="0"/>
                      <w:color w:val="FF0000"/>
                      <w:sz w:val="21"/>
                      <w:szCs w:val="21"/>
                    </w:rPr>
                  </w:pPr>
                </w:p>
              </w:tc>
              <w:tc>
                <w:tcPr>
                  <w:tcW w:w="459" w:type="pct"/>
                  <w:vMerge w:val="continue"/>
                  <w:tcBorders>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00000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97" w:type="pct"/>
                  <w:gridSpan w:val="2"/>
                  <w:vMerge w:val="continue"/>
                  <w:noWrap w:val="0"/>
                  <w:vAlign w:val="center"/>
                </w:tcPr>
                <w:p>
                  <w:pPr>
                    <w:jc w:val="center"/>
                    <w:rPr>
                      <w:rFonts w:hint="default" w:ascii="Times New Roman" w:hAnsi="Times New Roman" w:cs="Times New Roman"/>
                      <w:b w:val="0"/>
                      <w:bCs w:val="0"/>
                      <w:color w:val="FF0000"/>
                      <w:sz w:val="21"/>
                      <w:szCs w:val="21"/>
                    </w:rPr>
                  </w:pPr>
                </w:p>
              </w:tc>
              <w:tc>
                <w:tcPr>
                  <w:tcW w:w="2412" w:type="pct"/>
                  <w:noWrap w:val="0"/>
                  <w:vAlign w:val="center"/>
                </w:tcPr>
                <w:p>
                  <w:pP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rPr>
                    <w:t>23.加快推进低VOCs含量原辅材料源头替代。加大科技攻关，推广新兴技术和原辅材料，各省辖市制定实施汽车制造、工业涂装、家具制造、包装印刷、钢结构制造、工程机械等行业溶剂型涂料、油墨、胶粘剂、清洗剂使用低VOCs含量原辅材料替代计划。对无法实现低VOCs原辅材料替代的工序，在保证安全情况下，应在密闭设备、密闭空间作业或安装二次密闭设施，收集处理VOCs废气。</w:t>
                  </w:r>
                </w:p>
              </w:tc>
              <w:tc>
                <w:tcPr>
                  <w:tcW w:w="1230" w:type="pct"/>
                  <w:vMerge w:val="restart"/>
                  <w:noWrap w:val="0"/>
                  <w:vAlign w:val="center"/>
                </w:tcPr>
                <w:p>
                  <w:pPr>
                    <w:rPr>
                      <w:rFonts w:hint="default" w:ascii="Times New Roman" w:hAnsi="Times New Roman" w:cs="Times New Roman"/>
                      <w:b w:val="0"/>
                      <w:bCs w:val="0"/>
                      <w:color w:val="auto"/>
                      <w:sz w:val="21"/>
                      <w:szCs w:val="21"/>
                      <w:lang w:val="en-US"/>
                    </w:rPr>
                  </w:pPr>
                  <w:r>
                    <w:rPr>
                      <w:rFonts w:hint="default" w:ascii="Times New Roman" w:hAnsi="Times New Roman" w:eastAsia="宋体" w:cs="Times New Roman"/>
                      <w:b w:val="0"/>
                      <w:bCs w:val="0"/>
                      <w:color w:val="auto"/>
                      <w:kern w:val="2"/>
                      <w:sz w:val="21"/>
                      <w:szCs w:val="21"/>
                      <w:u w:val="none"/>
                      <w:lang w:val="en-US" w:eastAsia="zh-CN" w:bidi="ar-SA"/>
                    </w:rPr>
                    <w:t>本项目</w:t>
                  </w:r>
                  <w:r>
                    <w:rPr>
                      <w:rFonts w:hint="default" w:ascii="Times New Roman" w:hAnsi="Times New Roman" w:cs="Times New Roman"/>
                      <w:b w:val="0"/>
                      <w:bCs w:val="0"/>
                      <w:color w:val="auto"/>
                      <w:szCs w:val="21"/>
                      <w:lang w:eastAsia="zh-CN"/>
                    </w:rPr>
                    <w:t>生产过程不</w:t>
                  </w:r>
                  <w:r>
                    <w:rPr>
                      <w:rFonts w:hint="default" w:ascii="Times New Roman" w:hAnsi="Times New Roman" w:cs="Times New Roman"/>
                      <w:b w:val="0"/>
                      <w:bCs w:val="0"/>
                      <w:color w:val="auto"/>
                      <w:szCs w:val="21"/>
                      <w:lang w:val="en-US" w:eastAsia="zh-CN"/>
                    </w:rPr>
                    <w:t>涉及使用</w:t>
                  </w:r>
                  <w:r>
                    <w:rPr>
                      <w:rFonts w:hint="default" w:ascii="Times New Roman" w:hAnsi="Times New Roman" w:cs="Times New Roman"/>
                      <w:b w:val="0"/>
                      <w:bCs w:val="0"/>
                      <w:color w:val="auto"/>
                      <w:szCs w:val="21"/>
                      <w:lang w:eastAsia="zh-CN"/>
                    </w:rPr>
                    <w:t>高VOCs含量的溶剂型涂料、油墨、胶粘剂等；</w:t>
                  </w:r>
                  <w:r>
                    <w:rPr>
                      <w:rFonts w:hint="default" w:ascii="Times New Roman" w:hAnsi="Times New Roman" w:eastAsia="宋体" w:cs="Times New Roman"/>
                      <w:b w:val="0"/>
                      <w:bCs/>
                      <w:color w:val="auto"/>
                      <w:kern w:val="0"/>
                      <w:sz w:val="21"/>
                      <w:szCs w:val="21"/>
                      <w:highlight w:val="none"/>
                      <w:u w:val="none"/>
                      <w:lang w:val="en-US" w:eastAsia="zh-CN"/>
                    </w:rPr>
                    <w:t>项目使用粉末涂料，</w:t>
                  </w:r>
                  <w:r>
                    <w:rPr>
                      <w:rFonts w:hint="default" w:ascii="Times New Roman" w:hAnsi="Times New Roman" w:cs="Times New Roman"/>
                      <w:b w:val="0"/>
                      <w:bCs/>
                      <w:color w:val="auto"/>
                      <w:kern w:val="0"/>
                      <w:sz w:val="21"/>
                      <w:szCs w:val="21"/>
                      <w:highlight w:val="none"/>
                      <w:u w:val="none"/>
                      <w:lang w:val="en-US" w:eastAsia="zh-CN"/>
                    </w:rPr>
                    <w:t>项目</w:t>
                  </w:r>
                  <w:r>
                    <w:rPr>
                      <w:rFonts w:hint="default" w:ascii="Times New Roman" w:hAnsi="Times New Roman" w:cs="Times New Roman"/>
                      <w:b w:val="0"/>
                      <w:bCs w:val="0"/>
                      <w:color w:val="auto"/>
                      <w:sz w:val="21"/>
                      <w:szCs w:val="21"/>
                    </w:rPr>
                    <w:t>所用的VOCs含量低，且密封暂存；</w:t>
                  </w:r>
                  <w:r>
                    <w:rPr>
                      <w:rFonts w:hint="default" w:ascii="Times New Roman" w:hAnsi="Times New Roman" w:cs="Times New Roman"/>
                      <w:b w:val="0"/>
                      <w:bCs w:val="0"/>
                      <w:color w:val="auto"/>
                      <w:sz w:val="21"/>
                      <w:szCs w:val="21"/>
                      <w:lang w:val="en-US" w:eastAsia="zh-CN"/>
                    </w:rPr>
                    <w:t>烘烤</w:t>
                  </w:r>
                  <w:r>
                    <w:rPr>
                      <w:rFonts w:hint="default" w:ascii="Times New Roman" w:hAnsi="Times New Roman" w:cs="Times New Roman"/>
                      <w:b w:val="0"/>
                      <w:bCs w:val="0"/>
                      <w:color w:val="auto"/>
                      <w:sz w:val="21"/>
                      <w:szCs w:val="21"/>
                    </w:rPr>
                    <w:t>工序上方安装集气罩，晾干区全封闭，收集的废气经1套“UV光催化氧化+活性炭吸附”装置处理后通过1根15m排气筒</w:t>
                  </w:r>
                  <w:r>
                    <w:rPr>
                      <w:rFonts w:hint="eastAsia" w:ascii="Times New Roman" w:hAnsi="Times New Roman" w:cs="Times New Roman"/>
                      <w:b w:val="0"/>
                      <w:bCs w:val="0"/>
                      <w:color w:val="auto"/>
                      <w:sz w:val="21"/>
                      <w:szCs w:val="21"/>
                      <w:lang w:val="en-US" w:eastAsia="zh-CN"/>
                    </w:rPr>
                    <w:t>P2</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DA002</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排放</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color w:val="auto"/>
                      <w:kern w:val="0"/>
                      <w:sz w:val="21"/>
                      <w:szCs w:val="21"/>
                      <w:u w:val="none"/>
                      <w:lang w:val="en-US" w:eastAsia="zh-CN"/>
                    </w:rPr>
                    <w:t>其中活性炭吸附工艺需满足以下要求：</w:t>
                  </w:r>
                  <w:r>
                    <w:rPr>
                      <w:rFonts w:hint="default" w:ascii="Times New Roman" w:hAnsi="Times New Roman" w:eastAsia="宋体" w:cs="Times New Roman"/>
                      <w:b w:val="0"/>
                      <w:bCs/>
                      <w:color w:val="auto"/>
                      <w:sz w:val="21"/>
                      <w:szCs w:val="21"/>
                      <w:u w:val="none"/>
                      <w:vertAlign w:val="baseline"/>
                      <w:lang w:val="en-US" w:eastAsia="zh-CN"/>
                    </w:rPr>
                    <w:t>颗粒状、柱状活性炭碘值不低于800毫克/克，蜂窝状活性炭碘值不低于650毫克/克</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Cs w:val="21"/>
                      <w:lang w:eastAsia="zh-CN"/>
                    </w:rPr>
                    <w:t>同时车间密闭；</w:t>
                  </w:r>
                  <w:r>
                    <w:rPr>
                      <w:rFonts w:hint="default" w:ascii="Times New Roman" w:hAnsi="Times New Roman" w:cs="Times New Roman"/>
                      <w:b w:val="0"/>
                      <w:bCs w:val="0"/>
                      <w:color w:val="auto"/>
                      <w:szCs w:val="21"/>
                      <w:lang w:val="en-US" w:eastAsia="zh-CN"/>
                    </w:rPr>
                    <w:t>采取以上环保措施后，本项目运营期间能够达到达标排放的环保要求。</w:t>
                  </w:r>
                </w:p>
              </w:tc>
              <w:tc>
                <w:tcPr>
                  <w:tcW w:w="459" w:type="pct"/>
                  <w:vMerge w:val="restart"/>
                  <w:tcBorders>
                    <w:right w:val="single" w:color="auto" w:sz="4" w:space="0"/>
                  </w:tcBorders>
                  <w:noWrap w:val="0"/>
                  <w:vAlign w:val="center"/>
                </w:tcPr>
                <w:p>
                  <w:pPr>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97" w:type="pct"/>
                  <w:gridSpan w:val="2"/>
                  <w:vMerge w:val="continue"/>
                  <w:noWrap w:val="0"/>
                  <w:vAlign w:val="center"/>
                </w:tcPr>
                <w:p>
                  <w:pPr>
                    <w:jc w:val="center"/>
                    <w:rPr>
                      <w:rFonts w:hint="default" w:ascii="Times New Roman" w:hAnsi="Times New Roman" w:cs="Times New Roman"/>
                      <w:b w:val="0"/>
                      <w:bCs w:val="0"/>
                      <w:sz w:val="21"/>
                      <w:szCs w:val="21"/>
                    </w:rPr>
                  </w:pPr>
                </w:p>
              </w:tc>
              <w:tc>
                <w:tcPr>
                  <w:tcW w:w="2412" w:type="pct"/>
                  <w:noWrap w:val="0"/>
                  <w:vAlign w:val="center"/>
                </w:tcPr>
                <w:p>
                  <w:pP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rPr>
                    <w:t>24.开展简易低效VOCs治理设施升级改造。对治理设施设计不规范、与生产系统不匹配，单独使用光催化、光氧化、低温等离子等低效技术，治理设施建设和运行效果差的，建立清单台账，力争2022年6月底前基本完成升级改造并开展检测验收，严把工程质量，确保稳定达标排放。</w:t>
                  </w:r>
                </w:p>
              </w:tc>
              <w:tc>
                <w:tcPr>
                  <w:tcW w:w="1230" w:type="pct"/>
                  <w:vMerge w:val="continue"/>
                  <w:noWrap w:val="0"/>
                  <w:vAlign w:val="center"/>
                </w:tcPr>
                <w:p>
                  <w:pPr>
                    <w:rPr>
                      <w:rFonts w:hint="default" w:ascii="Times New Roman" w:hAnsi="Times New Roman" w:cs="Times New Roman"/>
                      <w:b w:val="0"/>
                      <w:bCs w:val="0"/>
                      <w:color w:val="auto"/>
                      <w:sz w:val="21"/>
                      <w:szCs w:val="21"/>
                    </w:rPr>
                  </w:pPr>
                </w:p>
              </w:tc>
              <w:tc>
                <w:tcPr>
                  <w:tcW w:w="459" w:type="pct"/>
                  <w:vMerge w:val="continue"/>
                  <w:tcBorders>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00000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97" w:type="pct"/>
                  <w:gridSpan w:val="2"/>
                  <w:vMerge w:val="restart"/>
                  <w:noWrap w:val="0"/>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Cs w:val="21"/>
                      <w:lang w:eastAsia="zh-CN"/>
                    </w:rPr>
                    <w:t>《河南省生态环境办公室关于全面加强挥发性有机物污染治理的通知》（豫环办〔</w:t>
                  </w:r>
                  <w:r>
                    <w:rPr>
                      <w:rFonts w:hint="default" w:ascii="Times New Roman" w:hAnsi="Times New Roman" w:cs="Times New Roman"/>
                      <w:b w:val="0"/>
                      <w:bCs w:val="0"/>
                      <w:szCs w:val="21"/>
                      <w:lang w:val="en-US" w:eastAsia="zh-CN"/>
                    </w:rPr>
                    <w:t>2022〕24号</w:t>
                  </w:r>
                  <w:r>
                    <w:rPr>
                      <w:rFonts w:hint="default" w:ascii="Times New Roman" w:hAnsi="Times New Roman" w:cs="Times New Roman"/>
                      <w:b w:val="0"/>
                      <w:bCs w:val="0"/>
                      <w:szCs w:val="21"/>
                      <w:lang w:eastAsia="zh-CN"/>
                    </w:rPr>
                    <w:t>）</w:t>
                  </w:r>
                </w:p>
              </w:tc>
              <w:tc>
                <w:tcPr>
                  <w:tcW w:w="2412" w:type="pct"/>
                  <w:noWrap w:val="0"/>
                  <w:vAlign w:val="center"/>
                </w:tcPr>
                <w:p>
                  <w:pPr>
                    <w:pStyle w:val="22"/>
                    <w:keepNext w:val="0"/>
                    <w:keepLines w:val="0"/>
                    <w:pageBreakBefore w:val="0"/>
                    <w:widowControl/>
                    <w:kinsoku/>
                    <w:wordWrap/>
                    <w:overflowPunct/>
                    <w:topLinePunct w:val="0"/>
                    <w:autoSpaceDE/>
                    <w:autoSpaceDN/>
                    <w:bidi w:val="0"/>
                    <w:adjustRightInd w:val="0"/>
                    <w:snapToGrid w:val="0"/>
                    <w:spacing w:before="0" w:after="0" w:line="300" w:lineRule="exact"/>
                    <w:ind w:right="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二、加强源头控制，推进绿色生产</w:t>
                  </w:r>
                </w:p>
                <w:p>
                  <w:pPr>
                    <w:pStyle w:val="22"/>
                    <w:keepNext w:val="0"/>
                    <w:keepLines w:val="0"/>
                    <w:pageBreakBefore w:val="0"/>
                    <w:widowControl/>
                    <w:kinsoku/>
                    <w:wordWrap/>
                    <w:overflowPunct/>
                    <w:topLinePunct w:val="0"/>
                    <w:autoSpaceDE/>
                    <w:autoSpaceDN/>
                    <w:bidi w:val="0"/>
                    <w:adjustRightInd w:val="0"/>
                    <w:snapToGrid w:val="0"/>
                    <w:spacing w:before="0" w:after="0" w:line="300" w:lineRule="exact"/>
                    <w:ind w:right="0"/>
                    <w:jc w:val="both"/>
                    <w:textAlignment w:val="auto"/>
                    <w:rPr>
                      <w:rFonts w:hint="default" w:ascii="Times New Roman" w:hAnsi="Times New Roman" w:eastAsia="宋体" w:cs="Times New Roman"/>
                      <w:b w:val="0"/>
                      <w:bCs/>
                      <w:snapToGrid/>
                      <w:color w:val="auto"/>
                      <w:spacing w:val="0"/>
                      <w:kern w:val="2"/>
                      <w:sz w:val="21"/>
                      <w:szCs w:val="21"/>
                      <w:u w:val="none"/>
                      <w:vertAlign w:val="baseline"/>
                      <w:lang w:val="en-US" w:eastAsia="zh-CN" w:bidi="ar-SA"/>
                    </w:rPr>
                  </w:pPr>
                  <w:r>
                    <w:rPr>
                      <w:rFonts w:hint="default" w:ascii="Times New Roman" w:hAnsi="Times New Roman" w:eastAsia="宋体" w:cs="Times New Roman"/>
                      <w:b w:val="0"/>
                      <w:bCs/>
                      <w:snapToGrid/>
                      <w:color w:val="auto"/>
                      <w:spacing w:val="0"/>
                      <w:kern w:val="2"/>
                      <w:sz w:val="21"/>
                      <w:szCs w:val="21"/>
                      <w:u w:val="none"/>
                      <w:vertAlign w:val="baseline"/>
                      <w:lang w:val="en-US" w:eastAsia="zh-CN" w:bidi="ar-SA"/>
                    </w:rPr>
                    <w:t>2022年5月底前，全面排查使用粉末涂料、水性涂料、无溶剂涂料、辐射固化涂料等企业，核实原辅材料VOCs含量限值与《低挥发性有机化合物含量涂料产品技术要求》相符性，并建立台账，记录原辅材料的使用量、废弃量、去向以及VOCs含量。</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b w:val="0"/>
                      <w:bCs w:val="0"/>
                    </w:rPr>
                  </w:pPr>
                  <w:r>
                    <w:rPr>
                      <w:rFonts w:hint="default" w:ascii="Times New Roman" w:hAnsi="Times New Roman" w:eastAsia="宋体" w:cs="Times New Roman"/>
                      <w:b w:val="0"/>
                      <w:bCs/>
                      <w:snapToGrid/>
                      <w:color w:val="auto"/>
                      <w:spacing w:val="0"/>
                      <w:kern w:val="2"/>
                      <w:sz w:val="21"/>
                      <w:szCs w:val="21"/>
                      <w:u w:val="none"/>
                      <w:vertAlign w:val="baseline"/>
                      <w:lang w:val="en-US" w:eastAsia="zh-CN" w:bidi="ar-SA"/>
                    </w:rPr>
                    <w:t>2022年5月底前，全面梳理使用溶剂型工业涂料、油墨、胶粘剂、清洗剂等原辅材料的企业，督促指导企业结合行业特点、环境容量、企业实际，制定低VOCs含量原辅材料源头替代实施计划，建立企业清单台账，明确源头替代时间表，按照“可替尽替、应代尽代”的原则，实施一批替代溶剂型原辅材料的项目。</w:t>
                  </w:r>
                </w:p>
              </w:tc>
              <w:tc>
                <w:tcPr>
                  <w:tcW w:w="1230" w:type="pct"/>
                  <w:noWrap w:val="0"/>
                  <w:vAlign w:val="center"/>
                </w:tcPr>
                <w:p>
                  <w:pPr>
                    <w:rPr>
                      <w:rFonts w:hint="default" w:ascii="Times New Roman" w:hAnsi="Times New Roman" w:cs="Times New Roman"/>
                      <w:b w:val="0"/>
                      <w:bCs w:val="0"/>
                      <w:color w:val="000000"/>
                      <w:sz w:val="21"/>
                      <w:szCs w:val="21"/>
                    </w:rPr>
                  </w:pPr>
                  <w:r>
                    <w:rPr>
                      <w:rFonts w:hint="default" w:ascii="Times New Roman" w:hAnsi="Times New Roman" w:cs="Times New Roman"/>
                      <w:b w:val="0"/>
                      <w:bCs/>
                      <w:color w:val="auto"/>
                      <w:kern w:val="0"/>
                      <w:sz w:val="21"/>
                      <w:szCs w:val="21"/>
                      <w:u w:val="none"/>
                      <w:lang w:val="en-US" w:eastAsia="zh-CN" w:bidi="ar"/>
                    </w:rPr>
                    <w:t>后续运营期间要求本项目使用的粉末涂料符合</w:t>
                  </w:r>
                  <w:r>
                    <w:rPr>
                      <w:rFonts w:hint="default" w:ascii="Times New Roman" w:hAnsi="Times New Roman" w:eastAsia="宋体" w:cs="Times New Roman"/>
                      <w:b w:val="0"/>
                      <w:bCs/>
                      <w:color w:val="auto"/>
                      <w:sz w:val="21"/>
                      <w:szCs w:val="21"/>
                      <w:u w:val="none"/>
                      <w:vertAlign w:val="baseline"/>
                      <w:lang w:val="en-US" w:eastAsia="zh-CN"/>
                    </w:rPr>
                    <w:t>《低挥发性有机化合物含量涂料产品技术要求》。运营期按照相关要求建立台账，记录原辅材料的使用量、废弃量、去向以及VOCs含量。</w:t>
                  </w:r>
                </w:p>
              </w:tc>
              <w:tc>
                <w:tcPr>
                  <w:tcW w:w="459" w:type="pct"/>
                  <w:tcBorders>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97" w:type="pct"/>
                  <w:gridSpan w:val="2"/>
                  <w:vMerge w:val="continue"/>
                  <w:noWrap w:val="0"/>
                  <w:vAlign w:val="center"/>
                </w:tcPr>
                <w:p>
                  <w:pPr>
                    <w:jc w:val="center"/>
                    <w:rPr>
                      <w:rFonts w:hint="default" w:ascii="Times New Roman" w:hAnsi="Times New Roman" w:cs="Times New Roman"/>
                      <w:b w:val="0"/>
                      <w:bCs w:val="0"/>
                      <w:sz w:val="21"/>
                      <w:szCs w:val="21"/>
                    </w:rPr>
                  </w:pPr>
                </w:p>
              </w:tc>
              <w:tc>
                <w:tcPr>
                  <w:tcW w:w="2412" w:type="pct"/>
                  <w:noWrap w:val="0"/>
                  <w:vAlign w:val="center"/>
                </w:tcPr>
                <w:p>
                  <w:pPr>
                    <w:pStyle w:val="22"/>
                    <w:keepNext w:val="0"/>
                    <w:keepLines w:val="0"/>
                    <w:pageBreakBefore w:val="0"/>
                    <w:widowControl/>
                    <w:kinsoku/>
                    <w:wordWrap/>
                    <w:overflowPunct/>
                    <w:topLinePunct w:val="0"/>
                    <w:autoSpaceDE/>
                    <w:autoSpaceDN/>
                    <w:bidi w:val="0"/>
                    <w:adjustRightInd w:val="0"/>
                    <w:snapToGrid w:val="0"/>
                    <w:spacing w:before="0" w:after="0" w:line="300" w:lineRule="exact"/>
                    <w:ind w:right="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三、强化收集效果，减少无组织排放</w:t>
                  </w:r>
                </w:p>
                <w:p>
                  <w:pPr>
                    <w:numPr>
                      <w:ilvl w:val="0"/>
                      <w:numId w:val="0"/>
                    </w:numPr>
                    <w:rPr>
                      <w:rFonts w:hint="default" w:ascii="Times New Roman" w:hAnsi="Times New Roman" w:cs="Times New Roman"/>
                      <w:b w:val="0"/>
                      <w:bCs w:val="0"/>
                    </w:rPr>
                  </w:pPr>
                  <w:r>
                    <w:rPr>
                      <w:rFonts w:hint="default" w:ascii="Times New Roman" w:hAnsi="Times New Roman" w:eastAsia="宋体" w:cs="Times New Roman"/>
                      <w:b w:val="0"/>
                      <w:bCs/>
                      <w:color w:val="auto"/>
                      <w:sz w:val="21"/>
                      <w:szCs w:val="21"/>
                      <w:u w:val="none"/>
                      <w:vertAlign w:val="baseline"/>
                      <w:lang w:val="en-US" w:eastAsia="zh-CN"/>
                    </w:rPr>
                    <w:t>各地要严格按照《挥发性有机物无组织排放控制标准》《重点行业挥发性有机物综合治理方案》《河南省2022年大气污染攻坚战实施方案》要求，对挥发性有机物无组织排放实施有效控制，提升废气收集率，做到“应收尽收”。产生VOCs的生产环节优先采用密闭设备、在密闭空间中操作等密闭收集方式，并保持负压运行；采用集气罩、侧吸风等措施收集无组织VOCs废气企业，距集气罩开口面最远处的VOCs无组织排放位置，控制风速不低于0.3米/秒；含VOCs物料输送应采用重力流或泵送方式，有机液体进料鼓励采用底部、浸入管给料方式。2022年5月底前，各地对辖区内采用集气罩、侧吸风等措施收集无组织VOCs废气企业的企业开展一轮风速实测，达不到要求的，一周内加装增压风机。</w:t>
                  </w:r>
                </w:p>
              </w:tc>
              <w:tc>
                <w:tcPr>
                  <w:tcW w:w="1230" w:type="pct"/>
                  <w:noWrap w:val="0"/>
                  <w:vAlign w:val="center"/>
                </w:tcPr>
                <w:p>
                  <w:pPr>
                    <w:rPr>
                      <w:rFonts w:hint="default" w:ascii="Times New Roman" w:hAnsi="Times New Roman" w:cs="Times New Roman"/>
                      <w:b w:val="0"/>
                      <w:bCs w:val="0"/>
                      <w:color w:val="000000"/>
                      <w:sz w:val="21"/>
                      <w:szCs w:val="21"/>
                    </w:rPr>
                  </w:pPr>
                  <w:r>
                    <w:rPr>
                      <w:rFonts w:hint="default" w:ascii="Times New Roman" w:hAnsi="Times New Roman" w:eastAsia="宋体" w:cs="Times New Roman"/>
                      <w:b w:val="0"/>
                      <w:bCs w:val="0"/>
                      <w:color w:val="auto"/>
                      <w:szCs w:val="21"/>
                      <w:lang w:eastAsia="zh-CN"/>
                    </w:rPr>
                    <w:t>项目严格按要求执行，</w:t>
                  </w:r>
                  <w:r>
                    <w:rPr>
                      <w:rFonts w:hint="default" w:ascii="Times New Roman" w:hAnsi="Times New Roman" w:eastAsia="宋体" w:cs="Times New Roman"/>
                      <w:b w:val="0"/>
                      <w:bCs/>
                      <w:color w:val="auto"/>
                      <w:sz w:val="21"/>
                      <w:szCs w:val="21"/>
                      <w:u w:val="none"/>
                      <w:vertAlign w:val="baseline"/>
                      <w:lang w:val="en-US" w:eastAsia="zh-CN"/>
                    </w:rPr>
                    <w:t>本项目运营期生产过程全程在封闭车间内进行，烘</w:t>
                  </w:r>
                  <w:r>
                    <w:rPr>
                      <w:rFonts w:hint="default" w:ascii="Times New Roman" w:hAnsi="Times New Roman" w:cs="Times New Roman"/>
                      <w:b w:val="0"/>
                      <w:bCs/>
                      <w:color w:val="auto"/>
                      <w:sz w:val="21"/>
                      <w:szCs w:val="21"/>
                      <w:u w:val="none"/>
                      <w:vertAlign w:val="baseline"/>
                      <w:lang w:val="en-US" w:eastAsia="zh-CN"/>
                    </w:rPr>
                    <w:t>烤</w:t>
                  </w:r>
                  <w:r>
                    <w:rPr>
                      <w:rFonts w:hint="default" w:ascii="Times New Roman" w:hAnsi="Times New Roman" w:eastAsia="宋体" w:cs="Times New Roman"/>
                      <w:b w:val="0"/>
                      <w:bCs/>
                      <w:color w:val="auto"/>
                      <w:sz w:val="21"/>
                      <w:szCs w:val="21"/>
                      <w:u w:val="none"/>
                      <w:vertAlign w:val="baseline"/>
                      <w:lang w:val="en-US" w:eastAsia="zh-CN"/>
                    </w:rPr>
                    <w:t>工序产生的挥发性有机物在密闭空间中操作，</w:t>
                  </w:r>
                  <w:r>
                    <w:rPr>
                      <w:rFonts w:hint="default" w:ascii="Times New Roman" w:hAnsi="Times New Roman" w:cs="Times New Roman"/>
                      <w:b w:val="0"/>
                      <w:bCs/>
                      <w:color w:val="auto"/>
                      <w:sz w:val="21"/>
                      <w:szCs w:val="21"/>
                      <w:u w:val="none"/>
                      <w:vertAlign w:val="baseline"/>
                      <w:lang w:val="en-US" w:eastAsia="zh-CN"/>
                    </w:rPr>
                    <w:t>烘烤过程中产生的有机废气经</w:t>
                  </w:r>
                  <w:r>
                    <w:rPr>
                      <w:rFonts w:hint="default" w:ascii="Times New Roman" w:hAnsi="Times New Roman" w:cs="Times New Roman"/>
                      <w:b w:val="0"/>
                      <w:bCs w:val="0"/>
                      <w:color w:val="auto"/>
                      <w:sz w:val="21"/>
                      <w:szCs w:val="21"/>
                      <w:lang w:val="en-US" w:eastAsia="zh-CN"/>
                    </w:rPr>
                    <w:t>收集至</w:t>
                  </w:r>
                  <w:r>
                    <w:rPr>
                      <w:rFonts w:hint="default" w:ascii="Times New Roman" w:hAnsi="Times New Roman" w:cs="Times New Roman"/>
                      <w:b w:val="0"/>
                      <w:bCs w:val="0"/>
                      <w:color w:val="auto"/>
                      <w:sz w:val="21"/>
                      <w:szCs w:val="21"/>
                    </w:rPr>
                    <w:t>1套“UV光催化氧化+活性炭吸附”装置处理后通过1根15m排气筒</w:t>
                  </w:r>
                  <w:r>
                    <w:rPr>
                      <w:rFonts w:hint="eastAsia" w:ascii="Times New Roman" w:hAnsi="Times New Roman" w:cs="Times New Roman"/>
                      <w:b w:val="0"/>
                      <w:bCs w:val="0"/>
                      <w:color w:val="auto"/>
                      <w:sz w:val="21"/>
                      <w:szCs w:val="21"/>
                      <w:lang w:val="en-US" w:eastAsia="zh-CN"/>
                    </w:rPr>
                    <w:t>P2</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DA002</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排放</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color w:val="auto"/>
                      <w:kern w:val="0"/>
                      <w:sz w:val="21"/>
                      <w:szCs w:val="21"/>
                      <w:u w:val="none"/>
                      <w:lang w:val="en-US" w:eastAsia="zh-CN"/>
                    </w:rPr>
                    <w:t>其中活性炭吸附工艺需满足以下要求：</w:t>
                  </w:r>
                  <w:r>
                    <w:rPr>
                      <w:rFonts w:hint="default" w:ascii="Times New Roman" w:hAnsi="Times New Roman" w:eastAsia="宋体" w:cs="Times New Roman"/>
                      <w:b w:val="0"/>
                      <w:bCs/>
                      <w:color w:val="auto"/>
                      <w:sz w:val="21"/>
                      <w:szCs w:val="21"/>
                      <w:u w:val="none"/>
                      <w:vertAlign w:val="baseline"/>
                      <w:lang w:val="en-US" w:eastAsia="zh-CN"/>
                    </w:rPr>
                    <w:t>颗粒状、柱状活性炭碘值不低于800毫克/克，蜂窝状活性炭碘值不低于650毫克/克</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Cs w:val="21"/>
                      <w:lang w:eastAsia="zh-CN"/>
                    </w:rPr>
                    <w:t>采取以上环保措施后，本项目运营期间能够达到达标排放的环保要求。</w:t>
                  </w:r>
                </w:p>
              </w:tc>
              <w:tc>
                <w:tcPr>
                  <w:tcW w:w="459" w:type="pct"/>
                  <w:tcBorders>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97" w:type="pct"/>
                  <w:gridSpan w:val="2"/>
                  <w:vMerge w:val="continue"/>
                  <w:noWrap w:val="0"/>
                  <w:vAlign w:val="center"/>
                </w:tcPr>
                <w:p>
                  <w:pPr>
                    <w:jc w:val="center"/>
                    <w:rPr>
                      <w:rFonts w:hint="default" w:ascii="Times New Roman" w:hAnsi="Times New Roman" w:cs="Times New Roman"/>
                      <w:b w:val="0"/>
                      <w:bCs w:val="0"/>
                      <w:sz w:val="21"/>
                      <w:szCs w:val="21"/>
                    </w:rPr>
                  </w:pPr>
                </w:p>
              </w:tc>
              <w:tc>
                <w:tcPr>
                  <w:tcW w:w="2412" w:type="pct"/>
                  <w:noWrap w:val="0"/>
                  <w:vAlign w:val="center"/>
                </w:tcPr>
                <w:p>
                  <w:pPr>
                    <w:pStyle w:val="22"/>
                    <w:keepNext w:val="0"/>
                    <w:keepLines w:val="0"/>
                    <w:pageBreakBefore w:val="0"/>
                    <w:widowControl/>
                    <w:kinsoku/>
                    <w:wordWrap/>
                    <w:overflowPunct/>
                    <w:topLinePunct w:val="0"/>
                    <w:autoSpaceDE/>
                    <w:autoSpaceDN/>
                    <w:bidi w:val="0"/>
                    <w:adjustRightInd w:val="0"/>
                    <w:snapToGrid w:val="0"/>
                    <w:spacing w:before="0" w:after="0" w:line="300" w:lineRule="exact"/>
                    <w:ind w:right="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四、提升治理水平，全面达标排放</w:t>
                  </w:r>
                </w:p>
                <w:p>
                  <w:pPr>
                    <w:rPr>
                      <w:rFonts w:hint="default" w:ascii="Times New Roman" w:hAnsi="Times New Roman" w:cs="Times New Roman"/>
                      <w:b w:val="0"/>
                      <w:bCs w:val="0"/>
                    </w:rPr>
                  </w:pPr>
                  <w:r>
                    <w:rPr>
                      <w:rFonts w:hint="default" w:ascii="Times New Roman" w:hAnsi="Times New Roman" w:eastAsia="宋体" w:cs="Times New Roman"/>
                      <w:b w:val="0"/>
                      <w:bCs/>
                      <w:color w:val="auto"/>
                      <w:sz w:val="21"/>
                      <w:szCs w:val="21"/>
                      <w:u w:val="none"/>
                      <w:vertAlign w:val="baseline"/>
                      <w:lang w:val="en-US" w:eastAsia="zh-CN"/>
                    </w:rPr>
                    <w:t>各地在2022年5月15日前全面梳理辖区内采用单一UV光氧催化、低温等离子、碱液喷淋等低效VOCs治理工艺企业，6月10日前在单一工艺基础上增加活性炭吸附工艺（颗粒状、柱状活性炭碘值不低于800毫克/克，蜂窝状活性炭碘值不低于650毫克/克），或建设RCO、RTO 等高效处理工艺，确保废气污染物稳定达标排放。</w:t>
                  </w:r>
                </w:p>
              </w:tc>
              <w:tc>
                <w:tcPr>
                  <w:tcW w:w="1230" w:type="pct"/>
                  <w:noWrap w:val="0"/>
                  <w:vAlign w:val="center"/>
                </w:tcPr>
                <w:p>
                  <w:pPr>
                    <w:rPr>
                      <w:rFonts w:hint="default" w:ascii="Times New Roman" w:hAnsi="Times New Roman" w:cs="Times New Roman"/>
                      <w:b w:val="0"/>
                      <w:bCs w:val="0"/>
                      <w:color w:val="000000"/>
                      <w:sz w:val="21"/>
                      <w:szCs w:val="21"/>
                      <w:lang w:val="en-US"/>
                    </w:rPr>
                  </w:pPr>
                  <w:r>
                    <w:rPr>
                      <w:rFonts w:hint="default" w:ascii="Times New Roman" w:hAnsi="Times New Roman" w:cs="Times New Roman"/>
                      <w:b w:val="0"/>
                      <w:bCs/>
                      <w:color w:val="auto"/>
                      <w:kern w:val="0"/>
                      <w:sz w:val="21"/>
                      <w:szCs w:val="21"/>
                      <w:u w:val="none"/>
                      <w:lang w:eastAsia="zh-CN"/>
                    </w:rPr>
                    <w:t>本项目</w:t>
                  </w:r>
                  <w:r>
                    <w:rPr>
                      <w:rFonts w:hint="default" w:ascii="Times New Roman" w:hAnsi="Times New Roman" w:cs="Times New Roman"/>
                      <w:b w:val="0"/>
                      <w:bCs/>
                      <w:color w:val="auto"/>
                      <w:kern w:val="0"/>
                      <w:sz w:val="21"/>
                      <w:szCs w:val="21"/>
                      <w:u w:val="none"/>
                      <w:lang w:val="en-US" w:eastAsia="zh-CN"/>
                    </w:rPr>
                    <w:t>VOCs治理采用“UV光氧催化+活性炭吸附装置”处理工艺，不使用单一低效的处理技术，确保废气稳定达标排放。其中活性炭吸附工艺需满足以下要求：</w:t>
                  </w:r>
                  <w:r>
                    <w:rPr>
                      <w:rFonts w:hint="default" w:ascii="Times New Roman" w:hAnsi="Times New Roman" w:eastAsia="宋体" w:cs="Times New Roman"/>
                      <w:b w:val="0"/>
                      <w:bCs/>
                      <w:color w:val="auto"/>
                      <w:sz w:val="21"/>
                      <w:szCs w:val="21"/>
                      <w:u w:val="none"/>
                      <w:vertAlign w:val="baseline"/>
                      <w:lang w:val="en-US" w:eastAsia="zh-CN"/>
                    </w:rPr>
                    <w:t>颗粒状、柱状活性炭碘值不低于800毫克/克，蜂窝状活性炭碘值不低于650毫克/克</w:t>
                  </w:r>
                  <w:r>
                    <w:rPr>
                      <w:rFonts w:hint="default" w:ascii="Times New Roman" w:hAnsi="Times New Roman" w:cs="Times New Roman"/>
                      <w:b w:val="0"/>
                      <w:bCs/>
                      <w:color w:val="auto"/>
                      <w:sz w:val="21"/>
                      <w:szCs w:val="21"/>
                      <w:u w:val="none"/>
                      <w:vertAlign w:val="baseline"/>
                      <w:lang w:val="en-US" w:eastAsia="zh-CN"/>
                    </w:rPr>
                    <w:t>。</w:t>
                  </w:r>
                </w:p>
              </w:tc>
              <w:tc>
                <w:tcPr>
                  <w:tcW w:w="459" w:type="pct"/>
                  <w:tcBorders>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9" w:hRule="atLeast"/>
                <w:jc w:val="center"/>
              </w:trPr>
              <w:tc>
                <w:tcPr>
                  <w:tcW w:w="897" w:type="pct"/>
                  <w:gridSpan w:val="2"/>
                  <w:noWrap w:val="0"/>
                  <w:vAlign w:val="center"/>
                </w:tcPr>
                <w:p>
                  <w:pP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val="en-US" w:eastAsia="zh-CN"/>
                    </w:rPr>
                    <w:t>《河南省2022年水污染防治攻坚战实施方案》</w:t>
                  </w:r>
                  <w:r>
                    <w:rPr>
                      <w:rFonts w:hint="default" w:ascii="Times New Roman" w:hAnsi="Times New Roman" w:eastAsia="宋体" w:cs="Times New Roman"/>
                      <w:b w:val="0"/>
                      <w:bCs w:val="0"/>
                      <w:color w:val="000000"/>
                      <w:sz w:val="21"/>
                      <w:szCs w:val="21"/>
                      <w:lang w:eastAsia="zh-CN"/>
                    </w:rPr>
                    <w:t>（豫环委办〔202</w:t>
                  </w:r>
                  <w:r>
                    <w:rPr>
                      <w:rFonts w:hint="default" w:ascii="Times New Roman" w:hAnsi="Times New Roman" w:eastAsia="宋体" w:cs="Times New Roman"/>
                      <w:b w:val="0"/>
                      <w:bCs w:val="0"/>
                      <w:color w:val="000000"/>
                      <w:sz w:val="21"/>
                      <w:szCs w:val="21"/>
                      <w:lang w:val="en-US" w:eastAsia="zh-CN"/>
                    </w:rPr>
                    <w:t>2</w:t>
                  </w:r>
                  <w:r>
                    <w:rPr>
                      <w:rFonts w:hint="default" w:ascii="Times New Roman" w:hAnsi="Times New Roman" w:eastAsia="宋体" w:cs="Times New Roman"/>
                      <w:b w:val="0"/>
                      <w:bCs w:val="0"/>
                      <w:color w:val="000000"/>
                      <w:sz w:val="21"/>
                      <w:szCs w:val="21"/>
                      <w:lang w:eastAsia="zh-CN"/>
                    </w:rPr>
                    <w:t>〕</w:t>
                  </w:r>
                  <w:r>
                    <w:rPr>
                      <w:rFonts w:hint="default" w:ascii="Times New Roman" w:hAnsi="Times New Roman" w:eastAsia="宋体" w:cs="Times New Roman"/>
                      <w:b w:val="0"/>
                      <w:bCs w:val="0"/>
                      <w:color w:val="000000"/>
                      <w:sz w:val="21"/>
                      <w:szCs w:val="21"/>
                      <w:lang w:val="en-US" w:eastAsia="zh-CN"/>
                    </w:rPr>
                    <w:t>9</w:t>
                  </w:r>
                  <w:r>
                    <w:rPr>
                      <w:rFonts w:hint="default" w:ascii="Times New Roman" w:hAnsi="Times New Roman" w:eastAsia="宋体" w:cs="Times New Roman"/>
                      <w:b w:val="0"/>
                      <w:bCs w:val="0"/>
                      <w:color w:val="000000"/>
                      <w:sz w:val="21"/>
                      <w:szCs w:val="21"/>
                      <w:lang w:eastAsia="zh-CN"/>
                    </w:rPr>
                    <w:t>号）</w:t>
                  </w:r>
                </w:p>
                <w:p>
                  <w:pPr>
                    <w:rPr>
                      <w:rFonts w:hint="default" w:ascii="Times New Roman" w:hAnsi="Times New Roman" w:eastAsia="宋体" w:cs="Times New Roman"/>
                      <w:b w:val="0"/>
                      <w:bCs w:val="0"/>
                      <w:color w:val="000000"/>
                      <w:sz w:val="21"/>
                      <w:szCs w:val="21"/>
                      <w:lang w:val="en-US" w:eastAsia="zh-CN"/>
                    </w:rPr>
                  </w:pPr>
                </w:p>
              </w:tc>
              <w:tc>
                <w:tcPr>
                  <w:tcW w:w="2412" w:type="pct"/>
                  <w:noWrap w:val="0"/>
                  <w:vAlign w:val="center"/>
                </w:tcPr>
                <w:p>
                  <w:pP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cs="Times New Roman"/>
                      <w:b w:val="0"/>
                      <w:bCs/>
                      <w:color w:val="auto"/>
                      <w:kern w:val="0"/>
                      <w:sz w:val="21"/>
                      <w:szCs w:val="21"/>
                      <w:u w:val="none"/>
                      <w:lang w:val="en-US" w:eastAsia="zh-CN" w:bidi="ar"/>
                    </w:rPr>
                    <w:t>14.调整优化产业结构。落实“三线一单”生态环境分区管控体系，加强重点区域、重点流域、重点行业和产业布局规划环评。持续推进钢铁、有色、石化、化工、电镀、皮革、造纸、印染、农副食品加工等行业改造转型升级，推动化工、印染、电镀等产业集群提升改造。推动重点行业、重点区域产业布局调整，实施传统产业兼并重组、城市建成区高污染企业退城入园和敏感区域、水污染严重地区高污染企业布局优化，制定实施落后产能淘汰方案。严禁在黄河干流及主要支流临岸一定范围内新建“两高一资”项目及相关产业集聚区。</w:t>
                  </w:r>
                </w:p>
              </w:tc>
              <w:tc>
                <w:tcPr>
                  <w:tcW w:w="1230" w:type="pct"/>
                  <w:noWrap w:val="0"/>
                  <w:vAlign w:val="center"/>
                </w:tcPr>
                <w:p>
                  <w:pPr>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lang w:val="en-US" w:eastAsia="zh-CN"/>
                    </w:rPr>
                    <w:t>项目符合三线一单要求</w:t>
                  </w:r>
                  <w:r>
                    <w:rPr>
                      <w:rFonts w:hint="default" w:ascii="Times New Roman" w:hAnsi="Times New Roman" w:cs="Times New Roman"/>
                      <w:b w:val="0"/>
                      <w:bCs w:val="0"/>
                      <w:color w:val="000000"/>
                      <w:sz w:val="21"/>
                      <w:szCs w:val="21"/>
                      <w:lang w:val="en-US" w:eastAsia="zh-CN"/>
                    </w:rPr>
                    <w:t>，</w:t>
                  </w:r>
                  <w:r>
                    <w:rPr>
                      <w:rFonts w:hint="default" w:ascii="Times New Roman" w:hAnsi="Times New Roman" w:eastAsia="宋体" w:cs="Times New Roman"/>
                      <w:b w:val="0"/>
                      <w:bCs w:val="0"/>
                      <w:color w:val="000000"/>
                      <w:sz w:val="21"/>
                      <w:szCs w:val="21"/>
                      <w:u w:val="none"/>
                      <w:lang w:val="en-US" w:eastAsia="zh-CN"/>
                    </w:rPr>
                    <w:t>项目营运期废水主要为生活污水。生活污水经化粪池收集后可直接进入污水管网，最终进入</w:t>
                  </w:r>
                  <w:r>
                    <w:rPr>
                      <w:rFonts w:hint="default" w:ascii="Times New Roman" w:hAnsi="Times New Roman" w:cs="Times New Roman"/>
                      <w:b w:val="0"/>
                      <w:bCs w:val="0"/>
                      <w:color w:val="000000"/>
                      <w:sz w:val="21"/>
                      <w:szCs w:val="21"/>
                      <w:u w:val="none"/>
                      <w:lang w:val="en-US" w:eastAsia="zh-CN"/>
                    </w:rPr>
                    <w:t>鲁山县产业集聚区污水处理厂</w:t>
                  </w:r>
                  <w:r>
                    <w:rPr>
                      <w:rFonts w:hint="default" w:ascii="Times New Roman" w:hAnsi="Times New Roman" w:eastAsia="宋体" w:cs="Times New Roman"/>
                      <w:b w:val="0"/>
                      <w:bCs w:val="0"/>
                      <w:color w:val="000000"/>
                      <w:sz w:val="21"/>
                      <w:szCs w:val="21"/>
                      <w:u w:val="none"/>
                      <w:lang w:val="en-US" w:eastAsia="zh-CN"/>
                    </w:rPr>
                    <w:t>进行</w:t>
                  </w:r>
                  <w:r>
                    <w:rPr>
                      <w:rFonts w:hint="default" w:ascii="Times New Roman" w:hAnsi="Times New Roman" w:cs="Times New Roman"/>
                      <w:b w:val="0"/>
                      <w:bCs w:val="0"/>
                      <w:color w:val="000000"/>
                      <w:sz w:val="21"/>
                      <w:szCs w:val="21"/>
                      <w:u w:val="none"/>
                      <w:lang w:val="en-US" w:eastAsia="zh-CN"/>
                    </w:rPr>
                    <w:t>深度达标</w:t>
                  </w:r>
                  <w:r>
                    <w:rPr>
                      <w:rFonts w:hint="default" w:ascii="Times New Roman" w:hAnsi="Times New Roman" w:eastAsia="宋体" w:cs="Times New Roman"/>
                      <w:b w:val="0"/>
                      <w:bCs w:val="0"/>
                      <w:color w:val="000000"/>
                      <w:sz w:val="21"/>
                      <w:szCs w:val="21"/>
                      <w:u w:val="none"/>
                      <w:lang w:val="en-US" w:eastAsia="zh-CN"/>
                    </w:rPr>
                    <w:t>处理</w:t>
                  </w:r>
                  <w:r>
                    <w:rPr>
                      <w:rFonts w:hint="eastAsia" w:cs="Times New Roman"/>
                      <w:b w:val="0"/>
                      <w:bCs w:val="0"/>
                      <w:color w:val="000000"/>
                      <w:sz w:val="21"/>
                      <w:szCs w:val="21"/>
                      <w:u w:val="none"/>
                      <w:lang w:val="en-US" w:eastAsia="zh-CN"/>
                    </w:rPr>
                    <w:t>，最终全部中水回用</w:t>
                  </w:r>
                  <w:r>
                    <w:rPr>
                      <w:rFonts w:hint="default" w:ascii="Times New Roman" w:hAnsi="Times New Roman" w:eastAsia="宋体" w:cs="Times New Roman"/>
                      <w:b w:val="0"/>
                      <w:bCs w:val="0"/>
                      <w:color w:val="000000"/>
                      <w:sz w:val="21"/>
                      <w:szCs w:val="21"/>
                      <w:u w:val="none"/>
                      <w:lang w:val="en-US" w:eastAsia="zh-CN"/>
                    </w:rPr>
                    <w:t>。</w:t>
                  </w:r>
                </w:p>
              </w:tc>
              <w:tc>
                <w:tcPr>
                  <w:tcW w:w="459" w:type="pct"/>
                  <w:tcBorders>
                    <w:right w:val="single" w:color="auto" w:sz="4" w:space="0"/>
                  </w:tcBorders>
                  <w:noWrap w:val="0"/>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97" w:type="pct"/>
                  <w:gridSpan w:val="2"/>
                  <w:tcBorders>
                    <w:top w:val="single" w:color="auto" w:sz="4" w:space="0"/>
                    <w:bottom w:val="single" w:color="auto" w:sz="4" w:space="0"/>
                  </w:tcBorders>
                  <w:noWrap w:val="0"/>
                  <w:vAlign w:val="center"/>
                </w:tcPr>
                <w:p>
                  <w:pP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val="en-US" w:eastAsia="zh-CN"/>
                    </w:rPr>
                    <w:t>《河南省2022年土壤污染防治攻坚战实施方案》</w:t>
                  </w:r>
                  <w:r>
                    <w:rPr>
                      <w:rFonts w:hint="default" w:ascii="Times New Roman" w:hAnsi="Times New Roman" w:eastAsia="宋体" w:cs="Times New Roman"/>
                      <w:b w:val="0"/>
                      <w:bCs w:val="0"/>
                      <w:color w:val="000000"/>
                      <w:sz w:val="21"/>
                      <w:szCs w:val="21"/>
                      <w:lang w:eastAsia="zh-CN"/>
                    </w:rPr>
                    <w:t>（豫环委办〔202</w:t>
                  </w:r>
                  <w:r>
                    <w:rPr>
                      <w:rFonts w:hint="default" w:ascii="Times New Roman" w:hAnsi="Times New Roman" w:eastAsia="宋体" w:cs="Times New Roman"/>
                      <w:b w:val="0"/>
                      <w:bCs w:val="0"/>
                      <w:color w:val="000000"/>
                      <w:sz w:val="21"/>
                      <w:szCs w:val="21"/>
                      <w:lang w:val="en-US" w:eastAsia="zh-CN"/>
                    </w:rPr>
                    <w:t>2</w:t>
                  </w:r>
                  <w:r>
                    <w:rPr>
                      <w:rFonts w:hint="default" w:ascii="Times New Roman" w:hAnsi="Times New Roman" w:eastAsia="宋体" w:cs="Times New Roman"/>
                      <w:b w:val="0"/>
                      <w:bCs w:val="0"/>
                      <w:color w:val="000000"/>
                      <w:sz w:val="21"/>
                      <w:szCs w:val="21"/>
                      <w:lang w:eastAsia="zh-CN"/>
                    </w:rPr>
                    <w:t>〕</w:t>
                  </w:r>
                  <w:r>
                    <w:rPr>
                      <w:rFonts w:hint="default" w:ascii="Times New Roman" w:hAnsi="Times New Roman" w:eastAsia="宋体" w:cs="Times New Roman"/>
                      <w:b w:val="0"/>
                      <w:bCs w:val="0"/>
                      <w:color w:val="000000"/>
                      <w:sz w:val="21"/>
                      <w:szCs w:val="21"/>
                      <w:lang w:val="en-US" w:eastAsia="zh-CN"/>
                    </w:rPr>
                    <w:t>9</w:t>
                  </w:r>
                  <w:r>
                    <w:rPr>
                      <w:rFonts w:hint="default" w:ascii="Times New Roman" w:hAnsi="Times New Roman" w:eastAsia="宋体" w:cs="Times New Roman"/>
                      <w:b w:val="0"/>
                      <w:bCs w:val="0"/>
                      <w:color w:val="000000"/>
                      <w:sz w:val="21"/>
                      <w:szCs w:val="21"/>
                      <w:lang w:eastAsia="zh-CN"/>
                    </w:rPr>
                    <w:t>号）</w:t>
                  </w:r>
                </w:p>
                <w:p>
                  <w:pPr>
                    <w:rPr>
                      <w:rFonts w:hint="default" w:ascii="Times New Roman" w:hAnsi="Times New Roman" w:eastAsia="宋体" w:cs="Times New Roman"/>
                      <w:b w:val="0"/>
                      <w:bCs w:val="0"/>
                      <w:color w:val="000000"/>
                      <w:sz w:val="21"/>
                      <w:szCs w:val="21"/>
                      <w:lang w:val="en-US" w:eastAsia="zh-CN"/>
                    </w:rPr>
                  </w:pPr>
                </w:p>
              </w:tc>
              <w:tc>
                <w:tcPr>
                  <w:tcW w:w="2412" w:type="pct"/>
                  <w:noWrap w:val="0"/>
                  <w:vAlign w:val="center"/>
                </w:tcPr>
                <w:p>
                  <w:pP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（二）强化土壤污染源头防控</w:t>
                  </w:r>
                </w:p>
                <w:p>
                  <w:pP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1.推动涉重金属企业绿色化发展。5.支持开展“无废城市”建设试点，全面加强固体废物治理体系和能力建设。持续开展危险废物专项整治，全面提升危险废物环境监管、利用处置和环境风险防范“三个能力”，推动危险废物监管和利用处置能力改革工作。</w:t>
                  </w:r>
                </w:p>
              </w:tc>
              <w:tc>
                <w:tcPr>
                  <w:tcW w:w="1230" w:type="pct"/>
                  <w:noWrap w:val="0"/>
                  <w:vAlign w:val="center"/>
                </w:tcPr>
                <w:p>
                  <w:pPr>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本项目生产过程中不涉及重金属。本项目生产过程中产生的</w:t>
                  </w:r>
                  <w:r>
                    <w:rPr>
                      <w:rFonts w:hint="default" w:ascii="Times New Roman" w:hAnsi="Times New Roman" w:eastAsia="宋体" w:cs="Times New Roman"/>
                      <w:b w:val="0"/>
                      <w:bCs w:val="0"/>
                      <w:lang w:val="en-US" w:eastAsia="zh-CN"/>
                    </w:rPr>
                    <w:t>一般固废的贮存和处置方法执行《一般工业固体废物贮存和填埋污染控制标准》（GB18599-2020）标准的规定；</w:t>
                  </w:r>
                  <w:r>
                    <w:rPr>
                      <w:rFonts w:hint="default" w:ascii="Times New Roman" w:hAnsi="Times New Roman" w:eastAsia="宋体" w:cs="Times New Roman"/>
                      <w:b w:val="0"/>
                      <w:bCs w:val="0"/>
                      <w:color w:val="auto"/>
                      <w:kern w:val="2"/>
                      <w:sz w:val="21"/>
                      <w:szCs w:val="24"/>
                      <w:lang w:val="en-US" w:eastAsia="zh-CN" w:bidi="ar-SA"/>
                    </w:rPr>
                    <w:t>危险废物须按《危险废物贮存污染控制标准》进行贮存，并委托资质单位进行安全处置。危险废物的暂存要求严格按照环境保护部公告2017年第43号《建设项目危险废物环境影响评价指南》和《危险废物贮存污染控制标准》（GBl8597-20</w:t>
                  </w:r>
                  <w:r>
                    <w:rPr>
                      <w:rFonts w:hint="default" w:ascii="Times New Roman" w:hAnsi="Times New Roman" w:cs="Times New Roman"/>
                      <w:b w:val="0"/>
                      <w:bCs w:val="0"/>
                      <w:color w:val="auto"/>
                      <w:kern w:val="2"/>
                      <w:sz w:val="21"/>
                      <w:szCs w:val="24"/>
                      <w:lang w:val="en-US" w:eastAsia="zh-CN" w:bidi="ar-SA"/>
                    </w:rPr>
                    <w:t>23</w:t>
                  </w:r>
                  <w:r>
                    <w:rPr>
                      <w:rFonts w:hint="default" w:ascii="Times New Roman" w:hAnsi="Times New Roman" w:eastAsia="宋体" w:cs="Times New Roman"/>
                      <w:b w:val="0"/>
                      <w:bCs w:val="0"/>
                      <w:color w:val="auto"/>
                      <w:kern w:val="2"/>
                      <w:sz w:val="21"/>
                      <w:szCs w:val="24"/>
                      <w:lang w:val="en-US" w:eastAsia="zh-CN" w:bidi="ar-SA"/>
                    </w:rPr>
                    <w:t>）中的相关要求，做到“四防”（防风、防雨、防晒、防渗漏），严格做到防渗和渗漏收集措施，设置不同废物的</w:t>
                  </w:r>
                  <w:r>
                    <w:rPr>
                      <w:rFonts w:hint="default" w:ascii="Times New Roman" w:hAnsi="Times New Roman" w:cs="Times New Roman"/>
                      <w:b w:val="0"/>
                      <w:bCs w:val="0"/>
                      <w:color w:val="auto"/>
                      <w:kern w:val="2"/>
                      <w:sz w:val="21"/>
                      <w:szCs w:val="24"/>
                      <w:lang w:val="en-US" w:eastAsia="zh-CN" w:bidi="ar-SA"/>
                    </w:rPr>
                    <w:t>警示标识</w:t>
                  </w:r>
                  <w:r>
                    <w:rPr>
                      <w:rFonts w:hint="default" w:ascii="Times New Roman" w:hAnsi="Times New Roman" w:eastAsia="宋体" w:cs="Times New Roman"/>
                      <w:b w:val="0"/>
                      <w:bCs w:val="0"/>
                      <w:color w:val="auto"/>
                      <w:kern w:val="2"/>
                      <w:sz w:val="21"/>
                      <w:szCs w:val="24"/>
                      <w:lang w:val="en-US" w:eastAsia="zh-CN" w:bidi="ar-SA"/>
                    </w:rPr>
                    <w:t>。</w:t>
                  </w:r>
                </w:p>
              </w:tc>
              <w:tc>
                <w:tcPr>
                  <w:tcW w:w="459" w:type="pct"/>
                  <w:tcBorders>
                    <w:right w:val="single" w:color="auto" w:sz="4" w:space="0"/>
                  </w:tcBorders>
                  <w:noWrap w:val="0"/>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97" w:type="pct"/>
                  <w:gridSpan w:val="2"/>
                  <w:vMerge w:val="restart"/>
                  <w:tcBorders>
                    <w:top w:val="single" w:color="auto" w:sz="4" w:space="0"/>
                  </w:tcBorders>
                  <w:noWrap w:val="0"/>
                  <w:vAlign w:val="center"/>
                </w:tcPr>
                <w:p>
                  <w:pPr>
                    <w:rPr>
                      <w:rFonts w:hint="default" w:ascii="Times New Roman" w:hAnsi="Times New Roman" w:eastAsia="宋体" w:cs="Times New Roman"/>
                      <w:b w:val="0"/>
                      <w:bCs w:val="0"/>
                      <w:color w:val="000000"/>
                      <w:sz w:val="21"/>
                      <w:szCs w:val="21"/>
                      <w:lang w:eastAsia="zh-CN"/>
                    </w:rPr>
                  </w:pPr>
                  <w:r>
                    <w:rPr>
                      <w:rFonts w:hint="default" w:ascii="Times New Roman" w:hAnsi="Times New Roman" w:cs="Times New Roman"/>
                      <w:b w:val="0"/>
                      <w:bCs/>
                      <w:color w:val="auto"/>
                      <w:kern w:val="0"/>
                      <w:sz w:val="21"/>
                      <w:szCs w:val="21"/>
                      <w:u w:val="none"/>
                      <w:lang w:val="en-US" w:eastAsia="zh-CN" w:bidi="ar"/>
                    </w:rPr>
                    <w:t>《河南省2022年大气污染防治攻坚战实施方案》</w:t>
                  </w:r>
                  <w:r>
                    <w:rPr>
                      <w:rFonts w:hint="default" w:ascii="Times New Roman" w:hAnsi="Times New Roman" w:eastAsia="宋体" w:cs="Times New Roman"/>
                      <w:b w:val="0"/>
                      <w:bCs w:val="0"/>
                      <w:color w:val="000000"/>
                      <w:sz w:val="21"/>
                      <w:szCs w:val="21"/>
                      <w:lang w:eastAsia="zh-CN"/>
                    </w:rPr>
                    <w:t>（豫环委办〔202</w:t>
                  </w:r>
                  <w:r>
                    <w:rPr>
                      <w:rFonts w:hint="default" w:ascii="Times New Roman" w:hAnsi="Times New Roman" w:eastAsia="宋体" w:cs="Times New Roman"/>
                      <w:b w:val="0"/>
                      <w:bCs w:val="0"/>
                      <w:color w:val="000000"/>
                      <w:sz w:val="21"/>
                      <w:szCs w:val="21"/>
                      <w:lang w:val="en-US" w:eastAsia="zh-CN"/>
                    </w:rPr>
                    <w:t>2</w:t>
                  </w:r>
                  <w:r>
                    <w:rPr>
                      <w:rFonts w:hint="default" w:ascii="Times New Roman" w:hAnsi="Times New Roman" w:eastAsia="宋体" w:cs="Times New Roman"/>
                      <w:b w:val="0"/>
                      <w:bCs w:val="0"/>
                      <w:color w:val="000000"/>
                      <w:sz w:val="21"/>
                      <w:szCs w:val="21"/>
                      <w:lang w:eastAsia="zh-CN"/>
                    </w:rPr>
                    <w:t>〕</w:t>
                  </w:r>
                  <w:r>
                    <w:rPr>
                      <w:rFonts w:hint="default" w:ascii="Times New Roman" w:hAnsi="Times New Roman" w:eastAsia="宋体" w:cs="Times New Roman"/>
                      <w:b w:val="0"/>
                      <w:bCs w:val="0"/>
                      <w:color w:val="000000"/>
                      <w:sz w:val="21"/>
                      <w:szCs w:val="21"/>
                      <w:lang w:val="en-US" w:eastAsia="zh-CN"/>
                    </w:rPr>
                    <w:t>9</w:t>
                  </w:r>
                  <w:r>
                    <w:rPr>
                      <w:rFonts w:hint="default" w:ascii="Times New Roman" w:hAnsi="Times New Roman" w:eastAsia="宋体" w:cs="Times New Roman"/>
                      <w:b w:val="0"/>
                      <w:bCs w:val="0"/>
                      <w:color w:val="000000"/>
                      <w:sz w:val="21"/>
                      <w:szCs w:val="21"/>
                      <w:lang w:eastAsia="zh-CN"/>
                    </w:rPr>
                    <w:t>号）</w:t>
                  </w:r>
                </w:p>
                <w:p>
                  <w:pPr>
                    <w:rPr>
                      <w:rFonts w:hint="default" w:ascii="Times New Roman" w:hAnsi="Times New Roman" w:eastAsia="宋体" w:cs="Times New Roman"/>
                      <w:b w:val="0"/>
                      <w:bCs w:val="0"/>
                      <w:color w:val="000000"/>
                      <w:sz w:val="21"/>
                      <w:szCs w:val="21"/>
                      <w:u w:val="none"/>
                      <w:lang w:val="en-US" w:eastAsia="zh-CN"/>
                    </w:rPr>
                  </w:pPr>
                </w:p>
              </w:tc>
              <w:tc>
                <w:tcPr>
                  <w:tcW w:w="241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textAlignment w:val="auto"/>
                    <w:rPr>
                      <w:rFonts w:hint="default" w:ascii="Times New Roman" w:hAnsi="Times New Roman" w:eastAsia="宋体" w:cs="Times New Roman"/>
                      <w:b w:val="0"/>
                      <w:bCs/>
                      <w:color w:val="auto"/>
                      <w:kern w:val="0"/>
                      <w:sz w:val="21"/>
                      <w:szCs w:val="21"/>
                      <w:u w:val="none"/>
                      <w:lang w:val="en-US" w:eastAsia="zh-CN" w:bidi="ar"/>
                    </w:rPr>
                  </w:pPr>
                  <w:r>
                    <w:rPr>
                      <w:rFonts w:hint="default" w:ascii="Times New Roman" w:hAnsi="Times New Roman" w:cs="Times New Roman"/>
                      <w:b w:val="0"/>
                      <w:bCs/>
                      <w:color w:val="auto"/>
                      <w:kern w:val="0"/>
                      <w:sz w:val="21"/>
                      <w:szCs w:val="21"/>
                      <w:u w:val="none"/>
                      <w:lang w:val="en-US" w:eastAsia="zh-CN" w:bidi="ar"/>
                    </w:rPr>
                    <w:t>3.推进绿色低碳产业发展。落实国家产业规划、产业政策、“三线一单”、规划环评，以及产能置换、煤炭消费减量替代、区域污染物削减等相关要求，积极支持节能环保、新能源等战略性新兴产业发展，坚决遏制高耗能、高排放项目盲目建设。落实“两高”项目会商联审机制，强化项目环评及“三同时”管理，重点行业企业新建、扩建项目达到A级绩效水平，改建项目达到B级以上绩效水平。严禁新增钢铁、电解铝、水泥熟料、平板玻璃、煤化工（甲醇、合成氨）、氧化铝、焦化、铸造、铝用碳素、烧结砖瓦、铁合金等行业产能。禁止耐火材料、铅锌冶炼（含再生铅）行业单纯新增产能。水泥行业产能置换项目应实现矿石皮带廊密闭运输，大宗物料产品清洁运输。</w:t>
                  </w:r>
                </w:p>
              </w:tc>
              <w:tc>
                <w:tcPr>
                  <w:tcW w:w="12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
                      <w:sz w:val="21"/>
                      <w:szCs w:val="21"/>
                      <w:u w:val="none"/>
                      <w:vertAlign w:val="baseline"/>
                      <w:lang w:val="en-US" w:eastAsia="zh-CN" w:bidi="ar-SA"/>
                    </w:rPr>
                  </w:pPr>
                  <w:r>
                    <w:rPr>
                      <w:rFonts w:hint="default" w:ascii="Times New Roman" w:hAnsi="Times New Roman" w:cs="Times New Roman"/>
                      <w:b w:val="0"/>
                      <w:bCs/>
                      <w:color w:val="auto"/>
                      <w:kern w:val="0"/>
                      <w:sz w:val="21"/>
                      <w:szCs w:val="21"/>
                      <w:u w:val="none"/>
                      <w:lang w:val="en-US" w:eastAsia="zh-CN" w:bidi="ar"/>
                    </w:rPr>
                    <w:t>本项目不属于高耗能、高排放项目，能够</w:t>
                  </w:r>
                  <w:r>
                    <w:rPr>
                      <w:rFonts w:hint="default" w:ascii="Times New Roman" w:hAnsi="Times New Roman" w:cs="Times New Roman"/>
                      <w:b w:val="0"/>
                      <w:bCs/>
                      <w:color w:val="auto"/>
                      <w:kern w:val="0"/>
                      <w:sz w:val="21"/>
                      <w:szCs w:val="21"/>
                      <w:highlight w:val="none"/>
                      <w:u w:val="none"/>
                      <w:lang w:val="en-US" w:eastAsia="zh-CN" w:bidi="ar"/>
                    </w:rPr>
                    <w:t>达到</w:t>
                  </w:r>
                  <w:r>
                    <w:rPr>
                      <w:rFonts w:hint="default" w:ascii="Times New Roman" w:hAnsi="Times New Roman" w:cs="Times New Roman"/>
                      <w:b w:val="0"/>
                      <w:bCs/>
                      <w:color w:val="auto"/>
                      <w:kern w:val="0"/>
                      <w:sz w:val="21"/>
                      <w:szCs w:val="21"/>
                      <w:u w:val="none"/>
                      <w:lang w:val="en-US" w:eastAsia="zh-CN" w:bidi="ar"/>
                    </w:rPr>
                    <w:t>工业涂装行业</w:t>
                  </w:r>
                  <w:r>
                    <w:rPr>
                      <w:rFonts w:hint="default" w:ascii="Times New Roman" w:hAnsi="Times New Roman" w:cs="Times New Roman"/>
                      <w:b w:val="0"/>
                      <w:bCs/>
                      <w:color w:val="auto"/>
                      <w:kern w:val="0"/>
                      <w:sz w:val="21"/>
                      <w:szCs w:val="21"/>
                      <w:highlight w:val="none"/>
                      <w:u w:val="none"/>
                      <w:lang w:val="en-US" w:eastAsia="zh-CN" w:bidi="ar"/>
                    </w:rPr>
                    <w:t>A级绩效水平。</w:t>
                  </w:r>
                </w:p>
              </w:tc>
              <w:tc>
                <w:tcPr>
                  <w:tcW w:w="459" w:type="pct"/>
                  <w:tcBorders>
                    <w:right w:val="single" w:color="auto" w:sz="4" w:space="0"/>
                  </w:tcBorders>
                  <w:noWrap w:val="0"/>
                  <w:vAlign w:val="center"/>
                </w:tcPr>
                <w:p>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cs="Times New Roman"/>
                      <w:b w:val="0"/>
                      <w:bCs w:val="0"/>
                      <w:color w:val="000000"/>
                      <w:sz w:val="21"/>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97" w:type="pct"/>
                  <w:gridSpan w:val="2"/>
                  <w:vMerge w:val="continue"/>
                  <w:noWrap w:val="0"/>
                  <w:vAlign w:val="center"/>
                </w:tcPr>
                <w:p>
                  <w:pPr>
                    <w:rPr>
                      <w:rFonts w:hint="default" w:ascii="Times New Roman" w:hAnsi="Times New Roman" w:cs="Times New Roman"/>
                      <w:b w:val="0"/>
                      <w:bCs/>
                      <w:color w:val="auto"/>
                      <w:kern w:val="0"/>
                      <w:sz w:val="21"/>
                      <w:szCs w:val="21"/>
                      <w:u w:val="none"/>
                      <w:lang w:val="en-US" w:eastAsia="zh-CN" w:bidi="ar"/>
                    </w:rPr>
                  </w:pPr>
                </w:p>
              </w:tc>
              <w:tc>
                <w:tcPr>
                  <w:tcW w:w="2412" w:type="pct"/>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20" w:lineRule="exact"/>
                    <w:textAlignment w:val="auto"/>
                    <w:rPr>
                      <w:rFonts w:hint="default" w:ascii="Times New Roman" w:hAnsi="Times New Roman" w:eastAsia="宋体" w:cs="Times New Roman"/>
                      <w:b w:val="0"/>
                      <w:bCs/>
                      <w:color w:val="auto"/>
                      <w:kern w:val="0"/>
                      <w:sz w:val="21"/>
                      <w:szCs w:val="21"/>
                      <w:u w:val="none"/>
                      <w:lang w:val="en-US" w:eastAsia="zh-CN" w:bidi="ar"/>
                    </w:rPr>
                  </w:pPr>
                  <w:r>
                    <w:rPr>
                      <w:rFonts w:hint="default" w:ascii="Times New Roman" w:hAnsi="Times New Roman" w:eastAsia="宋体" w:cs="Times New Roman"/>
                      <w:b w:val="0"/>
                      <w:bCs/>
                      <w:color w:val="auto"/>
                      <w:kern w:val="0"/>
                      <w:sz w:val="21"/>
                      <w:szCs w:val="21"/>
                      <w:u w:val="none"/>
                      <w:lang w:val="en-US" w:eastAsia="zh-CN" w:bidi="ar"/>
                    </w:rPr>
                    <w:t>6.实施清洁能源替代。大力推进清洁能源应用，鼓励支持现有使用高污染燃料的工业炉窑改用工业余热、电能、天然气等，对2024年10月底前完成拆改任务的工业炉窑，优先给予大气污染防治专项资金支持。新、改、扩建加热炉、热处理炉、干燥炉、熔化炉等工业窑炉，应采用清洁能源。全省禁止新建企业自备燃煤锅炉，全面淘汰35蒸吨/小时及以下的燃煤锅炉。淘汰方式主要包括拆除、实施集中供热替代、煤改气、煤改电等，以拆除方式淘汰的，必须拆除炉体或物理切断管道，使其不具备复产条件。</w:t>
                  </w:r>
                </w:p>
              </w:tc>
              <w:tc>
                <w:tcPr>
                  <w:tcW w:w="12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
                      <w:sz w:val="21"/>
                      <w:szCs w:val="21"/>
                      <w:u w:val="none"/>
                      <w:vertAlign w:val="baseline"/>
                      <w:lang w:val="en-US" w:eastAsia="zh-CN" w:bidi="ar-SA"/>
                    </w:rPr>
                  </w:pPr>
                  <w:r>
                    <w:rPr>
                      <w:rFonts w:hint="default" w:ascii="Times New Roman" w:hAnsi="Times New Roman" w:eastAsia="宋体" w:cs="Times New Roman"/>
                      <w:b w:val="0"/>
                      <w:bCs/>
                      <w:color w:val="auto"/>
                      <w:kern w:val="0"/>
                      <w:sz w:val="21"/>
                      <w:szCs w:val="21"/>
                      <w:u w:val="none"/>
                      <w:lang w:val="en-US" w:eastAsia="zh-CN" w:bidi="ar"/>
                    </w:rPr>
                    <w:t>本项目</w:t>
                  </w:r>
                  <w:r>
                    <w:rPr>
                      <w:rFonts w:hint="default" w:ascii="Times New Roman" w:hAnsi="Times New Roman" w:cs="Times New Roman"/>
                      <w:b w:val="0"/>
                      <w:bCs/>
                      <w:color w:val="auto"/>
                      <w:kern w:val="0"/>
                      <w:sz w:val="21"/>
                      <w:szCs w:val="21"/>
                      <w:u w:val="none"/>
                      <w:lang w:val="en-US" w:eastAsia="zh-CN" w:bidi="ar"/>
                    </w:rPr>
                    <w:t>烘烤工序燃料</w:t>
                  </w:r>
                  <w:r>
                    <w:rPr>
                      <w:rFonts w:hint="default" w:ascii="Times New Roman" w:hAnsi="Times New Roman" w:eastAsia="宋体" w:cs="Times New Roman"/>
                      <w:b w:val="0"/>
                      <w:bCs/>
                      <w:color w:val="auto"/>
                      <w:kern w:val="0"/>
                      <w:sz w:val="21"/>
                      <w:szCs w:val="21"/>
                      <w:u w:val="none"/>
                      <w:lang w:val="en-US" w:eastAsia="zh-CN" w:bidi="ar"/>
                    </w:rPr>
                    <w:t>采用</w:t>
                  </w:r>
                  <w:r>
                    <w:rPr>
                      <w:rFonts w:hint="default" w:ascii="Times New Roman" w:hAnsi="Times New Roman" w:cs="Times New Roman"/>
                      <w:b w:val="0"/>
                      <w:bCs/>
                      <w:color w:val="auto"/>
                      <w:kern w:val="0"/>
                      <w:sz w:val="21"/>
                      <w:szCs w:val="21"/>
                      <w:u w:val="none"/>
                      <w:lang w:val="en-US" w:eastAsia="zh-CN" w:bidi="ar"/>
                    </w:rPr>
                    <w:t>天然气</w:t>
                  </w:r>
                  <w:r>
                    <w:rPr>
                      <w:rFonts w:hint="default" w:ascii="Times New Roman" w:hAnsi="Times New Roman" w:eastAsia="宋体" w:cs="Times New Roman"/>
                      <w:b w:val="0"/>
                      <w:bCs/>
                      <w:color w:val="auto"/>
                      <w:kern w:val="0"/>
                      <w:sz w:val="21"/>
                      <w:szCs w:val="21"/>
                      <w:u w:val="none"/>
                      <w:lang w:val="en-US" w:eastAsia="zh-CN" w:bidi="ar"/>
                    </w:rPr>
                    <w:t>为燃料，为清洁能源</w:t>
                  </w:r>
                </w:p>
              </w:tc>
              <w:tc>
                <w:tcPr>
                  <w:tcW w:w="459" w:type="pct"/>
                  <w:tcBorders>
                    <w:right w:val="single" w:color="auto" w:sz="4" w:space="0"/>
                  </w:tcBorders>
                  <w:noWrap w:val="0"/>
                  <w:vAlign w:val="center"/>
                </w:tcPr>
                <w:p>
                  <w:pPr>
                    <w:jc w:val="center"/>
                    <w:rPr>
                      <w:rFonts w:hint="default" w:ascii="Times New Roman" w:hAnsi="Times New Roman" w:cs="Times New Roman"/>
                      <w:b w:val="0"/>
                      <w:bCs w:val="0"/>
                      <w:color w:val="000000"/>
                      <w:sz w:val="21"/>
                      <w:szCs w:val="21"/>
                      <w:lang w:eastAsia="zh-CN"/>
                    </w:rPr>
                  </w:pPr>
                  <w:r>
                    <w:rPr>
                      <w:rFonts w:hint="default" w:ascii="Times New Roman" w:hAnsi="Times New Roman" w:cs="Times New Roman"/>
                      <w:b w:val="0"/>
                      <w:bCs w:val="0"/>
                      <w:color w:val="000000"/>
                      <w:sz w:val="21"/>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97" w:type="pct"/>
                  <w:gridSpan w:val="2"/>
                  <w:vMerge w:val="continue"/>
                  <w:noWrap w:val="0"/>
                  <w:vAlign w:val="center"/>
                </w:tcPr>
                <w:p>
                  <w:pPr>
                    <w:rPr>
                      <w:rFonts w:hint="default" w:ascii="Times New Roman" w:hAnsi="Times New Roman" w:cs="Times New Roman"/>
                      <w:b w:val="0"/>
                      <w:bCs/>
                      <w:color w:val="auto"/>
                      <w:kern w:val="0"/>
                      <w:sz w:val="21"/>
                      <w:szCs w:val="21"/>
                      <w:u w:val="none"/>
                      <w:lang w:val="en-US" w:eastAsia="zh-CN" w:bidi="ar"/>
                    </w:rPr>
                  </w:pPr>
                </w:p>
              </w:tc>
              <w:tc>
                <w:tcPr>
                  <w:tcW w:w="2412" w:type="pct"/>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20" w:lineRule="exact"/>
                    <w:textAlignment w:val="auto"/>
                    <w:rPr>
                      <w:rFonts w:hint="default" w:ascii="Times New Roman" w:hAnsi="Times New Roman" w:eastAsia="宋体" w:cs="Times New Roman"/>
                      <w:b w:val="0"/>
                      <w:bCs/>
                      <w:color w:val="auto"/>
                      <w:kern w:val="0"/>
                      <w:sz w:val="21"/>
                      <w:szCs w:val="21"/>
                      <w:u w:val="none"/>
                      <w:lang w:val="en-US" w:eastAsia="zh-CN" w:bidi="ar"/>
                    </w:rPr>
                  </w:pPr>
                  <w:r>
                    <w:rPr>
                      <w:rFonts w:hint="default" w:ascii="Times New Roman" w:hAnsi="Times New Roman" w:eastAsia="宋体" w:cs="Times New Roman"/>
                      <w:b w:val="0"/>
                      <w:bCs/>
                      <w:color w:val="auto"/>
                      <w:kern w:val="0"/>
                      <w:sz w:val="21"/>
                      <w:szCs w:val="21"/>
                      <w:u w:val="none"/>
                      <w:lang w:val="en-US" w:eastAsia="zh-CN" w:bidi="ar"/>
                    </w:rPr>
                    <w:t>23.加快推进低VOCs含量原辅材料源头替代。加大科技攻关，推广新兴技术和原辅材料，各省辖市制定实施汽车制造、工业涂装、家具制造、包装印刷、钢结构制造、工程机械等行业溶剂型涂料、油墨、胶粘剂、清洗剂使用低VOCs含量原辅材料替代计划。在房屋建筑和市政工程中，推广使用低VOCs含量涂料和胶粘剂；除特殊功能要求外的室内地坪施工、室外构筑物防护和道路交通标志全面使用低VOCs含量涂料。加强涂料、油墨、胶粘剂、清洗剂VOCs含量限值标准的检测与监管，组织开展生产、销售环节产品质量的联合检查，曝光不合格产品并追溯其生产、销售、进口、使用企业，依法追究责任。对原辅材料全部实施源头替代的企业或生产工序，在重污染天气应急管控期间可实施自主减排。对无法实现低VOCs原辅材料替代的工序，在保证安全情况下，应在密闭设备、密闭空间作业或安装二次密闭设施，收集处理VOCs废气。</w:t>
                  </w:r>
                </w:p>
              </w:tc>
              <w:tc>
                <w:tcPr>
                  <w:tcW w:w="12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0"/>
                      <w:sz w:val="21"/>
                      <w:szCs w:val="21"/>
                      <w:u w:val="none"/>
                      <w:lang w:val="en-US" w:eastAsia="zh-CN" w:bidi="ar-SA"/>
                    </w:rPr>
                  </w:pPr>
                  <w:r>
                    <w:rPr>
                      <w:rFonts w:hint="default" w:ascii="Times New Roman" w:hAnsi="Times New Roman" w:cs="Times New Roman"/>
                      <w:b w:val="0"/>
                      <w:bCs/>
                      <w:color w:val="auto"/>
                      <w:kern w:val="0"/>
                      <w:sz w:val="21"/>
                      <w:szCs w:val="21"/>
                      <w:u w:val="none"/>
                      <w:lang w:val="en-US" w:eastAsia="zh-CN" w:bidi="ar"/>
                    </w:rPr>
                    <w:t>本项目使用低VOCs含量的粉末涂料</w:t>
                  </w:r>
                </w:p>
              </w:tc>
              <w:tc>
                <w:tcPr>
                  <w:tcW w:w="459" w:type="pct"/>
                  <w:tcBorders>
                    <w:right w:val="single" w:color="auto" w:sz="4" w:space="0"/>
                  </w:tcBorders>
                  <w:noWrap w:val="0"/>
                  <w:vAlign w:val="center"/>
                </w:tcPr>
                <w:p>
                  <w:pPr>
                    <w:jc w:val="center"/>
                    <w:rPr>
                      <w:rFonts w:hint="default" w:ascii="Times New Roman" w:hAnsi="Times New Roman" w:cs="Times New Roman"/>
                      <w:b w:val="0"/>
                      <w:bCs w:val="0"/>
                      <w:color w:val="000000"/>
                      <w:sz w:val="21"/>
                      <w:szCs w:val="21"/>
                      <w:lang w:eastAsia="zh-CN"/>
                    </w:rPr>
                  </w:pPr>
                  <w:r>
                    <w:rPr>
                      <w:rFonts w:hint="default" w:ascii="Times New Roman" w:hAnsi="Times New Roman" w:cs="Times New Roman"/>
                      <w:b w:val="0"/>
                      <w:bCs w:val="0"/>
                      <w:color w:val="000000"/>
                      <w:sz w:val="21"/>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2" w:type="pct"/>
                  <w:vMerge w:val="restart"/>
                  <w:noWrap w:val="0"/>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《挥发性有机物无组织排放控制标准》（GB37822-2019）</w:t>
                  </w:r>
                </w:p>
              </w:tc>
              <w:tc>
                <w:tcPr>
                  <w:tcW w:w="444" w:type="pct"/>
                  <w:vMerge w:val="restart"/>
                  <w:noWrap w:val="0"/>
                  <w:vAlign w:val="center"/>
                </w:tcPr>
                <w:p>
                  <w:pPr>
                    <w:spacing w:line="360" w:lineRule="exact"/>
                    <w:jc w:val="center"/>
                    <w:rPr>
                      <w:rFonts w:hint="default" w:ascii="Times New Roman" w:hAnsi="Times New Roman" w:cs="Times New Roman"/>
                      <w:lang w:val="en-US" w:eastAsia="zh-CN"/>
                    </w:rPr>
                  </w:pPr>
                  <w:r>
                    <w:rPr>
                      <w:rFonts w:hint="default" w:ascii="Times New Roman" w:hAnsi="Times New Roman" w:cs="Times New Roman"/>
                      <w:color w:val="auto"/>
                      <w:lang w:val="en-US" w:eastAsia="zh-CN"/>
                    </w:rPr>
                    <w:t>工</w:t>
                  </w:r>
                  <w:r>
                    <w:rPr>
                      <w:rFonts w:hint="default" w:ascii="Times New Roman" w:hAnsi="Times New Roman" w:cs="Times New Roman"/>
                      <w:color w:val="auto"/>
                    </w:rPr>
                    <w:t>艺过程VOCs无组织排放控制要</w:t>
                  </w:r>
                </w:p>
              </w:tc>
              <w:tc>
                <w:tcPr>
                  <w:tcW w:w="2412" w:type="pct"/>
                  <w:noWrap w:val="0"/>
                  <w:vAlign w:val="center"/>
                </w:tcPr>
                <w:p>
                  <w:pPr>
                    <w:spacing w:line="360" w:lineRule="exact"/>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液态VOCs物料应采用密闭管道输送方式或采用高位槽（罐）、桶泵等给料方式密闭投加。无法密闭投加的，应在密闭空间内操作，或进行局部气体收集，废气应排至VOCs废气收集处理系统。</w:t>
                  </w:r>
                </w:p>
              </w:tc>
              <w:tc>
                <w:tcPr>
                  <w:tcW w:w="1230" w:type="pct"/>
                  <w:vMerge w:val="restart"/>
                  <w:noWrap w:val="0"/>
                  <w:vAlign w:val="center"/>
                </w:tcPr>
                <w:p>
                  <w:pPr>
                    <w:rPr>
                      <w:rFonts w:hint="default" w:ascii="Times New Roman" w:hAnsi="Times New Roman" w:cs="Times New Roman"/>
                      <w:lang w:val="en-US" w:eastAsia="zh-CN"/>
                    </w:rPr>
                  </w:pPr>
                  <w:r>
                    <w:rPr>
                      <w:rFonts w:hint="default" w:ascii="Times New Roman" w:hAnsi="Times New Roman" w:eastAsia="宋体" w:cs="Times New Roman"/>
                      <w:b w:val="0"/>
                      <w:bCs/>
                      <w:color w:val="auto"/>
                      <w:sz w:val="21"/>
                      <w:szCs w:val="21"/>
                      <w:u w:val="none"/>
                      <w:vertAlign w:val="baseline"/>
                      <w:lang w:val="en-US" w:eastAsia="zh-CN"/>
                    </w:rPr>
                    <w:t>本项目运营期生产过程全程在封闭车间内进行，烘</w:t>
                  </w:r>
                  <w:r>
                    <w:rPr>
                      <w:rFonts w:hint="default" w:ascii="Times New Roman" w:hAnsi="Times New Roman" w:cs="Times New Roman"/>
                      <w:b w:val="0"/>
                      <w:bCs/>
                      <w:color w:val="auto"/>
                      <w:sz w:val="21"/>
                      <w:szCs w:val="21"/>
                      <w:u w:val="none"/>
                      <w:vertAlign w:val="baseline"/>
                      <w:lang w:val="en-US" w:eastAsia="zh-CN"/>
                    </w:rPr>
                    <w:t>烤</w:t>
                  </w:r>
                  <w:r>
                    <w:rPr>
                      <w:rFonts w:hint="default" w:ascii="Times New Roman" w:hAnsi="Times New Roman" w:eastAsia="宋体" w:cs="Times New Roman"/>
                      <w:b w:val="0"/>
                      <w:bCs/>
                      <w:color w:val="auto"/>
                      <w:sz w:val="21"/>
                      <w:szCs w:val="21"/>
                      <w:u w:val="none"/>
                      <w:vertAlign w:val="baseline"/>
                      <w:lang w:val="en-US" w:eastAsia="zh-CN"/>
                    </w:rPr>
                    <w:t>工序产生的挥发性有机物在密闭空间中操作，</w:t>
                  </w:r>
                  <w:r>
                    <w:rPr>
                      <w:rFonts w:hint="default" w:ascii="Times New Roman" w:hAnsi="Times New Roman" w:cs="Times New Roman"/>
                      <w:b w:val="0"/>
                      <w:bCs/>
                      <w:color w:val="auto"/>
                      <w:sz w:val="21"/>
                      <w:szCs w:val="21"/>
                      <w:u w:val="none"/>
                      <w:vertAlign w:val="baseline"/>
                      <w:lang w:val="en-US" w:eastAsia="zh-CN"/>
                    </w:rPr>
                    <w:t>烘烤过程中产生的有机废气经</w:t>
                  </w:r>
                  <w:r>
                    <w:rPr>
                      <w:rFonts w:hint="default" w:ascii="Times New Roman" w:hAnsi="Times New Roman" w:cs="Times New Roman"/>
                      <w:b w:val="0"/>
                      <w:bCs w:val="0"/>
                      <w:color w:val="auto"/>
                      <w:sz w:val="21"/>
                      <w:szCs w:val="21"/>
                      <w:lang w:val="en-US" w:eastAsia="zh-CN"/>
                    </w:rPr>
                    <w:t>收集至</w:t>
                  </w:r>
                  <w:r>
                    <w:rPr>
                      <w:rFonts w:hint="default" w:ascii="Times New Roman" w:hAnsi="Times New Roman" w:cs="Times New Roman"/>
                      <w:b w:val="0"/>
                      <w:bCs w:val="0"/>
                      <w:color w:val="auto"/>
                      <w:sz w:val="21"/>
                      <w:szCs w:val="21"/>
                    </w:rPr>
                    <w:t>1套“UV光催化氧化+活性炭吸附”装置处理后通过1根15m排气筒</w:t>
                  </w:r>
                  <w:r>
                    <w:rPr>
                      <w:rFonts w:hint="eastAsia" w:ascii="Times New Roman" w:hAnsi="Times New Roman" w:cs="Times New Roman"/>
                      <w:b w:val="0"/>
                      <w:bCs w:val="0"/>
                      <w:color w:val="auto"/>
                      <w:sz w:val="21"/>
                      <w:szCs w:val="21"/>
                      <w:lang w:val="en-US" w:eastAsia="zh-CN"/>
                    </w:rPr>
                    <w:t>P2</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DA002</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排放</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color w:val="auto"/>
                      <w:kern w:val="0"/>
                      <w:sz w:val="21"/>
                      <w:szCs w:val="21"/>
                      <w:u w:val="none"/>
                      <w:lang w:val="en-US" w:eastAsia="zh-CN"/>
                    </w:rPr>
                    <w:t>其中活性炭吸附工艺需满足以下要求：</w:t>
                  </w:r>
                  <w:r>
                    <w:rPr>
                      <w:rFonts w:hint="default" w:ascii="Times New Roman" w:hAnsi="Times New Roman" w:eastAsia="宋体" w:cs="Times New Roman"/>
                      <w:b w:val="0"/>
                      <w:bCs/>
                      <w:color w:val="auto"/>
                      <w:sz w:val="21"/>
                      <w:szCs w:val="21"/>
                      <w:u w:val="none"/>
                      <w:vertAlign w:val="baseline"/>
                      <w:lang w:val="en-US" w:eastAsia="zh-CN"/>
                    </w:rPr>
                    <w:t>颗粒状、柱状活性炭碘值不低于800毫克/克，蜂窝状活性炭碘值不低于650毫克/克</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Cs w:val="21"/>
                      <w:lang w:eastAsia="zh-CN"/>
                    </w:rPr>
                    <w:t>采取以上环保措施后，本项目运营期间能够达到达标排放的环保要求</w:t>
                  </w:r>
                </w:p>
              </w:tc>
              <w:tc>
                <w:tcPr>
                  <w:tcW w:w="459" w:type="pct"/>
                  <w:vMerge w:val="restart"/>
                  <w:tcBorders>
                    <w:right w:val="single" w:color="auto" w:sz="4" w:space="0"/>
                  </w:tcBorders>
                  <w:noWrap w:val="0"/>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2" w:type="pct"/>
                  <w:vMerge w:val="continue"/>
                  <w:noWrap w:val="0"/>
                  <w:vAlign w:val="center"/>
                </w:tcPr>
                <w:p>
                  <w:pPr>
                    <w:rPr>
                      <w:rFonts w:hint="default" w:ascii="Times New Roman" w:hAnsi="Times New Roman" w:cs="Times New Roman"/>
                      <w:lang w:val="en-US" w:eastAsia="zh-CN"/>
                    </w:rPr>
                  </w:pPr>
                </w:p>
              </w:tc>
              <w:tc>
                <w:tcPr>
                  <w:tcW w:w="444" w:type="pct"/>
                  <w:vMerge w:val="continue"/>
                  <w:noWrap w:val="0"/>
                  <w:vAlign w:val="center"/>
                </w:tcPr>
                <w:p>
                  <w:pPr>
                    <w:rPr>
                      <w:rFonts w:hint="default" w:ascii="Times New Roman" w:hAnsi="Times New Roman" w:cs="Times New Roman"/>
                      <w:lang w:val="en-US" w:eastAsia="zh-CN"/>
                    </w:rPr>
                  </w:pPr>
                </w:p>
              </w:tc>
              <w:tc>
                <w:tcPr>
                  <w:tcW w:w="2412" w:type="pct"/>
                  <w:noWrap w:val="0"/>
                  <w:vAlign w:val="center"/>
                </w:tcPr>
                <w:p>
                  <w:pPr>
                    <w:spacing w:line="360" w:lineRule="exact"/>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1230"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0"/>
                      <w:sz w:val="21"/>
                      <w:szCs w:val="21"/>
                      <w:u w:val="none"/>
                      <w:lang w:val="en-US" w:eastAsia="zh-CN" w:bidi="ar"/>
                    </w:rPr>
                  </w:pPr>
                </w:p>
              </w:tc>
              <w:tc>
                <w:tcPr>
                  <w:tcW w:w="459" w:type="pct"/>
                  <w:vMerge w:val="continue"/>
                  <w:tcBorders>
                    <w:right w:val="single" w:color="auto" w:sz="4" w:space="0"/>
                  </w:tcBorders>
                  <w:noWrap w:val="0"/>
                  <w:vAlign w:val="center"/>
                </w:tcPr>
                <w:p>
                  <w:pPr>
                    <w:jc w:val="center"/>
                    <w:rPr>
                      <w:rFonts w:hint="default" w:ascii="Times New Roman" w:hAnsi="Times New Roman" w:cs="Times New Roman"/>
                      <w:b w:val="0"/>
                      <w:bCs w:val="0"/>
                      <w:color w:val="00000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5" w:hRule="atLeast"/>
                <w:jc w:val="center"/>
              </w:trPr>
              <w:tc>
                <w:tcPr>
                  <w:tcW w:w="452" w:type="pct"/>
                  <w:vMerge w:val="continue"/>
                  <w:noWrap w:val="0"/>
                  <w:vAlign w:val="center"/>
                </w:tcPr>
                <w:p>
                  <w:pPr>
                    <w:rPr>
                      <w:rFonts w:hint="default" w:ascii="Times New Roman" w:hAnsi="Times New Roman" w:cs="Times New Roman"/>
                      <w:lang w:val="en-US" w:eastAsia="zh-CN"/>
                    </w:rPr>
                  </w:pPr>
                </w:p>
              </w:tc>
              <w:tc>
                <w:tcPr>
                  <w:tcW w:w="444" w:type="pct"/>
                  <w:vMerge w:val="restart"/>
                  <w:noWrap w:val="0"/>
                  <w:vAlign w:val="center"/>
                </w:tcPr>
                <w:p>
                  <w:pPr>
                    <w:spacing w:line="360" w:lineRule="exact"/>
                    <w:jc w:val="center"/>
                    <w:rPr>
                      <w:rFonts w:hint="default" w:ascii="Times New Roman" w:hAnsi="Times New Roman" w:cs="Times New Roman"/>
                      <w:lang w:val="en-US" w:eastAsia="zh-CN"/>
                    </w:rPr>
                  </w:pPr>
                  <w:r>
                    <w:rPr>
                      <w:rFonts w:hint="default" w:ascii="Times New Roman" w:hAnsi="Times New Roman" w:cs="Times New Roman"/>
                      <w:color w:val="auto"/>
                    </w:rPr>
                    <w:t>VOCs无组织排放废气收集处理系统要求</w:t>
                  </w:r>
                </w:p>
              </w:tc>
              <w:tc>
                <w:tcPr>
                  <w:tcW w:w="2412" w:type="pct"/>
                  <w:noWrap w:val="0"/>
                  <w:vAlign w:val="center"/>
                </w:tcPr>
                <w:p>
                  <w:pPr>
                    <w:spacing w:line="360" w:lineRule="exact"/>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230" w:type="pct"/>
                  <w:noWrap w:val="0"/>
                  <w:vAlign w:val="center"/>
                </w:tcPr>
                <w:p>
                  <w:pPr>
                    <w:spacing w:line="360" w:lineRule="exact"/>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废气处理设施发生故障时，生产设备停止运行</w:t>
                  </w:r>
                </w:p>
              </w:tc>
              <w:tc>
                <w:tcPr>
                  <w:tcW w:w="459" w:type="pct"/>
                  <w:tcBorders>
                    <w:right w:val="single" w:color="auto" w:sz="4" w:space="0"/>
                  </w:tcBorders>
                  <w:noWrap w:val="0"/>
                  <w:vAlign w:val="center"/>
                </w:tcPr>
                <w:p>
                  <w:pPr>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复合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2" w:type="pct"/>
                  <w:vMerge w:val="continue"/>
                  <w:noWrap w:val="0"/>
                  <w:vAlign w:val="center"/>
                </w:tcPr>
                <w:p>
                  <w:pPr>
                    <w:rPr>
                      <w:rFonts w:hint="default" w:ascii="Times New Roman" w:hAnsi="Times New Roman" w:cs="Times New Roman"/>
                      <w:lang w:val="en-US" w:eastAsia="zh-CN"/>
                    </w:rPr>
                  </w:pPr>
                </w:p>
              </w:tc>
              <w:tc>
                <w:tcPr>
                  <w:tcW w:w="444" w:type="pct"/>
                  <w:vMerge w:val="continue"/>
                  <w:noWrap w:val="0"/>
                  <w:vAlign w:val="center"/>
                </w:tcPr>
                <w:p>
                  <w:pPr>
                    <w:rPr>
                      <w:rFonts w:hint="default" w:ascii="Times New Roman" w:hAnsi="Times New Roman" w:cs="Times New Roman"/>
                      <w:lang w:val="en-US" w:eastAsia="zh-CN"/>
                    </w:rPr>
                  </w:pPr>
                </w:p>
              </w:tc>
              <w:tc>
                <w:tcPr>
                  <w:tcW w:w="2412" w:type="pct"/>
                  <w:noWrap w:val="0"/>
                  <w:vAlign w:val="center"/>
                </w:tcPr>
                <w:p>
                  <w:pPr>
                    <w:spacing w:line="360" w:lineRule="exact"/>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收集的废气NMHC初始排放速率≥3kg/h时，应配置VOCs处理设施，处理效率不应</w:t>
                  </w:r>
                  <w:r>
                    <w:rPr>
                      <w:rFonts w:hint="default" w:ascii="Times New Roman" w:hAnsi="Times New Roman" w:cs="Times New Roman"/>
                      <w:color w:val="auto"/>
                      <w:lang w:eastAsia="zh-CN"/>
                    </w:rPr>
                    <w:t>低于</w:t>
                  </w:r>
                  <w:r>
                    <w:rPr>
                      <w:rFonts w:hint="default" w:ascii="Times New Roman" w:hAnsi="Times New Roman" w:cs="Times New Roman"/>
                      <w:color w:val="auto"/>
                    </w:rPr>
                    <w:t>80%；对于重点地区，收集的废气中NMHC≥初始排放速率≥2kgh时，应配置VOCs</w:t>
                  </w:r>
                  <w:r>
                    <w:rPr>
                      <w:rFonts w:hint="default" w:ascii="Times New Roman" w:hAnsi="Times New Roman" w:cs="Times New Roman"/>
                      <w:color w:val="auto"/>
                      <w:lang w:eastAsia="zh-CN"/>
                    </w:rPr>
                    <w:t>处理</w:t>
                  </w:r>
                  <w:r>
                    <w:rPr>
                      <w:rFonts w:hint="default" w:ascii="Times New Roman" w:hAnsi="Times New Roman" w:cs="Times New Roman"/>
                      <w:color w:val="auto"/>
                    </w:rPr>
                    <w:t>设施，处理效率不应低于80%；采用的原辅低材料符合国家有关低VOCs含量产品规定的除外</w:t>
                  </w:r>
                </w:p>
              </w:tc>
              <w:tc>
                <w:tcPr>
                  <w:tcW w:w="1230" w:type="pct"/>
                  <w:noWrap w:val="0"/>
                  <w:vAlign w:val="center"/>
                </w:tcPr>
                <w:p>
                  <w:pPr>
                    <w:spacing w:line="360" w:lineRule="exact"/>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b w:val="0"/>
                      <w:bCs w:val="0"/>
                      <w:color w:val="auto"/>
                      <w:sz w:val="21"/>
                      <w:szCs w:val="21"/>
                      <w:u w:val="none"/>
                      <w:lang w:val="en-US" w:eastAsia="zh-CN"/>
                    </w:rPr>
                    <w:t>本项目烘烤工序密闭烘烤房上方</w:t>
                  </w:r>
                  <w:r>
                    <w:rPr>
                      <w:rFonts w:hint="default" w:ascii="Times New Roman" w:hAnsi="Times New Roman" w:cs="Times New Roman"/>
                      <w:b w:val="0"/>
                      <w:bCs w:val="0"/>
                      <w:color w:val="auto"/>
                      <w:sz w:val="21"/>
                      <w:szCs w:val="21"/>
                      <w:u w:val="none"/>
                      <w:lang w:eastAsia="zh-CN"/>
                    </w:rPr>
                    <w:t>安装集气罩，</w:t>
                  </w:r>
                  <w:r>
                    <w:rPr>
                      <w:rFonts w:hint="default" w:ascii="Times New Roman" w:hAnsi="Times New Roman" w:cs="Times New Roman"/>
                      <w:b w:val="0"/>
                      <w:bCs w:val="0"/>
                      <w:color w:val="auto"/>
                      <w:sz w:val="21"/>
                      <w:szCs w:val="21"/>
                      <w:u w:val="none"/>
                      <w:lang w:val="en-US" w:eastAsia="zh-CN"/>
                    </w:rPr>
                    <w:t>晾干区全封闭，收集的废气经1套“UV光催化氧化+活性炭吸附”装置处理；</w:t>
                  </w:r>
                  <w:r>
                    <w:rPr>
                      <w:rFonts w:hint="default" w:ascii="Times New Roman" w:hAnsi="Times New Roman" w:cs="Times New Roman"/>
                      <w:b w:val="0"/>
                      <w:bCs/>
                      <w:color w:val="auto"/>
                      <w:kern w:val="0"/>
                      <w:sz w:val="21"/>
                      <w:szCs w:val="21"/>
                      <w:u w:val="none"/>
                      <w:lang w:val="en-US" w:eastAsia="zh-CN"/>
                    </w:rPr>
                    <w:t>其中活性炭吸附工艺需满足以下要求：</w:t>
                  </w:r>
                  <w:r>
                    <w:rPr>
                      <w:rFonts w:hint="default" w:ascii="Times New Roman" w:hAnsi="Times New Roman" w:eastAsia="宋体" w:cs="Times New Roman"/>
                      <w:b w:val="0"/>
                      <w:bCs/>
                      <w:color w:val="auto"/>
                      <w:sz w:val="21"/>
                      <w:szCs w:val="21"/>
                      <w:u w:val="none"/>
                      <w:vertAlign w:val="baseline"/>
                      <w:lang w:val="en-US" w:eastAsia="zh-CN"/>
                    </w:rPr>
                    <w:t>颗粒状、柱状活性炭碘值不低于800毫克/克，蜂窝状活性炭碘值不低于650毫克/克</w:t>
                  </w:r>
                </w:p>
              </w:tc>
              <w:tc>
                <w:tcPr>
                  <w:tcW w:w="459" w:type="pct"/>
                  <w:tcBorders>
                    <w:right w:val="single" w:color="auto" w:sz="4" w:space="0"/>
                  </w:tcBorders>
                  <w:noWrap w:val="0"/>
                  <w:vAlign w:val="center"/>
                </w:tcPr>
                <w:p>
                  <w:pPr>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2" w:type="pct"/>
                  <w:vMerge w:val="continue"/>
                </w:tcPr>
                <w:p>
                  <w:pPr>
                    <w:rPr>
                      <w:rFonts w:hint="default" w:ascii="Times New Roman" w:hAnsi="Times New Roman" w:cs="Times New Roman"/>
                      <w:lang w:val="en-US" w:eastAsia="zh-CN"/>
                    </w:rPr>
                  </w:pPr>
                </w:p>
              </w:tc>
              <w:tc>
                <w:tcPr>
                  <w:tcW w:w="444" w:type="pct"/>
                  <w:vMerge w:val="continue"/>
                </w:tcPr>
                <w:p>
                  <w:pPr>
                    <w:rPr>
                      <w:rFonts w:hint="default" w:ascii="Times New Roman" w:hAnsi="Times New Roman" w:cs="Times New Roman"/>
                      <w:lang w:val="en-US" w:eastAsia="zh-CN"/>
                    </w:rPr>
                  </w:pPr>
                </w:p>
              </w:tc>
              <w:tc>
                <w:tcPr>
                  <w:tcW w:w="2412" w:type="pct"/>
                  <w:vAlign w:val="center"/>
                </w:tcPr>
                <w:p>
                  <w:pPr>
                    <w:spacing w:line="360" w:lineRule="exact"/>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排气筒高度不低于15m（因安全考虑或有特殊工艺要求的除外），具体高度以及与周围建筑物的相对高度关系应根据环境影响评价文件确定</w:t>
                  </w:r>
                </w:p>
              </w:tc>
              <w:tc>
                <w:tcPr>
                  <w:tcW w:w="1230" w:type="pct"/>
                  <w:vAlign w:val="center"/>
                </w:tcPr>
                <w:p>
                  <w:pPr>
                    <w:spacing w:line="360" w:lineRule="exact"/>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有机废气排气筒高度为15m</w:t>
                  </w:r>
                </w:p>
              </w:tc>
              <w:tc>
                <w:tcPr>
                  <w:tcW w:w="459" w:type="pct"/>
                  <w:vAlign w:val="center"/>
                </w:tcPr>
                <w:p>
                  <w:pPr>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符合</w:t>
                  </w:r>
                </w:p>
              </w:tc>
            </w:tr>
          </w:tbl>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p>
        </w:tc>
      </w:tr>
    </w:tbl>
    <w:p>
      <w:pPr>
        <w:spacing w:line="360" w:lineRule="auto"/>
        <w:outlineLvl w:val="0"/>
        <w:rPr>
          <w:rFonts w:eastAsia="黑体"/>
          <w:sz w:val="30"/>
        </w:rPr>
        <w:sectPr>
          <w:footerReference r:id="rId6" w:type="default"/>
          <w:pgSz w:w="11906" w:h="16838"/>
          <w:pgMar w:top="1440" w:right="1080" w:bottom="1440" w:left="1080"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宋体" w:hAnsi="宋体" w:eastAsia="宋体" w:cs="宋体"/>
          <w:b/>
          <w:bCs/>
          <w:snapToGrid w:val="0"/>
          <w:sz w:val="30"/>
          <w:szCs w:val="30"/>
        </w:rPr>
      </w:pPr>
      <w:r>
        <w:rPr>
          <w:rFonts w:hint="eastAsia" w:ascii="宋体" w:hAnsi="宋体" w:eastAsia="宋体" w:cs="宋体"/>
          <w:b/>
          <w:bCs/>
          <w:snapToGrid w:val="0"/>
          <w:sz w:val="30"/>
          <w:szCs w:val="30"/>
        </w:rPr>
        <w:t>二、建设项目工程分析</w:t>
      </w: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94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pPr>
              <w:pStyle w:val="21"/>
              <w:keepNext w:val="0"/>
              <w:keepLines w:val="0"/>
              <w:pageBreakBefore w:val="0"/>
              <w:widowControl w:val="0"/>
              <w:kinsoku/>
              <w:wordWrap/>
              <w:overflowPunct/>
              <w:topLinePunct w:val="0"/>
              <w:bidi w:val="0"/>
              <w:adjustRightInd w:val="0"/>
              <w:snapToGrid w:val="0"/>
              <w:spacing w:before="0" w:beforeAutospacing="0" w:after="0" w:afterAutospacing="0"/>
              <w:jc w:val="center"/>
              <w:rPr>
                <w:rFonts w:cs="宋体"/>
                <w:b/>
                <w:bCs/>
                <w:sz w:val="24"/>
                <w:szCs w:val="24"/>
              </w:rPr>
            </w:pPr>
            <w:r>
              <w:rPr>
                <w:rFonts w:hint="eastAsia" w:cs="宋体"/>
                <w:b/>
                <w:bCs/>
                <w:sz w:val="24"/>
                <w:szCs w:val="24"/>
              </w:rPr>
              <w:t>建设内容</w:t>
            </w:r>
          </w:p>
        </w:tc>
        <w:tc>
          <w:tcPr>
            <w:tcW w:w="4749" w:type="pct"/>
            <w:noWrap w:val="0"/>
            <w:vAlign w:val="top"/>
          </w:tcPr>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cs="Times New Roman"/>
                <w:b/>
                <w:sz w:val="24"/>
              </w:rPr>
            </w:pPr>
            <w:r>
              <w:rPr>
                <w:rFonts w:hint="eastAsia" w:cs="Times New Roman"/>
                <w:b/>
                <w:sz w:val="24"/>
                <w:lang w:val="en-US" w:eastAsia="zh-CN"/>
              </w:rPr>
              <w:t>一、</w:t>
            </w:r>
            <w:r>
              <w:rPr>
                <w:rFonts w:hint="default" w:ascii="Times New Roman" w:hAnsi="Times New Roman" w:cs="Times New Roman"/>
                <w:b/>
                <w:sz w:val="24"/>
              </w:rPr>
              <w:t>项目基本情况与项目内容</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宋体" w:cs="Times New Roman"/>
                <w:b/>
                <w:sz w:val="24"/>
                <w:lang w:val="en-US" w:eastAsia="zh-CN"/>
              </w:rPr>
            </w:pPr>
            <w:r>
              <w:rPr>
                <w:rFonts w:hint="default" w:ascii="Times New Roman" w:hAnsi="Times New Roman" w:cs="Times New Roman"/>
                <w:b/>
                <w:sz w:val="24"/>
              </w:rPr>
              <w:t>1、</w:t>
            </w:r>
            <w:r>
              <w:rPr>
                <w:rFonts w:hint="eastAsia" w:cs="Times New Roman"/>
                <w:b/>
                <w:sz w:val="24"/>
                <w:lang w:val="en-US" w:eastAsia="zh-CN"/>
              </w:rPr>
              <w:t>建设项目概况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lang w:val="en-US" w:eastAsia="zh-CN"/>
              </w:rPr>
            </w:pPr>
            <w:r>
              <w:rPr>
                <w:rFonts w:hint="default" w:ascii="Times New Roman" w:hAnsi="Times New Roman" w:cs="Times New Roman"/>
                <w:color w:val="auto"/>
                <w:sz w:val="24"/>
              </w:rPr>
              <w:t>经过市场调研，</w:t>
            </w:r>
            <w:r>
              <w:rPr>
                <w:rFonts w:hint="eastAsia" w:cs="Times New Roman"/>
                <w:sz w:val="24"/>
                <w:szCs w:val="24"/>
                <w:lang w:eastAsia="zh-CN"/>
              </w:rPr>
              <w:t>河南巨典游乐设备有限公司</w:t>
            </w:r>
            <w:r>
              <w:rPr>
                <w:rFonts w:hint="eastAsia"/>
                <w:lang w:val="en-US" w:eastAsia="zh-CN"/>
              </w:rPr>
              <w:t>拟</w:t>
            </w:r>
            <w:r>
              <w:rPr>
                <w:rFonts w:hint="eastAsia" w:cs="Times New Roman"/>
                <w:color w:val="auto"/>
                <w:sz w:val="24"/>
                <w:lang w:val="en-US" w:eastAsia="zh-CN"/>
              </w:rPr>
              <w:t>投资850万元在</w:t>
            </w:r>
            <w:r>
              <w:rPr>
                <w:rFonts w:hint="default" w:ascii="Times New Roman" w:hAnsi="Times New Roman" w:eastAsia="宋体" w:cs="Times New Roman"/>
                <w:sz w:val="24"/>
                <w:szCs w:val="24"/>
                <w:lang w:val="en-US"/>
              </w:rPr>
              <w:t>平顶山市鲁山县先进制造业开发区北区兴工路路北河南方圆炭素集团院内</w:t>
            </w:r>
            <w:r>
              <w:rPr>
                <w:rFonts w:hint="eastAsia" w:cs="Times New Roman"/>
                <w:color w:val="auto"/>
                <w:sz w:val="24"/>
                <w:szCs w:val="24"/>
                <w:lang w:val="en-US" w:eastAsia="zh-CN"/>
              </w:rPr>
              <w:t>租赁</w:t>
            </w:r>
            <w:r>
              <w:rPr>
                <w:rFonts w:hint="default" w:ascii="Times New Roman" w:hAnsi="Times New Roman" w:eastAsia="宋体" w:cs="Times New Roman"/>
                <w:sz w:val="24"/>
                <w:szCs w:val="24"/>
                <w:lang w:val="en-US"/>
              </w:rPr>
              <w:t>8号厂房</w:t>
            </w:r>
            <w:r>
              <w:rPr>
                <w:rFonts w:hint="eastAsia" w:cs="Times New Roman"/>
                <w:color w:val="auto"/>
                <w:sz w:val="24"/>
                <w:szCs w:val="24"/>
                <w:lang w:val="en-US" w:eastAsia="zh-CN"/>
              </w:rPr>
              <w:t>（租赁协议见附件四）</w:t>
            </w:r>
            <w:r>
              <w:rPr>
                <w:rFonts w:hint="eastAsia" w:cs="Times New Roman"/>
                <w:color w:val="auto"/>
                <w:sz w:val="24"/>
                <w:lang w:val="en-US" w:eastAsia="zh-CN"/>
              </w:rPr>
              <w:t>建设年产</w:t>
            </w:r>
            <w:r>
              <w:rPr>
                <w:rFonts w:hint="eastAsia" w:ascii="Times New Roman" w:hAnsi="Times New Roman" w:eastAsia="宋体" w:cs="Times New Roman"/>
                <w:sz w:val="24"/>
                <w:szCs w:val="24"/>
                <w:lang w:eastAsia="zh-CN"/>
              </w:rPr>
              <w:t>800吨游乐设备项目</w:t>
            </w:r>
            <w:r>
              <w:rPr>
                <w:rFonts w:hint="eastAsia" w:cs="Times New Roman"/>
                <w:color w:val="auto"/>
                <w:sz w:val="24"/>
                <w:lang w:val="en-US" w:eastAsia="zh-CN"/>
              </w:rPr>
              <w:t>。其中厂房面积约为1950m</w:t>
            </w:r>
            <w:r>
              <w:rPr>
                <w:rFonts w:hint="eastAsia" w:cs="Times New Roman"/>
                <w:color w:val="auto"/>
                <w:sz w:val="24"/>
                <w:vertAlign w:val="superscript"/>
                <w:lang w:val="en-US" w:eastAsia="zh-CN"/>
              </w:rPr>
              <w:t>2</w:t>
            </w:r>
            <w:r>
              <w:rPr>
                <w:rFonts w:hint="eastAsia" w:cs="Times New Roman"/>
                <w:color w:val="auto"/>
                <w:sz w:val="24"/>
                <w:vertAlign w:val="baseline"/>
                <w:lang w:val="en-US" w:eastAsia="zh-CN"/>
              </w:rPr>
              <w:t>，占地性质为工业工地（具体手续见附图五）。</w:t>
            </w:r>
            <w:r>
              <w:rPr>
                <w:rFonts w:hint="default" w:ascii="Times New Roman" w:hAnsi="Times New Roman" w:cs="Times New Roman"/>
                <w:sz w:val="24"/>
                <w:szCs w:val="24"/>
              </w:rPr>
              <w:t>经查阅国民经济行业划分（GB/T4754-2017），本项目</w:t>
            </w:r>
            <w:r>
              <w:rPr>
                <w:rFonts w:hint="eastAsia" w:cs="Times New Roman"/>
                <w:sz w:val="24"/>
                <w:szCs w:val="24"/>
                <w:lang w:val="en-US" w:eastAsia="zh-CN"/>
              </w:rPr>
              <w:t>主要涉及两种行业分别为C2461露天游乐场所游乐设备制造</w:t>
            </w:r>
            <w:r>
              <w:rPr>
                <w:rFonts w:hint="default" w:ascii="Times New Roman" w:hAnsi="Times New Roman" w:cs="Times New Roman"/>
                <w:sz w:val="24"/>
                <w:szCs w:val="24"/>
              </w:rPr>
              <w:t>。根据《产业结构调整指导目录（2019年本）》，</w:t>
            </w:r>
            <w:r>
              <w:rPr>
                <w:rFonts w:hint="eastAsia"/>
                <w:sz w:val="24"/>
                <w:szCs w:val="24"/>
              </w:rPr>
              <w:t>本项目不属于国务院《产业结构调整指导目录（2019年本）》有关条款的决定中淘汰和限制类项目，为允许类。</w:t>
            </w:r>
            <w:r>
              <w:rPr>
                <w:rFonts w:hint="eastAsia" w:cs="Times New Roman"/>
                <w:color w:val="auto"/>
                <w:sz w:val="24"/>
                <w:lang w:val="en-US" w:eastAsia="zh-CN"/>
              </w:rPr>
              <w:t>2023年4月11日</w:t>
            </w:r>
            <w:r>
              <w:rPr>
                <w:rFonts w:hint="eastAsia" w:cs="Times New Roman"/>
                <w:sz w:val="24"/>
                <w:lang w:eastAsia="zh-CN"/>
              </w:rPr>
              <w:t>河南巨典游乐设备有限公司</w:t>
            </w:r>
            <w:r>
              <w:rPr>
                <w:rFonts w:hint="eastAsia" w:ascii="Times New Roman" w:hAnsi="Times New Roman" w:cs="Times New Roman"/>
                <w:sz w:val="24"/>
                <w:lang w:val="en-US" w:eastAsia="zh-CN"/>
              </w:rPr>
              <w:t>在</w:t>
            </w:r>
            <w:r>
              <w:rPr>
                <w:rFonts w:hint="eastAsia" w:cs="Times New Roman"/>
                <w:sz w:val="24"/>
                <w:szCs w:val="24"/>
                <w:lang w:val="en-US" w:eastAsia="zh-CN"/>
              </w:rPr>
              <w:t>鲁山县先进制造业开发区管理委员会</w:t>
            </w:r>
            <w:r>
              <w:rPr>
                <w:rFonts w:hint="eastAsia" w:ascii="Times New Roman" w:hAnsi="Times New Roman" w:cs="Times New Roman"/>
                <w:sz w:val="24"/>
                <w:lang w:val="en-US" w:eastAsia="zh-CN"/>
              </w:rPr>
              <w:t>备案了</w:t>
            </w:r>
            <w:r>
              <w:rPr>
                <w:rFonts w:hint="eastAsia" w:cs="Times New Roman"/>
                <w:color w:val="auto"/>
                <w:sz w:val="24"/>
                <w:lang w:val="en-US" w:eastAsia="zh-CN"/>
              </w:rPr>
              <w:t>年产</w:t>
            </w:r>
            <w:r>
              <w:rPr>
                <w:rFonts w:hint="eastAsia" w:ascii="Times New Roman" w:hAnsi="Times New Roman" w:eastAsia="宋体" w:cs="Times New Roman"/>
                <w:sz w:val="24"/>
                <w:szCs w:val="24"/>
                <w:lang w:eastAsia="zh-CN"/>
              </w:rPr>
              <w:t>800吨游乐设备项目</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备案文号为</w:t>
            </w:r>
            <w:r>
              <w:rPr>
                <w:rFonts w:hint="eastAsia" w:ascii="Times New Roman" w:hAnsi="Times New Roman" w:eastAsia="宋体" w:cs="Times New Roman"/>
                <w:sz w:val="24"/>
                <w:szCs w:val="24"/>
                <w:lang w:val="en-US" w:eastAsia="zh-CN"/>
              </w:rPr>
              <w:t>2304-410423-04-01-213456</w:t>
            </w:r>
            <w:r>
              <w:rPr>
                <w:rFonts w:hint="eastAsia" w:ascii="Times New Roman" w:hAnsi="Times New Roman" w:cs="Times New Roman"/>
                <w:color w:val="auto"/>
                <w:sz w:val="24"/>
                <w:lang w:eastAsia="zh-CN"/>
              </w:rPr>
              <w:t>）</w:t>
            </w:r>
            <w:r>
              <w:rPr>
                <w:rFonts w:hint="eastAsia" w:ascii="Times New Roman" w:hAnsi="Times New Roman" w:cs="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z w:val="24"/>
              </w:rPr>
            </w:pPr>
            <w:r>
              <w:rPr>
                <w:rFonts w:hint="default" w:ascii="Times New Roman" w:hAnsi="Times New Roman" w:cs="Times New Roman"/>
                <w:sz w:val="24"/>
              </w:rPr>
              <w:t>根据《中华人民共和国环境影响评价法</w:t>
            </w:r>
            <w:r>
              <w:rPr>
                <w:rFonts w:hint="eastAsia" w:cs="Times New Roman"/>
                <w:sz w:val="24"/>
                <w:lang w:eastAsia="zh-CN"/>
              </w:rPr>
              <w:t>》《</w:t>
            </w:r>
            <w:r>
              <w:rPr>
                <w:rFonts w:hint="default" w:ascii="Times New Roman" w:hAnsi="Times New Roman" w:cs="Times New Roman"/>
                <w:sz w:val="24"/>
              </w:rPr>
              <w:t>建设项目环境保护管理条例</w:t>
            </w:r>
            <w:r>
              <w:rPr>
                <w:rFonts w:hint="eastAsia" w:cs="Times New Roman"/>
                <w:sz w:val="24"/>
                <w:lang w:eastAsia="zh-CN"/>
              </w:rPr>
              <w:t>》《</w:t>
            </w:r>
            <w:r>
              <w:rPr>
                <w:rFonts w:hint="default" w:ascii="Times New Roman" w:hAnsi="Times New Roman" w:cs="Times New Roman"/>
                <w:sz w:val="24"/>
              </w:rPr>
              <w:t>河南省建设项目环境保护条例》等法律、法规的规定及要求，该项目需进行环境影响评价。</w:t>
            </w:r>
            <w:r>
              <w:rPr>
                <w:rFonts w:hint="eastAsia" w:ascii="Times New Roman" w:hAnsi="Times New Roman" w:cs="Times New Roman"/>
                <w:sz w:val="24"/>
                <w:lang w:val="en-US" w:eastAsia="zh-CN"/>
              </w:rPr>
              <w:t>根据</w:t>
            </w:r>
            <w:r>
              <w:rPr>
                <w:rFonts w:hint="default" w:ascii="Times New Roman" w:hAnsi="Times New Roman" w:cs="Times New Roman"/>
                <w:sz w:val="24"/>
              </w:rPr>
              <w:t>《建设项目环境影响评价分类管理名录》（</w:t>
            </w:r>
            <w:r>
              <w:rPr>
                <w:rFonts w:hint="eastAsia" w:cs="Times New Roman"/>
                <w:sz w:val="24"/>
                <w:lang w:val="en-US" w:eastAsia="zh-CN"/>
              </w:rPr>
              <w:t>2021版</w:t>
            </w:r>
            <w:r>
              <w:rPr>
                <w:rFonts w:hint="default" w:ascii="Times New Roman" w:hAnsi="Times New Roman" w:cs="Times New Roman"/>
                <w:sz w:val="24"/>
              </w:rPr>
              <w:t>）的规定</w:t>
            </w:r>
            <w:r>
              <w:rPr>
                <w:rFonts w:hint="default" w:ascii="Times New Roman" w:hAnsi="Times New Roman" w:cs="Times New Roman"/>
                <w:color w:val="auto"/>
                <w:sz w:val="24"/>
              </w:rPr>
              <w:t>，本项目</w:t>
            </w:r>
            <w:r>
              <w:rPr>
                <w:rFonts w:hint="eastAsia" w:cs="Times New Roman"/>
                <w:color w:val="auto"/>
                <w:sz w:val="24"/>
                <w:lang w:val="en-US" w:eastAsia="zh-CN"/>
              </w:rPr>
              <w:t>涉及两种行业分别为“二十一、文教、工美、体育和娱乐用品制造业24”中的“40、玩具制造245”中的“/”</w:t>
            </w:r>
            <w:r>
              <w:rPr>
                <w:rFonts w:hint="eastAsia" w:cs="Times New Roman"/>
                <w:sz w:val="24"/>
                <w:szCs w:val="24"/>
                <w:lang w:val="en-US" w:eastAsia="zh-CN"/>
              </w:rPr>
              <w:t>；</w:t>
            </w:r>
            <w:r>
              <w:rPr>
                <w:rFonts w:hint="default" w:ascii="Times New Roman" w:hAnsi="Times New Roman" w:cs="Times New Roman"/>
                <w:color w:val="auto"/>
                <w:sz w:val="24"/>
              </w:rPr>
              <w:t>应编制环境影响报告表。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受</w:t>
            </w:r>
            <w:r>
              <w:rPr>
                <w:rFonts w:hint="eastAsia" w:cs="Times New Roman"/>
                <w:sz w:val="24"/>
                <w:lang w:eastAsia="zh-CN"/>
              </w:rPr>
              <w:t>河南巨典游乐设备有限公司</w:t>
            </w:r>
            <w:r>
              <w:rPr>
                <w:rFonts w:hint="default" w:ascii="Times New Roman" w:hAnsi="Times New Roman" w:cs="Times New Roman"/>
                <w:sz w:val="24"/>
              </w:rPr>
              <w:t>委托</w:t>
            </w:r>
            <w:r>
              <w:rPr>
                <w:rFonts w:hint="default" w:ascii="Times New Roman" w:hAnsi="Times New Roman" w:cs="Times New Roman"/>
                <w:color w:val="auto"/>
                <w:sz w:val="24"/>
              </w:rPr>
              <w:t>，</w:t>
            </w:r>
            <w:r>
              <w:rPr>
                <w:rFonts w:hint="eastAsia" w:cs="Times New Roman"/>
                <w:color w:val="auto"/>
                <w:sz w:val="24"/>
                <w:lang w:val="en-US" w:eastAsia="zh-CN"/>
              </w:rPr>
              <w:t>我</w:t>
            </w:r>
            <w:r>
              <w:rPr>
                <w:rFonts w:hint="default" w:ascii="Times New Roman" w:hAnsi="Times New Roman" w:cs="Times New Roman"/>
                <w:color w:val="auto"/>
                <w:sz w:val="24"/>
              </w:rPr>
              <w:t>公司</w:t>
            </w:r>
            <w:r>
              <w:rPr>
                <w:rFonts w:hint="default" w:ascii="Times New Roman" w:hAnsi="Times New Roman" w:cs="Times New Roman"/>
                <w:sz w:val="24"/>
              </w:rPr>
              <w:t>承担了该项目环境影响评价工作（委托书见附件</w:t>
            </w:r>
            <w:r>
              <w:rPr>
                <w:rFonts w:hint="eastAsia" w:cs="Times New Roman"/>
                <w:sz w:val="24"/>
                <w:lang w:val="en-US" w:eastAsia="zh-CN"/>
              </w:rPr>
              <w:t>一</w:t>
            </w:r>
            <w:r>
              <w:rPr>
                <w:rFonts w:hint="default" w:ascii="Times New Roman" w:hAnsi="Times New Roman" w:cs="Times New Roman"/>
                <w:sz w:val="24"/>
              </w:rPr>
              <w:t>）。接受委托后，我单位评价人员在对项目建设进行现场勘察及收集有关资料进行分析的基础上，依据国家有关法规和环境影响评价技术导则，编制了该项目环境影响报告表，报请环保主管部门审查、审批，为项目决策、设计、建设和环境管理提供科学依据。</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2、地理位置及周围环境</w:t>
            </w:r>
          </w:p>
          <w:p>
            <w:pPr>
              <w:adjustRightInd w:val="0"/>
              <w:snapToGrid w:val="0"/>
              <w:spacing w:line="360" w:lineRule="auto"/>
              <w:ind w:firstLine="480" w:firstLineChars="200"/>
              <w:rPr>
                <w:b w:val="0"/>
                <w:bCs w:val="0"/>
                <w:color w:val="auto"/>
                <w:sz w:val="24"/>
                <w:u w:val="none"/>
                <w:lang w:val="zh-CN"/>
              </w:rPr>
            </w:pPr>
            <w:r>
              <w:rPr>
                <w:b w:val="0"/>
                <w:bCs w:val="0"/>
                <w:color w:val="auto"/>
                <w:sz w:val="24"/>
                <w:u w:val="none"/>
                <w:lang w:val="zh-CN"/>
              </w:rPr>
              <w:t>本项目位于</w:t>
            </w:r>
            <w:r>
              <w:rPr>
                <w:rFonts w:hint="eastAsia"/>
                <w:b w:val="0"/>
                <w:bCs w:val="0"/>
                <w:color w:val="auto"/>
                <w:sz w:val="24"/>
                <w:u w:val="none"/>
                <w:lang w:val="zh-CN"/>
              </w:rPr>
              <w:t>平顶山市鲁山县先进制造业开发区北区，</w:t>
            </w:r>
            <w:r>
              <w:rPr>
                <w:rFonts w:hint="eastAsia"/>
                <w:b w:val="0"/>
                <w:bCs w:val="0"/>
                <w:color w:val="auto"/>
                <w:sz w:val="24"/>
                <w:u w:val="none"/>
                <w:lang w:val="en-US" w:eastAsia="zh-CN"/>
              </w:rPr>
              <w:t>租赁</w:t>
            </w:r>
            <w:r>
              <w:rPr>
                <w:rFonts w:hint="eastAsia"/>
                <w:b w:val="0"/>
                <w:bCs w:val="0"/>
                <w:color w:val="auto"/>
                <w:sz w:val="24"/>
                <w:u w:val="none"/>
                <w:lang w:val="zh-CN"/>
              </w:rPr>
              <w:t>兴工路路北河南方圆炭素集团院内8号厂房</w:t>
            </w:r>
            <w:r>
              <w:rPr>
                <w:b w:val="0"/>
                <w:bCs w:val="0"/>
                <w:color w:val="auto"/>
                <w:sz w:val="24"/>
                <w:u w:val="none"/>
                <w:lang w:val="zh-CN"/>
              </w:rPr>
              <w:t>，</w:t>
            </w:r>
            <w:r>
              <w:rPr>
                <w:rFonts w:hint="eastAsia"/>
                <w:b w:val="0"/>
                <w:bCs w:val="0"/>
                <w:color w:val="auto"/>
                <w:sz w:val="24"/>
                <w:u w:val="none"/>
                <w:lang w:val="en-US" w:eastAsia="zh-CN"/>
              </w:rPr>
              <w:t>本项目南侧290m为兴工路，</w:t>
            </w:r>
            <w:r>
              <w:rPr>
                <w:b w:val="0"/>
                <w:bCs w:val="0"/>
                <w:color w:val="auto"/>
                <w:sz w:val="24"/>
                <w:u w:val="none"/>
                <w:lang w:val="zh-CN"/>
              </w:rPr>
              <w:t>项目</w:t>
            </w:r>
            <w:r>
              <w:rPr>
                <w:rFonts w:hint="eastAsia"/>
                <w:b w:val="0"/>
                <w:bCs w:val="0"/>
                <w:color w:val="auto"/>
                <w:sz w:val="24"/>
                <w:u w:val="none"/>
                <w:lang w:val="en-US" w:eastAsia="zh-CN"/>
              </w:rPr>
              <w:t>厂界东侧264m为创业大道</w:t>
            </w:r>
            <w:r>
              <w:rPr>
                <w:b w:val="0"/>
                <w:bCs w:val="0"/>
                <w:color w:val="auto"/>
                <w:sz w:val="24"/>
                <w:u w:val="none"/>
              </w:rPr>
              <w:t>，</w:t>
            </w:r>
            <w:r>
              <w:rPr>
                <w:rFonts w:hint="eastAsia"/>
                <w:b w:val="0"/>
                <w:bCs w:val="0"/>
                <w:color w:val="auto"/>
                <w:sz w:val="24"/>
                <w:u w:val="none"/>
                <w:lang w:val="en-US" w:eastAsia="zh-CN"/>
              </w:rPr>
              <w:t>项目西侧向442m为中心路，项目厂界西北</w:t>
            </w:r>
            <w:r>
              <w:rPr>
                <w:rFonts w:hint="eastAsia"/>
                <w:b w:val="0"/>
                <w:bCs w:val="0"/>
                <w:color w:val="auto"/>
                <w:sz w:val="24"/>
                <w:u w:val="none"/>
              </w:rPr>
              <w:t>方向</w:t>
            </w:r>
            <w:r>
              <w:rPr>
                <w:rFonts w:hint="eastAsia"/>
                <w:b w:val="0"/>
                <w:bCs w:val="0"/>
                <w:color w:val="auto"/>
                <w:sz w:val="24"/>
                <w:u w:val="none"/>
                <w:lang w:val="en-US" w:eastAsia="zh-CN"/>
              </w:rPr>
              <w:t>290</w:t>
            </w:r>
            <w:r>
              <w:rPr>
                <w:rFonts w:hint="eastAsia"/>
                <w:b w:val="0"/>
                <w:bCs w:val="0"/>
                <w:color w:val="auto"/>
                <w:sz w:val="24"/>
                <w:u w:val="none"/>
              </w:rPr>
              <w:t>m为</w:t>
            </w:r>
            <w:r>
              <w:rPr>
                <w:rFonts w:hint="eastAsia"/>
                <w:b w:val="0"/>
                <w:bCs w:val="0"/>
                <w:color w:val="auto"/>
                <w:sz w:val="24"/>
                <w:u w:val="none"/>
                <w:lang w:val="en-US" w:eastAsia="zh-CN"/>
              </w:rPr>
              <w:t>井沟村。</w:t>
            </w:r>
            <w:r>
              <w:rPr>
                <w:b w:val="0"/>
                <w:bCs w:val="0"/>
                <w:color w:val="auto"/>
                <w:sz w:val="24"/>
                <w:u w:val="none"/>
                <w:lang w:val="zh-CN"/>
              </w:rPr>
              <w:t>项目地理位置见附图一，周围环境概况见附图</w:t>
            </w:r>
            <w:r>
              <w:rPr>
                <w:rFonts w:hint="eastAsia"/>
                <w:b w:val="0"/>
                <w:bCs w:val="0"/>
                <w:color w:val="auto"/>
                <w:sz w:val="24"/>
                <w:u w:val="none"/>
                <w:lang w:val="en-US" w:eastAsia="zh-CN"/>
              </w:rPr>
              <w:t>二</w:t>
            </w:r>
            <w:r>
              <w:rPr>
                <w:b w:val="0"/>
                <w:bCs w:val="0"/>
                <w:color w:val="auto"/>
                <w:sz w:val="24"/>
                <w:u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3、项目基本情况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本项目</w:t>
            </w:r>
            <w:r>
              <w:rPr>
                <w:rFonts w:hint="default" w:ascii="Times New Roman" w:hAnsi="Times New Roman" w:cs="Times New Roman"/>
                <w:kern w:val="0"/>
                <w:sz w:val="24"/>
              </w:rPr>
              <w:t>基本情况</w:t>
            </w:r>
            <w:r>
              <w:rPr>
                <w:rFonts w:hint="default" w:ascii="Times New Roman" w:hAnsi="Times New Roman" w:cs="Times New Roman"/>
                <w:sz w:val="24"/>
              </w:rPr>
              <w:t>见表</w:t>
            </w:r>
            <w:r>
              <w:rPr>
                <w:rFonts w:hint="eastAsia" w:ascii="Times New Roman" w:hAnsi="Times New Roman" w:cs="Times New Roman"/>
                <w:sz w:val="24"/>
                <w:lang w:val="en-US" w:eastAsia="zh-CN"/>
              </w:rPr>
              <w:t>2-</w:t>
            </w:r>
            <w:r>
              <w:rPr>
                <w:rFonts w:hint="default" w:ascii="Times New Roman" w:hAnsi="Times New Roman" w:cs="Times New Roman"/>
                <w:sz w:val="24"/>
              </w:rPr>
              <w:t>1，项目</w:t>
            </w:r>
            <w:r>
              <w:rPr>
                <w:rFonts w:hint="eastAsia" w:cs="Times New Roman"/>
                <w:sz w:val="24"/>
                <w:lang w:val="en-US" w:eastAsia="zh-CN"/>
              </w:rPr>
              <w:t>主要建设内容</w:t>
            </w:r>
            <w:r>
              <w:rPr>
                <w:rFonts w:hint="default" w:ascii="Times New Roman" w:hAnsi="Times New Roman" w:cs="Times New Roman"/>
                <w:sz w:val="24"/>
              </w:rPr>
              <w:t>见表</w:t>
            </w:r>
            <w:r>
              <w:rPr>
                <w:rFonts w:hint="eastAsia" w:ascii="Times New Roman" w:hAnsi="Times New Roman" w:cs="Times New Roman"/>
                <w:sz w:val="24"/>
                <w:lang w:val="en-US" w:eastAsia="zh-CN"/>
              </w:rPr>
              <w:t>2-</w:t>
            </w:r>
            <w:r>
              <w:rPr>
                <w:rFonts w:hint="default" w:ascii="Times New Roman" w:hAnsi="Times New Roman" w:cs="Times New Roman"/>
                <w:sz w:val="24"/>
              </w:rPr>
              <w:t>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表</w:t>
            </w:r>
            <w:r>
              <w:rPr>
                <w:rFonts w:hint="eastAsia" w:ascii="Times New Roman" w:hAnsi="Times New Roman" w:eastAsia="宋体" w:cs="Times New Roman"/>
                <w:b/>
                <w:bCs/>
                <w:sz w:val="24"/>
                <w:lang w:val="en-US" w:eastAsia="zh-CN"/>
              </w:rPr>
              <w:t>2-</w:t>
            </w:r>
            <w:r>
              <w:rPr>
                <w:rFonts w:hint="default" w:ascii="Times New Roman" w:hAnsi="Times New Roman" w:eastAsia="宋体" w:cs="Times New Roman"/>
                <w:b/>
                <w:bCs/>
                <w:sz w:val="24"/>
              </w:rPr>
              <w:t>1本建设项目基本情况</w:t>
            </w:r>
          </w:p>
          <w:tbl>
            <w:tblPr>
              <w:tblStyle w:val="24"/>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742"/>
              <w:gridCol w:w="1511"/>
              <w:gridCol w:w="697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内容</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sz w:val="21"/>
                      <w:szCs w:val="21"/>
                      <w:lang w:eastAsia="zh-CN"/>
                    </w:rPr>
                  </w:pPr>
                  <w:r>
                    <w:rPr>
                      <w:rFonts w:hint="eastAsia" w:cs="Times New Roman"/>
                      <w:sz w:val="21"/>
                      <w:szCs w:val="21"/>
                      <w:lang w:eastAsia="zh-CN"/>
                    </w:rPr>
                    <w:t>河南巨典游乐设备有限公司年产800吨游乐设备项目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建设单位</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sz w:val="21"/>
                      <w:szCs w:val="21"/>
                      <w:lang w:eastAsia="zh-CN"/>
                    </w:rPr>
                  </w:pPr>
                  <w:r>
                    <w:rPr>
                      <w:rFonts w:hint="eastAsia" w:cs="Times New Roman"/>
                      <w:sz w:val="21"/>
                      <w:szCs w:val="21"/>
                      <w:lang w:eastAsia="zh-CN"/>
                    </w:rPr>
                    <w:t>河南巨典游乐设备有限公司</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建设地点</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平顶山市鲁山县先进制造业开发区北区兴工路路北河南方圆炭素集团院内租赁8号厂房</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18"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工程建设性质</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18"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所属行业</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C2461露天游乐场所游乐设备制造</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18"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总投资</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eastAsia" w:cs="Times New Roman"/>
                      <w:sz w:val="21"/>
                      <w:szCs w:val="21"/>
                      <w:lang w:val="en-US" w:eastAsia="zh-CN"/>
                    </w:rPr>
                    <w:t>850</w:t>
                  </w:r>
                  <w:r>
                    <w:rPr>
                      <w:rFonts w:hint="default" w:ascii="Times New Roman" w:hAnsi="Times New Roman" w:cs="Times New Roman"/>
                      <w:sz w:val="21"/>
                      <w:szCs w:val="21"/>
                    </w:rPr>
                    <w:t>万元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18"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建筑面积</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1950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18"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8</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职工人数</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10</w:t>
                  </w:r>
                  <w:r>
                    <w:rPr>
                      <w:rFonts w:hint="default" w:ascii="Times New Roman" w:hAnsi="Times New Roman" w:cs="Times New Roman"/>
                      <w:color w:val="auto"/>
                      <w:sz w:val="21"/>
                      <w:szCs w:val="21"/>
                    </w:rPr>
                    <w:t>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18"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9</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年工作日</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年工作</w:t>
                  </w:r>
                  <w:r>
                    <w:rPr>
                      <w:rFonts w:hint="default" w:ascii="Times New Roman" w:hAnsi="Times New Roman" w:cs="Times New Roman"/>
                      <w:color w:val="auto"/>
                      <w:sz w:val="21"/>
                      <w:szCs w:val="21"/>
                    </w:rPr>
                    <w:t>300天，</w:t>
                  </w:r>
                  <w:r>
                    <w:rPr>
                      <w:rFonts w:hint="eastAsia" w:cs="Times New Roman"/>
                      <w:color w:val="auto"/>
                      <w:sz w:val="21"/>
                      <w:szCs w:val="21"/>
                      <w:lang w:val="en-US" w:eastAsia="zh-CN"/>
                    </w:rPr>
                    <w:t>每天1班制，工作8</w:t>
                  </w:r>
                  <w:r>
                    <w:rPr>
                      <w:rFonts w:hint="default" w:ascii="Times New Roman" w:hAnsi="Times New Roman" w:cs="Times New Roman"/>
                      <w:color w:val="auto"/>
                      <w:sz w:val="21"/>
                      <w:szCs w:val="21"/>
                    </w:rPr>
                    <w:t>小时</w:t>
                  </w:r>
                  <w:r>
                    <w:rPr>
                      <w:rFonts w:hint="eastAsia" w:cs="Times New Roman"/>
                      <w:color w:val="auto"/>
                      <w:sz w:val="21"/>
                      <w:szCs w:val="21"/>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表</w:t>
            </w:r>
            <w:r>
              <w:rPr>
                <w:rFonts w:hint="eastAsia" w:ascii="Times New Roman" w:hAnsi="Times New Roman" w:eastAsia="宋体" w:cs="Times New Roman"/>
                <w:b/>
                <w:bCs/>
                <w:sz w:val="24"/>
                <w:lang w:val="en-US" w:eastAsia="zh-CN"/>
              </w:rPr>
              <w:t>2-</w:t>
            </w:r>
            <w:r>
              <w:rPr>
                <w:rFonts w:hint="default" w:ascii="Times New Roman" w:hAnsi="Times New Roman" w:eastAsia="宋体" w:cs="Times New Roman"/>
                <w:b/>
                <w:bCs/>
                <w:sz w:val="24"/>
              </w:rPr>
              <w:t>2项目组成及建设规模</w:t>
            </w:r>
          </w:p>
          <w:tbl>
            <w:tblPr>
              <w:tblStyle w:val="24"/>
              <w:tblW w:w="495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653"/>
              <w:gridCol w:w="128"/>
              <w:gridCol w:w="491"/>
              <w:gridCol w:w="1117"/>
              <w:gridCol w:w="3811"/>
              <w:gridCol w:w="184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分类</w:t>
                  </w:r>
                </w:p>
              </w:tc>
              <w:tc>
                <w:tcPr>
                  <w:tcW w:w="130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建设内容</w:t>
                  </w:r>
                </w:p>
              </w:tc>
              <w:tc>
                <w:tcPr>
                  <w:tcW w:w="2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建筑面积及设备配置</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主体工程</w:t>
                  </w:r>
                </w:p>
              </w:tc>
              <w:tc>
                <w:tcPr>
                  <w:tcW w:w="130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生产车间</w:t>
                  </w:r>
                </w:p>
              </w:tc>
              <w:tc>
                <w:tcPr>
                  <w:tcW w:w="2082" w:type="pct"/>
                  <w:tcBorders>
                    <w:tl2br w:val="nil"/>
                    <w:tr2bl w:val="nil"/>
                  </w:tcBorders>
                  <w:noWrap w:val="0"/>
                  <w:vAlign w:val="center"/>
                </w:tcPr>
                <w:p>
                  <w:pPr>
                    <w:jc w:val="both"/>
                    <w:rPr>
                      <w:rFonts w:hint="default" w:eastAsia="宋体"/>
                      <w:color w:val="auto"/>
                      <w:lang w:val="en-US" w:eastAsia="zh-CN"/>
                    </w:rPr>
                  </w:pPr>
                  <w:r>
                    <w:rPr>
                      <w:rFonts w:hint="eastAsia"/>
                      <w:color w:val="auto"/>
                      <w:lang w:val="en-US" w:eastAsia="zh-CN"/>
                    </w:rPr>
                    <w:t>建设1条游乐设施加工生产线，厂房占地面积约为1950m</w:t>
                  </w:r>
                  <w:r>
                    <w:rPr>
                      <w:rFonts w:hint="eastAsia"/>
                      <w:color w:val="auto"/>
                      <w:vertAlign w:val="superscript"/>
                      <w:lang w:val="en-US" w:eastAsia="zh-CN"/>
                    </w:rPr>
                    <w:t>2</w:t>
                  </w:r>
                  <w:r>
                    <w:rPr>
                      <w:rFonts w:hint="eastAsia"/>
                      <w:color w:val="auto"/>
                      <w:vertAlign w:val="baseline"/>
                      <w:lang w:val="en-US" w:eastAsia="zh-CN"/>
                    </w:rPr>
                    <w:t>，主要布设原料堆放区、加工区以及成品区等。其中生产线</w:t>
                  </w:r>
                  <w:r>
                    <w:rPr>
                      <w:rFonts w:hint="eastAsia"/>
                      <w:color w:val="auto"/>
                      <w:lang w:val="en-US" w:eastAsia="zh-CN"/>
                    </w:rPr>
                    <w:t>主体设备为行吊机、折弯机、抛光机、切割机、电焊机、喷塑房、烘烤房以及配套的环保设施；</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lang w:val="en-US"/>
                    </w:rPr>
                  </w:pPr>
                  <w:r>
                    <w:rPr>
                      <w:rFonts w:hint="eastAsia"/>
                      <w:lang w:val="en-US" w:eastAsia="zh-CN"/>
                    </w:rPr>
                    <w:t>租赁现有车间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辅助工程</w:t>
                  </w:r>
                </w:p>
              </w:tc>
              <w:tc>
                <w:tcPr>
                  <w:tcW w:w="130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lang w:val="en-US" w:eastAsia="zh-CN"/>
                    </w:rPr>
                  </w:pPr>
                  <w:r>
                    <w:rPr>
                      <w:rFonts w:hint="eastAsia"/>
                      <w:color w:val="auto"/>
                      <w:lang w:val="en-US" w:eastAsia="zh-CN"/>
                    </w:rPr>
                    <w:t>办公区</w:t>
                  </w:r>
                </w:p>
              </w:tc>
              <w:tc>
                <w:tcPr>
                  <w:tcW w:w="2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rPr>
                  </w:pPr>
                  <w:r>
                    <w:rPr>
                      <w:rFonts w:hint="eastAsia"/>
                      <w:color w:val="auto"/>
                      <w:lang w:val="en-US" w:eastAsia="zh-CN"/>
                    </w:rPr>
                    <w:t>车间内西侧为</w:t>
                  </w:r>
                  <w:r>
                    <w:rPr>
                      <w:rFonts w:hint="default"/>
                      <w:color w:val="auto"/>
                    </w:rPr>
                    <w:t>办公区域，占地</w:t>
                  </w:r>
                  <w:r>
                    <w:rPr>
                      <w:rFonts w:hint="eastAsia"/>
                      <w:color w:val="auto"/>
                      <w:lang w:val="en-US" w:eastAsia="zh-CN"/>
                    </w:rPr>
                    <w:t>约40</w:t>
                  </w:r>
                  <w:r>
                    <w:rPr>
                      <w:rFonts w:hint="default"/>
                      <w:color w:val="auto"/>
                    </w:rPr>
                    <w:t>m</w:t>
                  </w:r>
                  <w:r>
                    <w:rPr>
                      <w:rFonts w:hint="default"/>
                      <w:color w:val="auto"/>
                      <w:vertAlign w:val="superscript"/>
                    </w:rPr>
                    <w:t>2</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lang w:val="en-US" w:eastAsia="zh-CN"/>
                    </w:rPr>
                    <w:t>租赁现有车间内已配备办公用房</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0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储运工程</w:t>
                  </w:r>
                </w:p>
              </w:tc>
              <w:tc>
                <w:tcPr>
                  <w:tcW w:w="130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原料堆存区</w:t>
                  </w:r>
                </w:p>
              </w:tc>
              <w:tc>
                <w:tcPr>
                  <w:tcW w:w="2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rPr>
                  </w:pPr>
                  <w:r>
                    <w:rPr>
                      <w:rFonts w:hint="default"/>
                      <w:color w:val="auto"/>
                    </w:rPr>
                    <w:t>位于厂房内</w:t>
                  </w:r>
                  <w:r>
                    <w:rPr>
                      <w:rFonts w:hint="eastAsia"/>
                      <w:color w:val="auto"/>
                      <w:lang w:val="en-US" w:eastAsia="zh-CN"/>
                    </w:rPr>
                    <w:t>西南方向区域</w:t>
                  </w:r>
                  <w:r>
                    <w:rPr>
                      <w:rFonts w:hint="default"/>
                      <w:color w:val="auto"/>
                    </w:rPr>
                    <w:t>，</w:t>
                  </w:r>
                  <w:r>
                    <w:rPr>
                      <w:rFonts w:hint="eastAsia"/>
                      <w:color w:val="auto"/>
                      <w:lang w:eastAsia="zh-CN"/>
                    </w:rPr>
                    <w:t>占地面积</w:t>
                  </w:r>
                  <w:r>
                    <w:rPr>
                      <w:rFonts w:hint="eastAsia"/>
                      <w:color w:val="auto"/>
                      <w:lang w:val="en-US" w:eastAsia="zh-CN"/>
                    </w:rPr>
                    <w:t>约150</w:t>
                  </w:r>
                  <w:r>
                    <w:rPr>
                      <w:rFonts w:hint="default"/>
                      <w:color w:val="auto"/>
                    </w:rPr>
                    <w:t>m</w:t>
                  </w:r>
                  <w:r>
                    <w:rPr>
                      <w:rFonts w:hint="default"/>
                      <w:color w:val="auto"/>
                      <w:vertAlign w:val="superscript"/>
                    </w:rPr>
                    <w:t>2</w:t>
                  </w:r>
                  <w:r>
                    <w:rPr>
                      <w:rFonts w:hint="default"/>
                      <w:color w:val="auto"/>
                    </w:rPr>
                    <w:t>，用作项目原料的储存。</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rPr>
                  </w:pPr>
                  <w:r>
                    <w:rPr>
                      <w:rFonts w:hint="eastAsia"/>
                      <w:color w:val="auto"/>
                      <w:lang w:val="en-US" w:eastAsia="zh-CN"/>
                    </w:rPr>
                    <w:t>在租赁厂房内</w:t>
                  </w:r>
                  <w:r>
                    <w:rPr>
                      <w:rFonts w:hint="default"/>
                      <w:color w:val="auto"/>
                    </w:rPr>
                    <w:t>新建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130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成品堆存区</w:t>
                  </w:r>
                </w:p>
              </w:tc>
              <w:tc>
                <w:tcPr>
                  <w:tcW w:w="2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rPr>
                  </w:pPr>
                  <w:r>
                    <w:rPr>
                      <w:rFonts w:hint="default"/>
                      <w:color w:val="auto"/>
                    </w:rPr>
                    <w:t>位于厂房内</w:t>
                  </w:r>
                  <w:r>
                    <w:rPr>
                      <w:rFonts w:hint="eastAsia"/>
                      <w:color w:val="auto"/>
                      <w:lang w:val="en-US" w:eastAsia="zh-CN"/>
                    </w:rPr>
                    <w:t>西南方向区域</w:t>
                  </w:r>
                  <w:r>
                    <w:rPr>
                      <w:rFonts w:hint="default"/>
                      <w:color w:val="auto"/>
                    </w:rPr>
                    <w:t>，占地面积</w:t>
                  </w:r>
                  <w:r>
                    <w:rPr>
                      <w:rFonts w:hint="eastAsia"/>
                      <w:color w:val="auto"/>
                      <w:lang w:val="en-US" w:eastAsia="zh-CN"/>
                    </w:rPr>
                    <w:t>约10</w:t>
                  </w:r>
                  <w:r>
                    <w:rPr>
                      <w:rFonts w:hint="default"/>
                      <w:color w:val="auto"/>
                    </w:rPr>
                    <w:t>0m</w:t>
                  </w:r>
                  <w:r>
                    <w:rPr>
                      <w:rFonts w:hint="default"/>
                      <w:color w:val="auto"/>
                      <w:vertAlign w:val="superscript"/>
                    </w:rPr>
                    <w:t>2</w:t>
                  </w:r>
                  <w:r>
                    <w:rPr>
                      <w:rFonts w:hint="default"/>
                      <w:color w:val="auto"/>
                    </w:rPr>
                    <w:t>，用作项目成品的储存。</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rPr>
                  </w:pPr>
                  <w:r>
                    <w:rPr>
                      <w:rFonts w:hint="eastAsia"/>
                      <w:color w:val="auto"/>
                      <w:lang w:val="en-US" w:eastAsia="zh-CN"/>
                    </w:rPr>
                    <w:t>在租赁厂房内</w:t>
                  </w:r>
                  <w:r>
                    <w:rPr>
                      <w:rFonts w:hint="default"/>
                      <w:color w:val="auto"/>
                    </w:rPr>
                    <w:t>新建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公用工程</w:t>
                  </w:r>
                </w:p>
              </w:tc>
              <w:tc>
                <w:tcPr>
                  <w:tcW w:w="130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供水系统</w:t>
                  </w:r>
                </w:p>
              </w:tc>
              <w:tc>
                <w:tcPr>
                  <w:tcW w:w="30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cs="Times New Roman"/>
                      <w:b w:val="0"/>
                      <w:bCs w:val="0"/>
                      <w:color w:val="auto"/>
                      <w:kern w:val="0"/>
                      <w:sz w:val="21"/>
                      <w:szCs w:val="21"/>
                      <w:u w:val="none"/>
                      <w:lang w:val="en-US" w:eastAsia="zh-CN" w:bidi="ar"/>
                    </w:rPr>
                    <w:t>由集聚区供水管网供给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130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排水系统</w:t>
                  </w:r>
                </w:p>
              </w:tc>
              <w:tc>
                <w:tcPr>
                  <w:tcW w:w="30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宋体"/>
                      <w:lang w:val="en-US" w:eastAsia="zh-CN"/>
                    </w:rPr>
                  </w:pPr>
                  <w:r>
                    <w:rPr>
                      <w:rFonts w:hint="eastAsia"/>
                      <w:lang w:val="en-US" w:eastAsia="zh-CN"/>
                    </w:rPr>
                    <w:t>项</w:t>
                  </w:r>
                  <w:r>
                    <w:rPr>
                      <w:rFonts w:hint="eastAsia"/>
                      <w:color w:val="auto"/>
                      <w:lang w:val="en-US" w:eastAsia="zh-CN"/>
                    </w:rPr>
                    <w:t>目采取雨污分流雨水经河南方圆炭素集团厂区内已有雨水管网收纳。</w:t>
                  </w:r>
                  <w:r>
                    <w:rPr>
                      <w:rFonts w:hint="eastAsia" w:eastAsia="宋体"/>
                      <w:color w:val="auto"/>
                      <w:lang w:eastAsia="zh-CN"/>
                    </w:rPr>
                    <w:t>项目营运期废水主要为生活污水。生活污水经化粪池收集</w:t>
                  </w:r>
                  <w:r>
                    <w:rPr>
                      <w:rFonts w:hint="eastAsia"/>
                      <w:color w:val="auto"/>
                      <w:lang w:val="en-US" w:eastAsia="zh-CN"/>
                    </w:rPr>
                    <w:t>预处理</w:t>
                  </w:r>
                  <w:r>
                    <w:rPr>
                      <w:rFonts w:hint="eastAsia" w:eastAsia="宋体"/>
                      <w:color w:val="auto"/>
                      <w:lang w:eastAsia="zh-CN"/>
                    </w:rPr>
                    <w:t>后可直接进入污水管网，最终进入</w:t>
                  </w:r>
                  <w:r>
                    <w:rPr>
                      <w:rFonts w:hint="eastAsia"/>
                      <w:color w:val="auto"/>
                      <w:lang w:eastAsia="zh-CN"/>
                    </w:rPr>
                    <w:t>鲁山县产业集聚区污水处理厂</w:t>
                  </w:r>
                  <w:r>
                    <w:rPr>
                      <w:rFonts w:hint="eastAsia" w:eastAsia="宋体"/>
                      <w:color w:val="auto"/>
                      <w:lang w:eastAsia="zh-CN"/>
                    </w:rPr>
                    <w:t>进行处理</w:t>
                  </w:r>
                  <w:r>
                    <w:rPr>
                      <w:rFonts w:hint="eastAsia"/>
                      <w:color w:val="auto"/>
                      <w:lang w:eastAsia="zh-CN"/>
                    </w:rPr>
                    <w:t>，</w:t>
                  </w:r>
                  <w:r>
                    <w:rPr>
                      <w:rFonts w:hint="eastAsia"/>
                      <w:color w:val="auto"/>
                      <w:lang w:val="en-US" w:eastAsia="zh-CN"/>
                    </w:rPr>
                    <w:t>最终全部中水回用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130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供电系统</w:t>
                  </w:r>
                </w:p>
              </w:tc>
              <w:tc>
                <w:tcPr>
                  <w:tcW w:w="30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cs="Times New Roman"/>
                      <w:b w:val="0"/>
                      <w:bCs w:val="0"/>
                      <w:color w:val="auto"/>
                      <w:kern w:val="0"/>
                      <w:sz w:val="21"/>
                      <w:szCs w:val="21"/>
                      <w:u w:val="none"/>
                      <w:lang w:val="en-US" w:eastAsia="zh-CN" w:bidi="ar"/>
                    </w:rPr>
                    <w:t>由集聚区供电管网供给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60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环保工程</w:t>
                  </w:r>
                </w:p>
              </w:tc>
              <w:tc>
                <w:tcPr>
                  <w:tcW w:w="3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废气处理</w:t>
                  </w:r>
                </w:p>
              </w:tc>
              <w:tc>
                <w:tcPr>
                  <w:tcW w:w="338" w:type="pct"/>
                  <w:gridSpan w:val="2"/>
                  <w:vMerge w:val="restart"/>
                  <w:tcBorders>
                    <w:tl2br w:val="nil"/>
                    <w:tr2bl w:val="nil"/>
                  </w:tcBorders>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有组织废气</w:t>
                  </w:r>
                </w:p>
              </w:tc>
              <w:tc>
                <w:tcPr>
                  <w:tcW w:w="608" w:type="pct"/>
                  <w:tcBorders>
                    <w:tl2br w:val="nil"/>
                    <w:tr2bl w:val="nil"/>
                  </w:tcBorders>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lang w:val="en-US" w:eastAsia="zh-CN"/>
                    </w:rPr>
                    <w:t>切割、焊接抛光以及</w:t>
                  </w:r>
                  <w:r>
                    <w:rPr>
                      <w:rFonts w:hint="eastAsia" w:cs="Times New Roman"/>
                      <w:kern w:val="2"/>
                      <w:sz w:val="21"/>
                      <w:szCs w:val="24"/>
                      <w:lang w:val="en-US" w:eastAsia="zh-CN" w:bidi="ar-SA"/>
                    </w:rPr>
                    <w:t>喷塑工序废气</w:t>
                  </w:r>
                </w:p>
              </w:tc>
              <w:tc>
                <w:tcPr>
                  <w:tcW w:w="30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宋体" w:cs="Times New Roman"/>
                      <w:kern w:val="2"/>
                      <w:sz w:val="21"/>
                      <w:szCs w:val="24"/>
                      <w:lang w:val="en-US" w:eastAsia="zh-CN" w:bidi="ar-SA"/>
                    </w:rPr>
                  </w:pPr>
                  <w:r>
                    <w:rPr>
                      <w:rFonts w:hint="eastAsia"/>
                      <w:lang w:val="en-US" w:eastAsia="zh-CN"/>
                    </w:rPr>
                    <w:t>项目生产过程中切割、焊接、抛光以及喷塑工序会产生一定量的颗粒物废气。本项目针对切割、焊接、抛光以及喷塑工序工位安装集气系统进行收集，将废气通过管道排入废气处理系统（袋式除尘器）处理，最终经15m排气筒P1（DA001）达标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continue"/>
                  <w:tcBorders>
                    <w:tl2br w:val="nil"/>
                    <w:tr2bl w:val="nil"/>
                  </w:tcBorders>
                  <w:noWrap w:val="0"/>
                  <w:vAlign w:val="center"/>
                </w:tcPr>
                <w:p>
                  <w:pPr>
                    <w:pStyle w:val="23"/>
                    <w:ind w:left="0" w:leftChars="0" w:firstLine="0" w:firstLineChars="0"/>
                  </w:pPr>
                </w:p>
              </w:tc>
              <w:tc>
                <w:tcPr>
                  <w:tcW w:w="357" w:type="pct"/>
                  <w:vMerge w:val="continue"/>
                  <w:tcBorders>
                    <w:tl2br w:val="nil"/>
                    <w:tr2bl w:val="nil"/>
                  </w:tcBorders>
                  <w:noWrap w:val="0"/>
                  <w:vAlign w:val="center"/>
                </w:tcPr>
                <w:p>
                  <w:pPr>
                    <w:pStyle w:val="23"/>
                    <w:ind w:left="0" w:leftChars="0" w:firstLine="0" w:firstLineChars="0"/>
                  </w:pPr>
                </w:p>
              </w:tc>
              <w:tc>
                <w:tcPr>
                  <w:tcW w:w="338" w:type="pct"/>
                  <w:gridSpan w:val="2"/>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lang w:val="en-US"/>
                    </w:rPr>
                  </w:pPr>
                </w:p>
              </w:tc>
              <w:tc>
                <w:tcPr>
                  <w:tcW w:w="608"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烘烤废气（有机废气）</w:t>
                  </w:r>
                </w:p>
              </w:tc>
              <w:tc>
                <w:tcPr>
                  <w:tcW w:w="3089" w:type="pct"/>
                  <w:gridSpan w:val="2"/>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both"/>
                    <w:textAlignment w:val="auto"/>
                    <w:rPr>
                      <w:rFonts w:hint="eastAsia"/>
                      <w:lang w:eastAsia="zh-CN"/>
                    </w:rPr>
                  </w:pPr>
                  <w:r>
                    <w:rPr>
                      <w:rFonts w:hint="eastAsia"/>
                      <w:lang w:val="en-US" w:eastAsia="zh-CN"/>
                    </w:rPr>
                    <w:t>项目在烘烤工序会产生一定的有机废气。由于该工序位于密闭烘烤房内，因此本项目在密闭烘烤房上方配备集气系统进行收集；将废气引入1套“</w:t>
                  </w:r>
                  <w:r>
                    <w:rPr>
                      <w:rFonts w:hint="eastAsia" w:ascii="Times New Roman" w:hAnsi="Times New Roman" w:cs="Times New Roman"/>
                      <w:b w:val="0"/>
                      <w:bCs w:val="0"/>
                      <w:color w:val="000000"/>
                      <w:szCs w:val="21"/>
                      <w:u w:val="none"/>
                      <w:lang w:val="en-US" w:eastAsia="zh-CN"/>
                    </w:rPr>
                    <w:t>UV光催化氧化+活性炭吸附</w:t>
                  </w:r>
                  <w:r>
                    <w:rPr>
                      <w:rFonts w:hint="eastAsia"/>
                      <w:lang w:val="en-US" w:eastAsia="zh-CN"/>
                    </w:rPr>
                    <w:t>”</w:t>
                  </w:r>
                  <w:r>
                    <w:rPr>
                      <w:rFonts w:hint="eastAsia" w:ascii="Times New Roman" w:hAnsi="Times New Roman" w:cs="Times New Roman"/>
                      <w:b w:val="0"/>
                      <w:bCs w:val="0"/>
                      <w:color w:val="000000"/>
                      <w:szCs w:val="21"/>
                      <w:u w:val="none"/>
                      <w:lang w:val="en-US" w:eastAsia="zh-CN"/>
                    </w:rPr>
                    <w:t>装置</w:t>
                  </w:r>
                  <w:r>
                    <w:rPr>
                      <w:rFonts w:hint="default" w:ascii="Times New Roman" w:hAnsi="Times New Roman" w:cs="Times New Roman"/>
                      <w:b w:val="0"/>
                      <w:bCs w:val="0"/>
                      <w:color w:val="auto"/>
                      <w:szCs w:val="21"/>
                      <w:u w:val="none"/>
                    </w:rPr>
                    <w:t>（其中活性炭吸附工艺需满足以下要求：颗粒状、柱状活性炭碘值不低于800毫克/克，蜂窝状活性炭碘值不低于650毫克/克）</w:t>
                  </w:r>
                  <w:r>
                    <w:rPr>
                      <w:rFonts w:hint="eastAsia" w:ascii="Times New Roman" w:hAnsi="Times New Roman" w:cs="Times New Roman"/>
                      <w:b w:val="0"/>
                      <w:bCs w:val="0"/>
                      <w:color w:val="000000"/>
                      <w:szCs w:val="21"/>
                      <w:u w:val="none"/>
                      <w:lang w:val="en-US" w:eastAsia="zh-CN"/>
                    </w:rPr>
                    <w:t>处理后通过1根15m排气筒</w:t>
                  </w:r>
                  <w:r>
                    <w:rPr>
                      <w:rFonts w:hint="eastAsia" w:cs="Times New Roman"/>
                      <w:b w:val="0"/>
                      <w:bCs w:val="0"/>
                      <w:color w:val="000000"/>
                      <w:szCs w:val="21"/>
                      <w:u w:val="none"/>
                      <w:lang w:val="en-US" w:eastAsia="zh-CN"/>
                    </w:rPr>
                    <w:t>P2</w:t>
                  </w:r>
                  <w:r>
                    <w:rPr>
                      <w:rFonts w:hint="eastAsia" w:ascii="Times New Roman" w:hAnsi="Times New Roman" w:cs="Times New Roman"/>
                      <w:b w:val="0"/>
                      <w:bCs w:val="0"/>
                      <w:color w:val="000000"/>
                      <w:szCs w:val="21"/>
                      <w:u w:val="none"/>
                      <w:lang w:val="en-US" w:eastAsia="zh-CN"/>
                    </w:rPr>
                    <w:t>（DA002）排放</w:t>
                  </w:r>
                  <w:r>
                    <w:rPr>
                      <w:rFonts w:hint="eastAsia"/>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continue"/>
                  <w:tcBorders>
                    <w:tl2br w:val="nil"/>
                    <w:tr2bl w:val="nil"/>
                  </w:tcBorders>
                  <w:noWrap w:val="0"/>
                  <w:vAlign w:val="center"/>
                </w:tcPr>
                <w:p>
                  <w:pPr>
                    <w:pStyle w:val="23"/>
                    <w:ind w:left="0" w:leftChars="0" w:firstLine="0" w:firstLineChars="0"/>
                  </w:pPr>
                </w:p>
              </w:tc>
              <w:tc>
                <w:tcPr>
                  <w:tcW w:w="357" w:type="pct"/>
                  <w:vMerge w:val="continue"/>
                  <w:tcBorders>
                    <w:tl2br w:val="nil"/>
                    <w:tr2bl w:val="nil"/>
                  </w:tcBorders>
                  <w:noWrap w:val="0"/>
                  <w:vAlign w:val="center"/>
                </w:tcPr>
                <w:p>
                  <w:pPr>
                    <w:pStyle w:val="23"/>
                    <w:ind w:left="0" w:leftChars="0" w:firstLine="0" w:firstLineChars="0"/>
                  </w:pPr>
                </w:p>
              </w:tc>
              <w:tc>
                <w:tcPr>
                  <w:tcW w:w="338" w:type="pct"/>
                  <w:gridSpan w:val="2"/>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pPr>
                </w:p>
              </w:tc>
              <w:tc>
                <w:tcPr>
                  <w:tcW w:w="608"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烘烤燃烧废气</w:t>
                  </w:r>
                </w:p>
              </w:tc>
              <w:tc>
                <w:tcPr>
                  <w:tcW w:w="3089" w:type="pct"/>
                  <w:gridSpan w:val="2"/>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both"/>
                    <w:textAlignment w:val="auto"/>
                    <w:rPr>
                      <w:rFonts w:hint="eastAsia"/>
                      <w:lang w:eastAsia="zh-CN"/>
                    </w:rPr>
                  </w:pPr>
                  <w:r>
                    <w:rPr>
                      <w:rFonts w:hint="eastAsia"/>
                      <w:lang w:val="en-US" w:eastAsia="zh-CN"/>
                    </w:rPr>
                    <w:t>项目烘烤工序采用的燃料为天然气，属于清洁能源；本次评价要求烘烤工序燃烧机配备低氮燃烧装置，减少氮氧化物的排放。经计算可知本项目烘烤燃烧废气可满足相应标准的限值要求。本项目烘烤燃烧废气（配备低氮燃烧）与烘烤废气（有机废气）共同经1套“</w:t>
                  </w:r>
                  <w:r>
                    <w:rPr>
                      <w:rFonts w:hint="eastAsia" w:ascii="Times New Roman" w:hAnsi="Times New Roman" w:cs="Times New Roman"/>
                      <w:b w:val="0"/>
                      <w:bCs w:val="0"/>
                      <w:color w:val="000000"/>
                      <w:szCs w:val="21"/>
                      <w:u w:val="none"/>
                      <w:lang w:val="en-US" w:eastAsia="zh-CN"/>
                    </w:rPr>
                    <w:t>UV光催化氧化+活性炭吸附</w:t>
                  </w:r>
                  <w:r>
                    <w:rPr>
                      <w:rFonts w:hint="eastAsia"/>
                      <w:lang w:val="en-US" w:eastAsia="zh-CN"/>
                    </w:rPr>
                    <w:t>”</w:t>
                  </w:r>
                  <w:r>
                    <w:rPr>
                      <w:rFonts w:hint="eastAsia" w:ascii="Times New Roman" w:hAnsi="Times New Roman" w:cs="Times New Roman"/>
                      <w:b w:val="0"/>
                      <w:bCs w:val="0"/>
                      <w:color w:val="000000"/>
                      <w:szCs w:val="21"/>
                      <w:u w:val="none"/>
                      <w:lang w:val="en-US" w:eastAsia="zh-CN"/>
                    </w:rPr>
                    <w:t>装置</w:t>
                  </w:r>
                  <w:r>
                    <w:rPr>
                      <w:rFonts w:hint="default" w:ascii="Times New Roman" w:hAnsi="Times New Roman" w:cs="Times New Roman"/>
                      <w:b w:val="0"/>
                      <w:bCs w:val="0"/>
                      <w:color w:val="auto"/>
                      <w:szCs w:val="21"/>
                      <w:u w:val="none"/>
                    </w:rPr>
                    <w:t>（其中活性炭吸附工艺需满足以下要求：颗粒状、柱状活性炭碘值不低于800毫克/克，蜂窝状活性炭碘值不低于650毫克/克）</w:t>
                  </w:r>
                  <w:r>
                    <w:rPr>
                      <w:rFonts w:hint="eastAsia" w:ascii="Times New Roman" w:hAnsi="Times New Roman" w:cs="Times New Roman"/>
                      <w:b w:val="0"/>
                      <w:bCs w:val="0"/>
                      <w:color w:val="000000"/>
                      <w:szCs w:val="21"/>
                      <w:u w:val="none"/>
                      <w:lang w:val="en-US" w:eastAsia="zh-CN"/>
                    </w:rPr>
                    <w:t>处理后通过1根15m排气筒</w:t>
                  </w:r>
                  <w:r>
                    <w:rPr>
                      <w:rFonts w:hint="eastAsia" w:cs="Times New Roman"/>
                      <w:b w:val="0"/>
                      <w:bCs w:val="0"/>
                      <w:color w:val="000000"/>
                      <w:szCs w:val="21"/>
                      <w:u w:val="none"/>
                      <w:lang w:val="en-US" w:eastAsia="zh-CN"/>
                    </w:rPr>
                    <w:t>P2</w:t>
                  </w:r>
                  <w:r>
                    <w:rPr>
                      <w:rFonts w:hint="eastAsia" w:ascii="Times New Roman" w:hAnsi="Times New Roman" w:cs="Times New Roman"/>
                      <w:b w:val="0"/>
                      <w:bCs w:val="0"/>
                      <w:color w:val="000000"/>
                      <w:szCs w:val="21"/>
                      <w:u w:val="none"/>
                      <w:lang w:val="en-US" w:eastAsia="zh-CN"/>
                    </w:rPr>
                    <w:t>（DA002）排放。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continue"/>
                  <w:tcBorders>
                    <w:tl2br w:val="nil"/>
                    <w:tr2bl w:val="nil"/>
                  </w:tcBorders>
                  <w:noWrap w:val="0"/>
                  <w:vAlign w:val="center"/>
                </w:tcPr>
                <w:p>
                  <w:pPr>
                    <w:pStyle w:val="23"/>
                    <w:ind w:left="0" w:leftChars="0" w:firstLine="0" w:firstLineChars="0"/>
                  </w:pPr>
                </w:p>
              </w:tc>
              <w:tc>
                <w:tcPr>
                  <w:tcW w:w="357" w:type="pct"/>
                  <w:vMerge w:val="continue"/>
                  <w:tcBorders>
                    <w:tl2br w:val="nil"/>
                    <w:tr2bl w:val="nil"/>
                  </w:tcBorders>
                  <w:noWrap w:val="0"/>
                  <w:vAlign w:val="center"/>
                </w:tcPr>
                <w:p>
                  <w:pPr>
                    <w:pStyle w:val="23"/>
                    <w:ind w:left="0" w:leftChars="0" w:firstLine="0" w:firstLineChars="0"/>
                  </w:pPr>
                </w:p>
              </w:tc>
              <w:tc>
                <w:tcPr>
                  <w:tcW w:w="338" w:type="pct"/>
                  <w:gridSpan w:val="2"/>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s="Times New Roman"/>
                      <w:kern w:val="2"/>
                      <w:sz w:val="21"/>
                      <w:szCs w:val="24"/>
                      <w:lang w:val="en-US" w:eastAsia="zh-CN" w:bidi="ar-SA"/>
                    </w:rPr>
                  </w:pPr>
                  <w:r>
                    <w:rPr>
                      <w:rFonts w:hint="eastAsia" w:cs="Times New Roman"/>
                      <w:kern w:val="2"/>
                      <w:sz w:val="21"/>
                      <w:szCs w:val="24"/>
                      <w:lang w:val="en-US" w:eastAsia="zh-CN" w:bidi="ar-SA"/>
                    </w:rPr>
                    <w:t>无组织废气</w:t>
                  </w:r>
                </w:p>
              </w:tc>
              <w:tc>
                <w:tcPr>
                  <w:tcW w:w="60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u w:val="none"/>
                      <w:lang w:val="en-US" w:eastAsia="zh-CN" w:bidi="ar-SA"/>
                    </w:rPr>
                  </w:pPr>
                  <w:r>
                    <w:rPr>
                      <w:rFonts w:hint="eastAsia"/>
                      <w:lang w:val="en-US" w:eastAsia="zh-CN"/>
                    </w:rPr>
                    <w:t>切割、焊接抛光以及</w:t>
                  </w:r>
                  <w:r>
                    <w:rPr>
                      <w:rFonts w:hint="eastAsia" w:cs="Times New Roman"/>
                      <w:kern w:val="2"/>
                      <w:sz w:val="21"/>
                      <w:szCs w:val="24"/>
                      <w:lang w:val="en-US" w:eastAsia="zh-CN" w:bidi="ar-SA"/>
                    </w:rPr>
                    <w:t>喷塑</w:t>
                  </w:r>
                  <w:r>
                    <w:rPr>
                      <w:rFonts w:hint="eastAsia" w:cs="Times New Roman"/>
                      <w:color w:val="000000"/>
                      <w:sz w:val="21"/>
                      <w:u w:val="none"/>
                      <w:lang w:val="en-US" w:eastAsia="zh-CN"/>
                    </w:rPr>
                    <w:t>工序废气</w:t>
                  </w:r>
                </w:p>
              </w:tc>
              <w:tc>
                <w:tcPr>
                  <w:tcW w:w="308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密闭车间，定期清扫并且车间外围和道路绿化</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continue"/>
                  <w:tcBorders>
                    <w:tl2br w:val="nil"/>
                    <w:tr2bl w:val="nil"/>
                  </w:tcBorders>
                  <w:noWrap w:val="0"/>
                  <w:vAlign w:val="center"/>
                </w:tcPr>
                <w:p>
                  <w:pPr>
                    <w:pStyle w:val="23"/>
                    <w:ind w:left="0" w:leftChars="0" w:firstLine="0" w:firstLineChars="0"/>
                  </w:pPr>
                </w:p>
              </w:tc>
              <w:tc>
                <w:tcPr>
                  <w:tcW w:w="357" w:type="pct"/>
                  <w:vMerge w:val="continue"/>
                  <w:tcBorders>
                    <w:tl2br w:val="nil"/>
                    <w:tr2bl w:val="nil"/>
                  </w:tcBorders>
                  <w:noWrap w:val="0"/>
                  <w:vAlign w:val="center"/>
                </w:tcPr>
                <w:p>
                  <w:pPr>
                    <w:pStyle w:val="23"/>
                    <w:ind w:left="0" w:leftChars="0" w:firstLine="0" w:firstLineChars="0"/>
                  </w:pPr>
                </w:p>
              </w:tc>
              <w:tc>
                <w:tcPr>
                  <w:tcW w:w="338" w:type="pct"/>
                  <w:gridSpan w:val="2"/>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kern w:val="2"/>
                      <w:sz w:val="21"/>
                      <w:szCs w:val="24"/>
                      <w:lang w:val="en-US" w:eastAsia="zh-CN" w:bidi="ar-SA"/>
                    </w:rPr>
                  </w:pP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4"/>
                      <w:u w:val="none"/>
                      <w:lang w:val="en-US" w:eastAsia="zh-CN" w:bidi="ar-SA"/>
                    </w:rPr>
                  </w:pPr>
                  <w:r>
                    <w:rPr>
                      <w:rFonts w:hint="eastAsia" w:cs="Times New Roman"/>
                      <w:kern w:val="2"/>
                      <w:sz w:val="21"/>
                      <w:szCs w:val="24"/>
                      <w:lang w:val="en-US" w:eastAsia="zh-CN" w:bidi="ar-SA"/>
                    </w:rPr>
                    <w:t>烘烤废气（有机废气）</w:t>
                  </w:r>
                </w:p>
              </w:tc>
              <w:tc>
                <w:tcPr>
                  <w:tcW w:w="30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加强车间密闭</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05" w:type="pct"/>
                  <w:vMerge w:val="continue"/>
                  <w:tcBorders>
                    <w:tl2br w:val="nil"/>
                    <w:tr2bl w:val="nil"/>
                  </w:tcBorders>
                  <w:noWrap w:val="0"/>
                  <w:vAlign w:val="center"/>
                </w:tcPr>
                <w:p>
                  <w:pPr>
                    <w:pStyle w:val="23"/>
                    <w:ind w:left="0" w:leftChars="0" w:firstLine="0" w:firstLineChars="0"/>
                  </w:pPr>
                </w:p>
              </w:tc>
              <w:tc>
                <w:tcPr>
                  <w:tcW w:w="357" w:type="pct"/>
                  <w:vMerge w:val="continue"/>
                  <w:tcBorders>
                    <w:tl2br w:val="nil"/>
                    <w:tr2bl w:val="nil"/>
                  </w:tcBorders>
                  <w:noWrap w:val="0"/>
                  <w:vAlign w:val="center"/>
                </w:tcPr>
                <w:p>
                  <w:pPr>
                    <w:pStyle w:val="23"/>
                    <w:ind w:left="0" w:leftChars="0" w:firstLine="0" w:firstLineChars="0"/>
                  </w:pPr>
                </w:p>
              </w:tc>
              <w:tc>
                <w:tcPr>
                  <w:tcW w:w="338" w:type="pct"/>
                  <w:gridSpan w:val="2"/>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kern w:val="2"/>
                      <w:sz w:val="21"/>
                      <w:szCs w:val="24"/>
                      <w:lang w:val="en-US" w:eastAsia="zh-CN" w:bidi="ar-SA"/>
                    </w:rPr>
                  </w:pPr>
                </w:p>
              </w:tc>
              <w:tc>
                <w:tcPr>
                  <w:tcW w:w="608" w:type="pc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b w:val="0"/>
                      <w:bCs/>
                      <w:color w:val="auto"/>
                      <w:kern w:val="0"/>
                      <w:sz w:val="21"/>
                      <w:szCs w:val="21"/>
                      <w:highlight w:val="none"/>
                      <w:u w:val="none"/>
                      <w:lang w:val="en-US" w:eastAsia="zh-CN" w:bidi="ar"/>
                    </w:rPr>
                  </w:pPr>
                  <w:r>
                    <w:rPr>
                      <w:rFonts w:hint="eastAsia" w:cs="Times New Roman"/>
                      <w:kern w:val="2"/>
                      <w:sz w:val="21"/>
                      <w:szCs w:val="24"/>
                      <w:lang w:val="en-US" w:eastAsia="zh-CN" w:bidi="ar-SA"/>
                    </w:rPr>
                    <w:t>烘烤燃烧废气</w:t>
                  </w:r>
                </w:p>
              </w:tc>
              <w:tc>
                <w:tcPr>
                  <w:tcW w:w="308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加强车间密闭</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6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130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废水处理</w:t>
                  </w:r>
                </w:p>
              </w:tc>
              <w:tc>
                <w:tcPr>
                  <w:tcW w:w="3089" w:type="pct"/>
                  <w:gridSpan w:val="2"/>
                  <w:tcBorders>
                    <w:tl2br w:val="nil"/>
                    <w:tr2bl w:val="nil"/>
                  </w:tcBorders>
                  <w:noWrap w:val="0"/>
                  <w:vAlign w:val="center"/>
                </w:tcPr>
                <w:p>
                  <w:pPr>
                    <w:rPr>
                      <w:rFonts w:hint="default" w:eastAsia="宋体"/>
                      <w:lang w:val="en-US" w:eastAsia="zh-CN"/>
                    </w:rPr>
                  </w:pPr>
                  <w:r>
                    <w:rPr>
                      <w:rFonts w:hint="default" w:eastAsia="宋体"/>
                      <w:lang w:val="en-US" w:eastAsia="zh-CN"/>
                    </w:rPr>
                    <w:t>项目营运期废水主要为生活污水。生活污水经化粪池收集后可直接进入</w:t>
                  </w:r>
                  <w:r>
                    <w:rPr>
                      <w:rFonts w:hint="eastAsia"/>
                      <w:lang w:val="en-US" w:eastAsia="zh-CN"/>
                    </w:rPr>
                    <w:t>集聚区</w:t>
                  </w:r>
                  <w:r>
                    <w:rPr>
                      <w:rFonts w:hint="default" w:eastAsia="宋体"/>
                      <w:lang w:val="en-US" w:eastAsia="zh-CN"/>
                    </w:rPr>
                    <w:t>污水管网，最终进入</w:t>
                  </w:r>
                  <w:r>
                    <w:rPr>
                      <w:rFonts w:hint="eastAsia"/>
                      <w:lang w:val="en-US" w:eastAsia="zh-CN"/>
                    </w:rPr>
                    <w:t>鲁山县产业集聚区污水处理厂进一步处理，最终全部中水回用。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427"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固废处置</w:t>
                  </w:r>
                </w:p>
              </w:tc>
              <w:tc>
                <w:tcPr>
                  <w:tcW w:w="87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一般固体废物</w:t>
                  </w:r>
                </w:p>
              </w:tc>
              <w:tc>
                <w:tcPr>
                  <w:tcW w:w="30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eastAsia="宋体"/>
                      <w:color w:val="auto"/>
                      <w:lang w:val="en-US" w:eastAsia="zh-CN"/>
                    </w:rPr>
                  </w:pPr>
                  <w:r>
                    <w:rPr>
                      <w:rFonts w:hint="eastAsia"/>
                      <w:color w:val="auto"/>
                      <w:lang w:val="en-US" w:eastAsia="zh-CN"/>
                    </w:rPr>
                    <w:t>生活垃圾：在厂区设置生活垃圾桶，定期交由当地环卫部门清运；废边角料、袋式除尘器收集尘</w:t>
                  </w:r>
                  <w:r>
                    <w:rPr>
                      <w:rFonts w:hint="eastAsia" w:cs="Times New Roman"/>
                      <w:color w:val="auto"/>
                      <w:sz w:val="21"/>
                      <w:szCs w:val="21"/>
                      <w:lang w:val="en-US" w:eastAsia="zh-CN"/>
                    </w:rPr>
                    <w:t>收集后定期外售；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427"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87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lang w:val="en-US" w:eastAsia="zh-CN"/>
                    </w:rPr>
                  </w:pPr>
                  <w:r>
                    <w:rPr>
                      <w:rFonts w:hint="eastAsia"/>
                      <w:lang w:val="en-US" w:eastAsia="zh-CN"/>
                    </w:rPr>
                    <w:t>危险废物</w:t>
                  </w:r>
                </w:p>
              </w:tc>
              <w:tc>
                <w:tcPr>
                  <w:tcW w:w="30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宋体"/>
                      <w:lang w:val="en-US" w:eastAsia="zh-CN"/>
                    </w:rPr>
                  </w:pPr>
                  <w:r>
                    <w:rPr>
                      <w:rFonts w:hint="eastAsia"/>
                      <w:color w:val="auto"/>
                      <w:lang w:val="en-US" w:eastAsia="zh-CN"/>
                    </w:rPr>
                    <w:t>生产过程中产生的危险废物主要包括废活性炭、设备保养产生的废机油、废润滑油、废催化板以及废UV灯管。针对生产过程中产生的危险废物本项目主要将其暂存于危废暂存间，定期交由具有危废资质单位处置。危废暂存间符合《危险废物贮存污染控制标准》（GB18597-2023）相关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42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噪声治理</w:t>
                  </w:r>
                </w:p>
              </w:tc>
              <w:tc>
                <w:tcPr>
                  <w:tcW w:w="3966"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rPr>
                  </w:pPr>
                  <w:r>
                    <w:rPr>
                      <w:rFonts w:hint="default" w:ascii="Times New Roman" w:hAnsi="Times New Roman" w:cs="Times New Roman"/>
                    </w:rPr>
                    <w:t>采用低噪声生产工艺及设备</w:t>
                  </w:r>
                  <w:r>
                    <w:rPr>
                      <w:rFonts w:hint="eastAsia" w:cs="Times New Roman"/>
                      <w:lang w:eastAsia="zh-CN"/>
                    </w:rPr>
                    <w:t>，</w:t>
                  </w:r>
                  <w:r>
                    <w:rPr>
                      <w:rFonts w:hint="eastAsia" w:cs="Times New Roman"/>
                      <w:lang w:val="en-US" w:eastAsia="zh-CN"/>
                    </w:rPr>
                    <w:t>并定期维护、保养设备和车辆</w:t>
                  </w:r>
                  <w:r>
                    <w:rPr>
                      <w:rFonts w:hint="default" w:ascii="Times New Roman" w:hAnsi="Times New Roman" w:cs="Times New Roman"/>
                    </w:rPr>
                    <w:t>；使用低噪声设备、基础减振</w:t>
                  </w:r>
                  <w:r>
                    <w:rPr>
                      <w:rFonts w:hint="default" w:ascii="Times New Roman" w:hAnsi="Times New Roman" w:cs="Times New Roman"/>
                      <w:lang w:val="en-US" w:eastAsia="zh-CN"/>
                    </w:rPr>
                    <w:t>以及</w:t>
                  </w:r>
                  <w:r>
                    <w:rPr>
                      <w:rFonts w:hint="default" w:ascii="Times New Roman" w:hAnsi="Times New Roman" w:cs="Times New Roman"/>
                    </w:rPr>
                    <w:t>厂房隔声等措施，降低噪声强度</w:t>
                  </w:r>
                </w:p>
              </w:tc>
            </w:tr>
          </w:tbl>
          <w:p>
            <w:pPr>
              <w:keepNext w:val="0"/>
              <w:keepLines w:val="0"/>
              <w:pageBreakBefore w:val="0"/>
              <w:widowControl w:val="0"/>
              <w:kinsoku/>
              <w:wordWrap/>
              <w:overflowPunct/>
              <w:topLinePunct w:val="0"/>
              <w:bidi w:val="0"/>
              <w:adjustRightInd w:val="0"/>
              <w:snapToGrid w:val="0"/>
              <w:spacing w:line="520" w:lineRule="exact"/>
              <w:rPr>
                <w:rFonts w:hint="default" w:ascii="Times New Roman" w:hAnsi="Times New Roman" w:cs="Times New Roman"/>
                <w:b/>
                <w:sz w:val="24"/>
              </w:rPr>
            </w:pPr>
            <w:r>
              <w:rPr>
                <w:rFonts w:hint="default" w:ascii="Times New Roman" w:hAnsi="Times New Roman" w:cs="Times New Roman"/>
                <w:b/>
                <w:sz w:val="24"/>
              </w:rPr>
              <w:t>4、项目产品方案及规模</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lang w:val="en-US" w:eastAsia="zh-CN"/>
              </w:rPr>
              <w:t>本项目</w:t>
            </w:r>
            <w:r>
              <w:rPr>
                <w:rFonts w:hint="default" w:ascii="Times New Roman" w:hAnsi="Times New Roman" w:cs="Times New Roman"/>
                <w:color w:val="auto"/>
                <w:sz w:val="24"/>
              </w:rPr>
              <w:t>产品生产方案见表</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3。</w:t>
            </w:r>
          </w:p>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3本项目产品方案一览表</w:t>
            </w:r>
          </w:p>
          <w:tbl>
            <w:tblPr>
              <w:tblStyle w:val="24"/>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616"/>
              <w:gridCol w:w="2772"/>
              <w:gridCol w:w="1313"/>
              <w:gridCol w:w="252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生产线</w:t>
                  </w: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color w:val="auto"/>
                      <w:szCs w:val="21"/>
                      <w:lang w:val="en-US" w:eastAsia="zh-CN"/>
                    </w:rPr>
                  </w:pPr>
                  <w:r>
                    <w:rPr>
                      <w:rFonts w:hint="eastAsia" w:cs="Times New Roman"/>
                      <w:color w:val="auto"/>
                      <w:szCs w:val="21"/>
                      <w:lang w:val="en-US" w:eastAsia="zh-CN"/>
                    </w:rPr>
                    <w:t>产品</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生产规模</w:t>
                  </w:r>
                </w:p>
              </w:tc>
              <w:tc>
                <w:tcPr>
                  <w:tcW w:w="13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储运方式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417"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黑体" w:cs="Times New Roman"/>
                      <w:color w:val="auto"/>
                      <w:szCs w:val="21"/>
                      <w:lang w:val="en-US" w:eastAsia="zh-CN"/>
                    </w:rPr>
                  </w:pPr>
                  <w:r>
                    <w:rPr>
                      <w:rFonts w:hint="eastAsia"/>
                      <w:lang w:val="en-US" w:eastAsia="zh-CN"/>
                    </w:rPr>
                    <w:t>游乐设备加工生产线</w:t>
                  </w:r>
                </w:p>
              </w:tc>
              <w:tc>
                <w:tcPr>
                  <w:tcW w:w="1501"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eastAsia="宋体"/>
                      <w:lang w:val="en-US" w:eastAsia="zh-CN"/>
                    </w:rPr>
                  </w:pPr>
                  <w:r>
                    <w:rPr>
                      <w:rFonts w:hint="eastAsia"/>
                      <w:lang w:val="en-US" w:eastAsia="zh-CN"/>
                    </w:rPr>
                    <w:t>游乐设备</w:t>
                  </w:r>
                  <w:r>
                    <w:rPr>
                      <w:rFonts w:hint="eastAsia"/>
                      <w:lang w:eastAsia="zh-CN"/>
                    </w:rPr>
                    <w:t>：</w:t>
                  </w:r>
                  <w:r>
                    <w:rPr>
                      <w:rFonts w:hint="eastAsia"/>
                      <w:lang w:val="en-US" w:eastAsia="zh-CN"/>
                    </w:rPr>
                    <w:t>螺旋式游乐设备主体、游乐滑梯主体以及吊桩主体等</w:t>
                  </w:r>
                </w:p>
              </w:tc>
              <w:tc>
                <w:tcPr>
                  <w:tcW w:w="711"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Cs w:val="21"/>
                      <w:vertAlign w:val="baseline"/>
                      <w:lang w:val="en-US" w:eastAsia="zh-CN"/>
                    </w:rPr>
                  </w:pPr>
                  <w:r>
                    <w:rPr>
                      <w:rFonts w:hint="eastAsia" w:cs="Times New Roman"/>
                      <w:color w:val="auto"/>
                      <w:szCs w:val="21"/>
                      <w:vertAlign w:val="baseline"/>
                      <w:lang w:val="en-US" w:eastAsia="zh-CN"/>
                    </w:rPr>
                    <w:t>800t/a</w:t>
                  </w:r>
                </w:p>
              </w:tc>
              <w:tc>
                <w:tcPr>
                  <w:tcW w:w="1368"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汽车运输</w:t>
                  </w:r>
                </w:p>
              </w:tc>
            </w:tr>
          </w:tbl>
          <w:p>
            <w:pPr>
              <w:keepNext w:val="0"/>
              <w:keepLines w:val="0"/>
              <w:pageBreakBefore w:val="0"/>
              <w:widowControl w:val="0"/>
              <w:kinsoku/>
              <w:wordWrap/>
              <w:overflowPunct/>
              <w:topLinePunct w:val="0"/>
              <w:bidi w:val="0"/>
              <w:adjustRightInd w:val="0"/>
              <w:snapToGrid w:val="0"/>
              <w:spacing w:line="520" w:lineRule="exact"/>
              <w:rPr>
                <w:rFonts w:hint="default" w:ascii="Times New Roman" w:hAnsi="Times New Roman" w:cs="Times New Roman"/>
                <w:b/>
                <w:sz w:val="24"/>
              </w:rPr>
            </w:pPr>
            <w:r>
              <w:rPr>
                <w:rFonts w:hint="default" w:ascii="Times New Roman" w:hAnsi="Times New Roman" w:cs="Times New Roman"/>
                <w:b/>
                <w:sz w:val="24"/>
              </w:rPr>
              <w:t>5、主要原辅材料及能源消耗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本项目原辅材料、水及能源消耗情况见表</w:t>
            </w:r>
            <w:r>
              <w:rPr>
                <w:rFonts w:hint="eastAsia" w:ascii="Times New Roman" w:hAnsi="Times New Roman" w:cs="Times New Roman"/>
                <w:color w:val="auto"/>
                <w:sz w:val="24"/>
                <w:lang w:val="en-US" w:eastAsia="zh-CN"/>
              </w:rPr>
              <w:t>2-</w:t>
            </w:r>
            <w:r>
              <w:rPr>
                <w:rFonts w:hint="eastAsia" w:cs="Times New Roman"/>
                <w:color w:val="auto"/>
                <w:sz w:val="24"/>
                <w:lang w:val="en-US" w:eastAsia="zh-CN"/>
              </w:rPr>
              <w:t>4</w:t>
            </w:r>
            <w:r>
              <w:rPr>
                <w:rFonts w:hint="default" w:ascii="Times New Roman" w:hAnsi="Times New Roman" w:cs="Times New Roman"/>
                <w:color w:val="auto"/>
                <w:sz w:val="24"/>
              </w:rPr>
              <w:t>。</w:t>
            </w:r>
          </w:p>
          <w:p>
            <w:pPr>
              <w:keepNext w:val="0"/>
              <w:keepLines w:val="0"/>
              <w:pageBreakBefore w:val="0"/>
              <w:widowControl w:val="0"/>
              <w:tabs>
                <w:tab w:val="left" w:pos="1785"/>
                <w:tab w:val="center" w:pos="415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2-</w:t>
            </w:r>
            <w:r>
              <w:rPr>
                <w:rFonts w:hint="eastAsia" w:cs="Times New Roman"/>
                <w:b/>
                <w:bCs/>
                <w:color w:val="auto"/>
                <w:sz w:val="24"/>
                <w:lang w:val="en-US" w:eastAsia="zh-CN"/>
              </w:rPr>
              <w:t>4</w:t>
            </w:r>
            <w:r>
              <w:rPr>
                <w:rFonts w:hint="default" w:ascii="Times New Roman" w:hAnsi="Times New Roman" w:eastAsia="宋体" w:cs="Times New Roman"/>
                <w:b/>
                <w:bCs/>
                <w:color w:val="auto"/>
                <w:sz w:val="24"/>
              </w:rPr>
              <w:t>本项目原辅材料、水及能源消耗一览表</w:t>
            </w:r>
          </w:p>
          <w:tbl>
            <w:tblPr>
              <w:tblStyle w:val="24"/>
              <w:tblW w:w="4942"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2597"/>
              <w:gridCol w:w="1635"/>
              <w:gridCol w:w="1321"/>
              <w:gridCol w:w="213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Times New Roman"/>
                      <w:b w:val="0"/>
                      <w:bCs w:val="0"/>
                      <w:szCs w:val="21"/>
                      <w:u w:val="none"/>
                      <w:lang w:val="en-US" w:eastAsia="zh-CN"/>
                    </w:rPr>
                  </w:pPr>
                  <w:r>
                    <w:rPr>
                      <w:rFonts w:hint="eastAsia" w:cs="Times New Roman"/>
                      <w:b w:val="0"/>
                      <w:bCs w:val="0"/>
                      <w:szCs w:val="21"/>
                      <w:u w:val="none"/>
                      <w:lang w:val="en-US" w:eastAsia="zh-CN"/>
                    </w:rPr>
                    <w:t>序号</w:t>
                  </w:r>
                </w:p>
              </w:tc>
              <w:tc>
                <w:tcPr>
                  <w:tcW w:w="142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名称</w:t>
                  </w:r>
                </w:p>
              </w:tc>
              <w:tc>
                <w:tcPr>
                  <w:tcW w:w="89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eastAsia="宋体" w:cs="Times New Roman"/>
                      <w:b w:val="0"/>
                      <w:bCs w:val="0"/>
                      <w:kern w:val="2"/>
                      <w:sz w:val="21"/>
                      <w:szCs w:val="21"/>
                      <w:u w:val="none"/>
                      <w:lang w:val="en-US" w:eastAsia="zh-CN" w:bidi="ar-SA"/>
                    </w:rPr>
                  </w:pPr>
                  <w:r>
                    <w:rPr>
                      <w:rFonts w:ascii="Times New Roman" w:cs="Times New Roman" w:hAnsiTheme="minorEastAsia"/>
                      <w:b w:val="0"/>
                      <w:bCs w:val="0"/>
                      <w:szCs w:val="21"/>
                      <w:u w:val="none"/>
                    </w:rPr>
                    <w:t>数量</w:t>
                  </w:r>
                </w:p>
              </w:tc>
              <w:tc>
                <w:tcPr>
                  <w:tcW w:w="72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eastAsia" w:cs="Times New Roman"/>
                      <w:b w:val="0"/>
                      <w:bCs w:val="0"/>
                      <w:kern w:val="2"/>
                      <w:sz w:val="21"/>
                      <w:szCs w:val="21"/>
                      <w:u w:val="none"/>
                      <w:lang w:val="en-US" w:eastAsia="zh-CN" w:bidi="ar-SA"/>
                    </w:rPr>
                    <w:t>规格</w:t>
                  </w:r>
                </w:p>
              </w:tc>
              <w:tc>
                <w:tcPr>
                  <w:tcW w:w="116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6" w:type="pct"/>
                  <w:tcBorders>
                    <w:tl2br w:val="nil"/>
                    <w:tr2bl w:val="nil"/>
                  </w:tcBorders>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黑体" w:cs="Times New Roman"/>
                      <w:color w:val="auto"/>
                      <w:kern w:val="2"/>
                      <w:sz w:val="21"/>
                      <w:szCs w:val="21"/>
                      <w:lang w:val="en-US" w:eastAsia="zh-CN" w:bidi="ar-SA"/>
                    </w:rPr>
                  </w:pPr>
                  <w:r>
                    <w:rPr>
                      <w:rFonts w:hint="eastAsia" w:eastAsia="黑体" w:cs="Times New Roman"/>
                      <w:color w:val="auto"/>
                      <w:kern w:val="2"/>
                      <w:sz w:val="21"/>
                      <w:szCs w:val="21"/>
                      <w:lang w:val="en-US" w:eastAsia="zh-CN" w:bidi="ar-SA"/>
                    </w:rPr>
                    <w:t>1</w:t>
                  </w:r>
                </w:p>
              </w:tc>
              <w:tc>
                <w:tcPr>
                  <w:tcW w:w="142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szCs w:val="21"/>
                      <w:u w:val="none"/>
                      <w:lang w:val="en-US" w:eastAsia="zh-CN"/>
                    </w:rPr>
                  </w:pPr>
                  <w:r>
                    <w:rPr>
                      <w:rFonts w:hint="eastAsia" w:ascii="Times New Roman" w:hAnsi="Times New Roman" w:eastAsia="宋体" w:cs="Times New Roman"/>
                      <w:b w:val="0"/>
                      <w:bCs w:val="0"/>
                      <w:i w:val="0"/>
                      <w:iCs w:val="0"/>
                      <w:color w:val="auto"/>
                      <w:kern w:val="2"/>
                      <w:sz w:val="21"/>
                      <w:szCs w:val="21"/>
                      <w:highlight w:val="none"/>
                      <w:vertAlign w:val="baseline"/>
                      <w:lang w:val="en-US" w:eastAsia="zh-CN" w:bidi="ar-SA"/>
                    </w:rPr>
                    <w:t>钢材</w:t>
                  </w:r>
                  <w:r>
                    <w:rPr>
                      <w:rFonts w:hint="eastAsia" w:cs="Times New Roman"/>
                      <w:b w:val="0"/>
                      <w:bCs w:val="0"/>
                      <w:i w:val="0"/>
                      <w:iCs w:val="0"/>
                      <w:color w:val="auto"/>
                      <w:kern w:val="2"/>
                      <w:sz w:val="21"/>
                      <w:szCs w:val="21"/>
                      <w:highlight w:val="none"/>
                      <w:vertAlign w:val="baseline"/>
                      <w:lang w:val="en-US" w:eastAsia="zh-CN" w:bidi="ar-SA"/>
                    </w:rPr>
                    <w:t>（钢管和钢板）</w:t>
                  </w:r>
                </w:p>
              </w:tc>
              <w:tc>
                <w:tcPr>
                  <w:tcW w:w="8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val="0"/>
                      <w:bCs w:val="0"/>
                      <w:kern w:val="2"/>
                      <w:sz w:val="21"/>
                      <w:szCs w:val="21"/>
                      <w:u w:val="none"/>
                      <w:lang w:val="en-US" w:eastAsia="zh-CN" w:bidi="ar-SA"/>
                    </w:rPr>
                  </w:pPr>
                  <w:r>
                    <w:rPr>
                      <w:rFonts w:hint="eastAsia" w:cs="Times New Roman"/>
                      <w:b w:val="0"/>
                      <w:bCs w:val="0"/>
                      <w:szCs w:val="21"/>
                      <w:u w:val="none"/>
                      <w:lang w:val="en-US" w:eastAsia="zh-CN"/>
                    </w:rPr>
                    <w:t>800</w:t>
                  </w:r>
                  <w:r>
                    <w:rPr>
                      <w:rFonts w:ascii="Times New Roman" w:hAnsi="Times New Roman" w:cs="Times New Roman"/>
                      <w:b w:val="0"/>
                      <w:bCs w:val="0"/>
                      <w:szCs w:val="21"/>
                      <w:u w:val="none"/>
                    </w:rPr>
                    <w:t>t/a</w:t>
                  </w:r>
                </w:p>
              </w:tc>
              <w:tc>
                <w:tcPr>
                  <w:tcW w:w="72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1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val="0"/>
                      <w:bCs w:val="0"/>
                      <w:szCs w:val="21"/>
                      <w:u w:val="none"/>
                      <w:lang w:val="en-US" w:eastAsia="zh-CN"/>
                    </w:rPr>
                  </w:pPr>
                  <w:r>
                    <w:rPr>
                      <w:rFonts w:hint="eastAsia" w:cs="Times New Roman"/>
                      <w:b w:val="0"/>
                      <w:bCs w:val="0"/>
                      <w:szCs w:val="21"/>
                      <w:u w:val="none"/>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szCs w:val="21"/>
                      <w:u w:val="none"/>
                      <w:lang w:val="en-US" w:eastAsia="zh-CN"/>
                    </w:rPr>
                  </w:pPr>
                  <w:r>
                    <w:rPr>
                      <w:rFonts w:hint="eastAsia" w:cs="Times New Roman"/>
                      <w:b w:val="0"/>
                      <w:bCs w:val="0"/>
                      <w:szCs w:val="21"/>
                      <w:u w:val="none"/>
                      <w:lang w:val="en-US" w:eastAsia="zh-CN"/>
                    </w:rPr>
                    <w:t>2</w:t>
                  </w:r>
                </w:p>
              </w:tc>
              <w:tc>
                <w:tcPr>
                  <w:tcW w:w="142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szCs w:val="21"/>
                      <w:u w:val="none"/>
                      <w:lang w:val="en-US" w:eastAsia="zh-CN"/>
                    </w:rPr>
                  </w:pPr>
                  <w:r>
                    <w:rPr>
                      <w:rFonts w:hint="default" w:ascii="Times New Roman" w:hAnsi="Times New Roman" w:eastAsia="宋体" w:cs="Times New Roman"/>
                      <w:b w:val="0"/>
                      <w:bCs w:val="0"/>
                      <w:i w:val="0"/>
                      <w:iCs w:val="0"/>
                      <w:color w:val="auto"/>
                      <w:kern w:val="2"/>
                      <w:sz w:val="21"/>
                      <w:szCs w:val="21"/>
                      <w:highlight w:val="none"/>
                      <w:vertAlign w:val="baseline"/>
                      <w:lang w:val="en-US" w:eastAsia="zh-CN" w:bidi="ar-SA"/>
                    </w:rPr>
                    <w:t>焊丝</w:t>
                  </w:r>
                </w:p>
              </w:tc>
              <w:tc>
                <w:tcPr>
                  <w:tcW w:w="8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val="0"/>
                      <w:bCs w:val="0"/>
                      <w:kern w:val="0"/>
                      <w:sz w:val="21"/>
                      <w:szCs w:val="21"/>
                      <w:u w:val="none"/>
                      <w:lang w:val="en-US" w:eastAsia="zh-CN" w:bidi="ar-SA"/>
                    </w:rPr>
                  </w:pPr>
                  <w:r>
                    <w:rPr>
                      <w:rFonts w:hint="eastAsia" w:cs="Times New Roman"/>
                      <w:b w:val="0"/>
                      <w:bCs w:val="0"/>
                      <w:szCs w:val="21"/>
                      <w:u w:val="none"/>
                      <w:lang w:val="en-US" w:eastAsia="zh-CN"/>
                    </w:rPr>
                    <w:t>1.5</w:t>
                  </w:r>
                  <w:r>
                    <w:rPr>
                      <w:rFonts w:ascii="Times New Roman" w:hAnsi="Times New Roman" w:cs="Times New Roman"/>
                      <w:b w:val="0"/>
                      <w:bCs w:val="0"/>
                      <w:szCs w:val="21"/>
                      <w:u w:val="none"/>
                    </w:rPr>
                    <w:t>t/a</w:t>
                  </w:r>
                </w:p>
              </w:tc>
              <w:tc>
                <w:tcPr>
                  <w:tcW w:w="72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ER50-6，直径0.8</w:t>
                  </w:r>
                </w:p>
              </w:tc>
              <w:tc>
                <w:tcPr>
                  <w:tcW w:w="116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Times New Roman"/>
                      <w:b w:val="0"/>
                      <w:bCs w:val="0"/>
                      <w:szCs w:val="21"/>
                      <w:u w:val="none"/>
                      <w:lang w:eastAsia="zh-CN"/>
                    </w:rPr>
                  </w:pPr>
                  <w:r>
                    <w:rPr>
                      <w:rFonts w:hint="eastAsia" w:cs="Times New Roman"/>
                      <w:b w:val="0"/>
                      <w:bCs w:val="0"/>
                      <w:szCs w:val="21"/>
                      <w:u w:val="none"/>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78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cs="Times New Roman"/>
                      <w:b w:val="0"/>
                      <w:bCs w:val="0"/>
                      <w:szCs w:val="21"/>
                      <w:u w:val="none"/>
                      <w:lang w:val="en-US" w:eastAsia="zh-CN"/>
                    </w:rPr>
                  </w:pPr>
                  <w:r>
                    <w:rPr>
                      <w:rFonts w:hint="eastAsia" w:cs="Times New Roman"/>
                      <w:b w:val="0"/>
                      <w:bCs w:val="0"/>
                      <w:szCs w:val="21"/>
                      <w:u w:val="none"/>
                      <w:lang w:val="en-US" w:eastAsia="zh-CN"/>
                    </w:rPr>
                    <w:t>3</w:t>
                  </w:r>
                </w:p>
              </w:tc>
              <w:tc>
                <w:tcPr>
                  <w:tcW w:w="142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i w:val="0"/>
                      <w:iCs w:val="0"/>
                      <w:color w:val="auto"/>
                      <w:kern w:val="2"/>
                      <w:sz w:val="21"/>
                      <w:szCs w:val="21"/>
                      <w:highlight w:val="none"/>
                      <w:vertAlign w:val="baseline"/>
                      <w:lang w:val="en-US" w:eastAsia="zh-CN" w:bidi="ar-SA"/>
                    </w:rPr>
                  </w:pPr>
                  <w:r>
                    <w:rPr>
                      <w:rFonts w:hint="eastAsia" w:cs="Times New Roman"/>
                      <w:b w:val="0"/>
                      <w:bCs w:val="0"/>
                      <w:i w:val="0"/>
                      <w:iCs w:val="0"/>
                      <w:color w:val="auto"/>
                      <w:kern w:val="2"/>
                      <w:sz w:val="21"/>
                      <w:szCs w:val="21"/>
                      <w:highlight w:val="none"/>
                      <w:vertAlign w:val="baseline"/>
                      <w:lang w:val="en-US" w:eastAsia="zh-CN" w:bidi="ar-SA"/>
                    </w:rPr>
                    <w:t>塑粉</w:t>
                  </w:r>
                </w:p>
              </w:tc>
              <w:tc>
                <w:tcPr>
                  <w:tcW w:w="8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cs="Times New Roman"/>
                      <w:b w:val="0"/>
                      <w:bCs w:val="0"/>
                      <w:kern w:val="0"/>
                      <w:szCs w:val="21"/>
                      <w:u w:val="none"/>
                      <w:lang w:val="en-US" w:eastAsia="zh-CN"/>
                    </w:rPr>
                  </w:pPr>
                  <w:r>
                    <w:rPr>
                      <w:rFonts w:hint="eastAsia" w:cs="Times New Roman"/>
                      <w:b w:val="0"/>
                      <w:bCs w:val="0"/>
                      <w:kern w:val="0"/>
                      <w:szCs w:val="21"/>
                      <w:u w:val="none"/>
                      <w:lang w:val="en-US" w:eastAsia="zh-CN"/>
                    </w:rPr>
                    <w:t>11/a</w:t>
                  </w:r>
                </w:p>
              </w:tc>
              <w:tc>
                <w:tcPr>
                  <w:tcW w:w="72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20kg/箱</w:t>
                  </w:r>
                </w:p>
              </w:tc>
              <w:tc>
                <w:tcPr>
                  <w:tcW w:w="116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Times New Roman"/>
                      <w:b w:val="0"/>
                      <w:bCs w:val="0"/>
                      <w:szCs w:val="21"/>
                      <w:u w:val="none"/>
                      <w:lang w:eastAsia="zh-CN"/>
                    </w:rPr>
                  </w:pPr>
                  <w:r>
                    <w:rPr>
                      <w:rFonts w:hint="eastAsia" w:cs="Times New Roman"/>
                      <w:b w:val="0"/>
                      <w:bCs w:val="0"/>
                      <w:szCs w:val="21"/>
                      <w:u w:val="none"/>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78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cs="Times New Roman"/>
                      <w:b w:val="0"/>
                      <w:bCs w:val="0"/>
                      <w:szCs w:val="21"/>
                      <w:u w:val="none"/>
                      <w:lang w:val="en-US" w:eastAsia="zh-CN"/>
                    </w:rPr>
                  </w:pPr>
                  <w:r>
                    <w:rPr>
                      <w:rFonts w:hint="eastAsia" w:cs="Times New Roman"/>
                      <w:b w:val="0"/>
                      <w:bCs w:val="0"/>
                      <w:szCs w:val="21"/>
                      <w:u w:val="none"/>
                      <w:lang w:val="en-US" w:eastAsia="zh-CN"/>
                    </w:rPr>
                    <w:t>4</w:t>
                  </w:r>
                </w:p>
              </w:tc>
              <w:tc>
                <w:tcPr>
                  <w:tcW w:w="142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cs="Times New Roman"/>
                      <w:b w:val="0"/>
                      <w:bCs w:val="0"/>
                      <w:i w:val="0"/>
                      <w:iCs w:val="0"/>
                      <w:color w:val="auto"/>
                      <w:kern w:val="2"/>
                      <w:sz w:val="21"/>
                      <w:szCs w:val="21"/>
                      <w:highlight w:val="none"/>
                      <w:vertAlign w:val="baseline"/>
                      <w:lang w:val="en-US" w:eastAsia="zh-CN" w:bidi="ar-SA"/>
                    </w:rPr>
                  </w:pPr>
                  <w:r>
                    <w:rPr>
                      <w:rFonts w:hint="eastAsia" w:cs="Times New Roman"/>
                      <w:b w:val="0"/>
                      <w:bCs w:val="0"/>
                      <w:i w:val="0"/>
                      <w:iCs w:val="0"/>
                      <w:color w:val="auto"/>
                      <w:kern w:val="2"/>
                      <w:sz w:val="21"/>
                      <w:szCs w:val="21"/>
                      <w:highlight w:val="none"/>
                      <w:vertAlign w:val="baseline"/>
                      <w:lang w:val="en-US" w:eastAsia="zh-CN" w:bidi="ar-SA"/>
                    </w:rPr>
                    <w:t>天然气</w:t>
                  </w:r>
                </w:p>
              </w:tc>
              <w:tc>
                <w:tcPr>
                  <w:tcW w:w="8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cs="Times New Roman"/>
                      <w:b w:val="0"/>
                      <w:bCs w:val="0"/>
                      <w:kern w:val="0"/>
                      <w:szCs w:val="21"/>
                      <w:u w:val="none"/>
                      <w:lang w:val="en-US" w:eastAsia="zh-CN"/>
                    </w:rPr>
                  </w:pPr>
                  <w:r>
                    <w:rPr>
                      <w:rFonts w:hint="eastAsia" w:cs="Times New Roman"/>
                      <w:b w:val="0"/>
                      <w:bCs w:val="0"/>
                      <w:kern w:val="0"/>
                      <w:szCs w:val="21"/>
                      <w:u w:val="none"/>
                      <w:lang w:val="en-US" w:eastAsia="zh-CN"/>
                    </w:rPr>
                    <w:t>6.59t/a</w:t>
                  </w:r>
                </w:p>
              </w:tc>
              <w:tc>
                <w:tcPr>
                  <w:tcW w:w="72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eastAsia" w:cs="Times New Roman"/>
                      <w:b w:val="0"/>
                      <w:bCs w:val="0"/>
                      <w:kern w:val="2"/>
                      <w:sz w:val="21"/>
                      <w:szCs w:val="21"/>
                      <w:u w:val="none"/>
                      <w:lang w:val="en-US" w:eastAsia="zh-CN" w:bidi="ar-SA"/>
                    </w:rPr>
                    <w:t>/</w:t>
                  </w:r>
                </w:p>
              </w:tc>
              <w:tc>
                <w:tcPr>
                  <w:tcW w:w="116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szCs w:val="21"/>
                      <w:u w:val="none"/>
                      <w:lang w:val="en-US" w:eastAsia="zh-CN"/>
                    </w:rPr>
                  </w:pPr>
                  <w:r>
                    <w:rPr>
                      <w:rFonts w:hint="eastAsia" w:cs="Times New Roman"/>
                      <w:b w:val="0"/>
                      <w:bCs w:val="0"/>
                      <w:szCs w:val="21"/>
                      <w:u w:val="none"/>
                      <w:lang w:val="en-US" w:eastAsia="zh-CN"/>
                    </w:rPr>
                    <w:t>外购，罐装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000" w:type="pct"/>
                  <w:gridSpan w:val="5"/>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能源消耗</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78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hAnsi="Times New Roman" w:cs="Times New Roman"/>
                      <w:b w:val="0"/>
                      <w:bCs w:val="0"/>
                      <w:szCs w:val="21"/>
                      <w:u w:val="none"/>
                    </w:rPr>
                    <w:t>1</w:t>
                  </w:r>
                </w:p>
              </w:tc>
              <w:tc>
                <w:tcPr>
                  <w:tcW w:w="142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电</w:t>
                  </w:r>
                </w:p>
              </w:tc>
              <w:tc>
                <w:tcPr>
                  <w:tcW w:w="89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万</w:t>
                  </w:r>
                  <w:r>
                    <w:rPr>
                      <w:rFonts w:hint="eastAsia" w:cs="Times New Roman" w:hAnsiTheme="minorEastAsia"/>
                      <w:b w:val="0"/>
                      <w:bCs w:val="0"/>
                      <w:szCs w:val="21"/>
                      <w:u w:val="none"/>
                      <w:lang w:eastAsia="zh-CN"/>
                    </w:rPr>
                    <w:t>kW</w:t>
                  </w:r>
                  <w:r>
                    <w:rPr>
                      <w:rFonts w:hint="eastAsia" w:ascii="微软雅黑" w:hAnsi="微软雅黑" w:eastAsia="微软雅黑" w:cs="微软雅黑"/>
                      <w:b w:val="0"/>
                      <w:bCs w:val="0"/>
                      <w:szCs w:val="21"/>
                      <w:u w:val="none"/>
                    </w:rPr>
                    <w:t>·</w:t>
                  </w:r>
                  <w:r>
                    <w:rPr>
                      <w:rFonts w:ascii="Times New Roman" w:hAnsi="Times New Roman" w:cs="Times New Roman"/>
                      <w:b w:val="0"/>
                      <w:bCs w:val="0"/>
                      <w:szCs w:val="21"/>
                      <w:u w:val="none"/>
                    </w:rPr>
                    <w:t>h/a</w:t>
                  </w:r>
                </w:p>
              </w:tc>
              <w:tc>
                <w:tcPr>
                  <w:tcW w:w="72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szCs w:val="21"/>
                      <w:u w:val="none"/>
                      <w:lang w:val="en-US" w:eastAsia="zh-CN"/>
                    </w:rPr>
                  </w:pPr>
                  <w:r>
                    <w:rPr>
                      <w:rFonts w:hint="eastAsia" w:cs="Times New Roman"/>
                      <w:b w:val="0"/>
                      <w:bCs w:val="0"/>
                      <w:szCs w:val="21"/>
                      <w:u w:val="none"/>
                      <w:lang w:val="en-US" w:eastAsia="zh-CN"/>
                    </w:rPr>
                    <w:t>6.0</w:t>
                  </w:r>
                </w:p>
              </w:tc>
              <w:tc>
                <w:tcPr>
                  <w:tcW w:w="116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ascii="Times New Roman" w:hAnsi="Times New Roman" w:cs="Times New Roman"/>
                      <w:b w:val="0"/>
                      <w:bCs w:val="0"/>
                      <w:kern w:val="0"/>
                      <w:szCs w:val="21"/>
                      <w:u w:val="none"/>
                    </w:rPr>
                  </w:pPr>
                  <w:r>
                    <w:rPr>
                      <w:rFonts w:hint="eastAsia" w:cs="Times New Roman" w:hAnsiTheme="minorEastAsia"/>
                      <w:b w:val="0"/>
                      <w:bCs w:val="0"/>
                      <w:kern w:val="0"/>
                      <w:szCs w:val="21"/>
                      <w:u w:val="none"/>
                      <w:lang w:val="en-US" w:eastAsia="zh-CN"/>
                    </w:rPr>
                    <w:t>由当地国家电网</w:t>
                  </w:r>
                  <w:r>
                    <w:rPr>
                      <w:rFonts w:ascii="Times New Roman" w:cs="Times New Roman" w:hAnsiTheme="minorEastAsia"/>
                      <w:b w:val="0"/>
                      <w:bCs w:val="0"/>
                      <w:kern w:val="0"/>
                      <w:szCs w:val="21"/>
                      <w:u w:val="none"/>
                    </w:rPr>
                    <w:t>供电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78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color w:val="auto"/>
                      <w:szCs w:val="21"/>
                      <w:u w:val="none"/>
                    </w:rPr>
                  </w:pPr>
                  <w:r>
                    <w:rPr>
                      <w:rFonts w:ascii="Times New Roman" w:hAnsi="Times New Roman" w:cs="Times New Roman"/>
                      <w:b w:val="0"/>
                      <w:bCs w:val="0"/>
                      <w:color w:val="auto"/>
                      <w:szCs w:val="21"/>
                      <w:u w:val="none"/>
                    </w:rPr>
                    <w:t>2</w:t>
                  </w:r>
                </w:p>
              </w:tc>
              <w:tc>
                <w:tcPr>
                  <w:tcW w:w="142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color w:val="auto"/>
                      <w:szCs w:val="21"/>
                      <w:u w:val="none"/>
                    </w:rPr>
                  </w:pPr>
                  <w:r>
                    <w:rPr>
                      <w:rFonts w:ascii="Times New Roman" w:cs="Times New Roman" w:hAnsiTheme="minorEastAsia"/>
                      <w:b w:val="0"/>
                      <w:bCs w:val="0"/>
                      <w:color w:val="auto"/>
                      <w:szCs w:val="21"/>
                      <w:u w:val="none"/>
                    </w:rPr>
                    <w:t>水</w:t>
                  </w:r>
                </w:p>
              </w:tc>
              <w:tc>
                <w:tcPr>
                  <w:tcW w:w="89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color w:val="auto"/>
                      <w:szCs w:val="21"/>
                      <w:u w:val="none"/>
                    </w:rPr>
                  </w:pPr>
                  <w:r>
                    <w:rPr>
                      <w:rFonts w:ascii="Times New Roman" w:hAnsi="Times New Roman" w:cs="Times New Roman"/>
                      <w:b w:val="0"/>
                      <w:bCs w:val="0"/>
                      <w:color w:val="auto"/>
                      <w:szCs w:val="21"/>
                      <w:u w:val="none"/>
                    </w:rPr>
                    <w:t>t/a</w:t>
                  </w:r>
                </w:p>
              </w:tc>
              <w:tc>
                <w:tcPr>
                  <w:tcW w:w="72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color w:val="auto"/>
                      <w:szCs w:val="21"/>
                      <w:u w:val="none"/>
                      <w:lang w:val="en-US" w:eastAsia="zh-CN"/>
                    </w:rPr>
                  </w:pPr>
                  <w:r>
                    <w:rPr>
                      <w:rFonts w:hint="eastAsia" w:cs="Times New Roman"/>
                      <w:b w:val="0"/>
                      <w:bCs w:val="0"/>
                      <w:color w:val="auto"/>
                      <w:szCs w:val="21"/>
                      <w:u w:val="none"/>
                      <w:lang w:val="en-US" w:eastAsia="zh-CN"/>
                    </w:rPr>
                    <w:t>360</w:t>
                  </w:r>
                </w:p>
              </w:tc>
              <w:tc>
                <w:tcPr>
                  <w:tcW w:w="116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color w:val="auto"/>
                      <w:kern w:val="0"/>
                      <w:szCs w:val="21"/>
                      <w:u w:val="none"/>
                      <w:lang w:val="en-US" w:eastAsia="zh-CN"/>
                    </w:rPr>
                  </w:pPr>
                  <w:r>
                    <w:rPr>
                      <w:rFonts w:hint="eastAsia" w:cs="Times New Roman"/>
                      <w:b w:val="0"/>
                      <w:bCs w:val="0"/>
                      <w:color w:val="auto"/>
                      <w:kern w:val="0"/>
                      <w:szCs w:val="21"/>
                      <w:u w:val="none"/>
                      <w:lang w:val="en-US" w:eastAsia="zh-CN"/>
                    </w:rPr>
                    <w:t>集聚区供水管网供给</w:t>
                  </w:r>
                </w:p>
              </w:tc>
            </w:tr>
          </w:tbl>
          <w:p>
            <w:pPr>
              <w:keepNext w:val="0"/>
              <w:keepLines w:val="0"/>
              <w:pageBreakBefore w:val="0"/>
              <w:widowControl w:val="0"/>
              <w:tabs>
                <w:tab w:val="left" w:pos="1785"/>
                <w:tab w:val="center" w:pos="415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2-5</w:t>
            </w:r>
            <w:r>
              <w:rPr>
                <w:rFonts w:hint="default" w:ascii="Times New Roman" w:hAnsi="Times New Roman" w:eastAsia="宋体" w:cs="Times New Roman"/>
                <w:b/>
                <w:bCs/>
                <w:color w:val="auto"/>
                <w:sz w:val="24"/>
                <w:lang w:val="en-US" w:eastAsia="zh-CN"/>
              </w:rPr>
              <w:t>项目塑粉</w:t>
            </w:r>
            <w:r>
              <w:rPr>
                <w:rFonts w:hint="eastAsia" w:ascii="Times New Roman" w:hAnsi="Times New Roman" w:eastAsia="宋体" w:cs="Times New Roman"/>
                <w:b/>
                <w:bCs/>
                <w:color w:val="auto"/>
                <w:sz w:val="24"/>
                <w:lang w:val="en-US" w:eastAsia="zh-CN"/>
              </w:rPr>
              <w:t>用</w:t>
            </w:r>
            <w:r>
              <w:rPr>
                <w:rFonts w:hint="default" w:ascii="Times New Roman" w:hAnsi="Times New Roman" w:eastAsia="宋体" w:cs="Times New Roman"/>
                <w:b/>
                <w:bCs/>
                <w:color w:val="auto"/>
                <w:sz w:val="24"/>
                <w:lang w:val="en-US" w:eastAsia="zh-CN"/>
              </w:rPr>
              <w:t>量核算一览表</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593"/>
              <w:gridCol w:w="5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9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30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装配式集成房屋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19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喷</w:t>
                  </w:r>
                  <w:r>
                    <w:rPr>
                      <w:rFonts w:hint="eastAsia" w:ascii="Times New Roman" w:hAnsi="Times New Roman" w:eastAsia="宋体" w:cs="Times New Roman"/>
                      <w:color w:val="auto"/>
                      <w:sz w:val="21"/>
                      <w:szCs w:val="21"/>
                      <w:highlight w:val="none"/>
                      <w:lang w:val="en-US" w:eastAsia="zh-CN"/>
                    </w:rPr>
                    <w:t>塑</w:t>
                  </w:r>
                  <w:r>
                    <w:rPr>
                      <w:rFonts w:hint="default" w:ascii="Times New Roman" w:hAnsi="Times New Roman" w:eastAsia="宋体" w:cs="Times New Roman"/>
                      <w:color w:val="auto"/>
                      <w:sz w:val="21"/>
                      <w:szCs w:val="21"/>
                      <w:highlight w:val="none"/>
                    </w:rPr>
                    <w:t>面积</w:t>
                  </w:r>
                </w:p>
              </w:tc>
              <w:tc>
                <w:tcPr>
                  <w:tcW w:w="30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yellow"/>
                    </w:rPr>
                  </w:pPr>
                  <w:r>
                    <w:rPr>
                      <w:rFonts w:hint="eastAsia" w:ascii="Times New Roman" w:hAnsi="Times New Roman" w:cs="Times New Roman"/>
                      <w:color w:val="auto"/>
                      <w:sz w:val="21"/>
                      <w:szCs w:val="21"/>
                      <w:highlight w:val="none"/>
                      <w:lang w:val="en-US" w:eastAsia="zh-CN"/>
                    </w:rPr>
                    <w:t>34368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19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yellow"/>
                    </w:rPr>
                  </w:pPr>
                  <w:r>
                    <w:rPr>
                      <w:rFonts w:hint="eastAsia" w:ascii="Times New Roman" w:hAnsi="Times New Roman" w:eastAsia="宋体" w:cs="Times New Roman"/>
                      <w:color w:val="auto"/>
                      <w:sz w:val="21"/>
                      <w:szCs w:val="21"/>
                      <w:lang w:val="en-US" w:eastAsia="zh-CN"/>
                    </w:rPr>
                    <w:t>喷塑</w:t>
                  </w:r>
                  <w:r>
                    <w:rPr>
                      <w:rFonts w:hint="default" w:ascii="Times New Roman" w:hAnsi="Times New Roman" w:eastAsia="宋体" w:cs="Times New Roman"/>
                      <w:color w:val="auto"/>
                      <w:sz w:val="21"/>
                      <w:szCs w:val="21"/>
                    </w:rPr>
                    <w:t>厚度</w:t>
                  </w:r>
                </w:p>
              </w:tc>
              <w:tc>
                <w:tcPr>
                  <w:tcW w:w="30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yellow"/>
                    </w:rPr>
                  </w:pPr>
                  <w:r>
                    <w:rPr>
                      <w:rFonts w:hint="eastAsia" w:ascii="Times New Roman" w:hAnsi="Times New Roman" w:eastAsia="宋体" w:cs="Times New Roman"/>
                      <w:color w:val="auto"/>
                      <w:sz w:val="21"/>
                      <w:szCs w:val="21"/>
                      <w:highlight w:val="none"/>
                      <w:lang w:val="en-US" w:eastAsia="zh-CN"/>
                    </w:rPr>
                    <w:t>150</w:t>
                  </w:r>
                  <w:r>
                    <w:rPr>
                      <w:rFonts w:hint="default" w:ascii="Times New Roman" w:hAnsi="Times New Roman" w:eastAsia="宋体" w:cs="Times New Roman"/>
                      <w:color w:val="auto"/>
                      <w:sz w:val="21"/>
                      <w:szCs w:val="21"/>
                      <w:highlight w:val="none"/>
                    </w:rPr>
                    <w:t>μm（0.</w:t>
                  </w:r>
                  <w:r>
                    <w:rPr>
                      <w:rFonts w:hint="eastAsia" w:ascii="Times New Roman" w:hAnsi="Times New Roman" w:eastAsia="宋体" w:cs="Times New Roman"/>
                      <w:color w:val="auto"/>
                      <w:sz w:val="21"/>
                      <w:szCs w:val="21"/>
                      <w:highlight w:val="none"/>
                      <w:lang w:val="en-US" w:eastAsia="zh-CN"/>
                    </w:rPr>
                    <w:t>15m</w:t>
                  </w:r>
                  <w:r>
                    <w:rPr>
                      <w:rFonts w:hint="default" w:ascii="Times New Roman" w:hAnsi="Times New Roman" w:eastAsia="宋体" w:cs="Times New Roman"/>
                      <w:color w:val="auto"/>
                      <w:sz w:val="21"/>
                      <w:szCs w:val="21"/>
                      <w:highlight w:val="none"/>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19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塑粉</w:t>
                  </w:r>
                  <w:r>
                    <w:rPr>
                      <w:rFonts w:hint="default" w:ascii="Times New Roman" w:hAnsi="Times New Roman" w:eastAsia="宋体" w:cs="Times New Roman"/>
                      <w:color w:val="auto"/>
                      <w:sz w:val="21"/>
                      <w:szCs w:val="21"/>
                    </w:rPr>
                    <w:t>密度</w:t>
                  </w:r>
                </w:p>
              </w:tc>
              <w:tc>
                <w:tcPr>
                  <w:tcW w:w="30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5t</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9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挂粉量</w:t>
                  </w:r>
                </w:p>
              </w:tc>
              <w:tc>
                <w:tcPr>
                  <w:tcW w:w="30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9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喷塑塑粉附着率</w:t>
                  </w:r>
                </w:p>
              </w:tc>
              <w:tc>
                <w:tcPr>
                  <w:tcW w:w="30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yellow"/>
                    </w:rPr>
                  </w:pPr>
                  <w:r>
                    <w:rPr>
                      <w:rFonts w:hint="eastAsia" w:cs="Times New Roman"/>
                      <w:color w:val="auto"/>
                      <w:sz w:val="21"/>
                      <w:szCs w:val="21"/>
                      <w:highlight w:val="none"/>
                      <w:lang w:val="en-US" w:eastAsia="zh-CN"/>
                    </w:rPr>
                    <w:t>72.7</w:t>
                  </w:r>
                  <w:r>
                    <w:rPr>
                      <w:rFonts w:hint="default" w:ascii="Times New Roman" w:hAnsi="Times New Roman" w:eastAsia="宋体" w:cs="Times New Roman"/>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9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塑粉总用量</w:t>
                  </w:r>
                </w:p>
              </w:tc>
              <w:tc>
                <w:tcPr>
                  <w:tcW w:w="30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rPr>
                    <w:t>t/a</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color w:val="auto"/>
                <w:sz w:val="24"/>
                <w:szCs w:val="24"/>
                <w:lang w:val="en-US" w:eastAsia="zh-CN"/>
              </w:rPr>
              <w:t>塑粉：</w:t>
            </w:r>
            <w:r>
              <w:rPr>
                <w:rFonts w:hint="eastAsia" w:ascii="Times New Roman" w:hAnsi="Times New Roman" w:eastAsia="宋体" w:cs="Times New Roman"/>
                <w:b w:val="0"/>
                <w:bCs/>
                <w:color w:val="auto"/>
                <w:sz w:val="24"/>
                <w:szCs w:val="24"/>
                <w:lang w:val="en-US" w:eastAsia="zh-CN"/>
              </w:rPr>
              <w:t>又称高固份环氧树脂粉末，其主要成分为环氧树脂、固化剂、颜料和添加剂。英文名称Resin，泛指分子中含有两个或两个以上环氧基团的有机高分子化合物，其分子量、环氧基含量和软化点范围对粉末涂料的若干性能起着主要影响，当树脂的环氧基含量在1000</w:t>
            </w:r>
            <w:r>
              <w:rPr>
                <w:rFonts w:hint="eastAsia"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1400mmol/kg时，膜的流动性和机械性能得以改善。固化剂对粉末涂料的性能有决定作用，添加剂亦为流平剂，用量一般为树脂量的</w:t>
            </w:r>
            <w:r>
              <w:rPr>
                <w:rFonts w:hint="eastAsia" w:cs="Times New Roman"/>
                <w:b w:val="0"/>
                <w:bCs/>
                <w:color w:val="auto"/>
                <w:sz w:val="24"/>
                <w:szCs w:val="24"/>
                <w:lang w:val="en-US" w:eastAsia="zh-CN"/>
              </w:rPr>
              <w:t>1%~10%</w:t>
            </w:r>
            <w:r>
              <w:rPr>
                <w:rFonts w:hint="eastAsia"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高固性环氧树脂涂料的主要性能：固化加成作用中没有挥发物放出；不必使用底漆，有优良粘接性；可能有大范围的膜厚度；表面光泽范围可以从高光泽到无光泽进行调节；高硬度的同时具有柔性好和耐冲击性；非常好地耐多种化学物品；耐热性好。塑粉常温下保存无毒无害。</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sz w:val="24"/>
                <w:lang w:val="en-US" w:eastAsia="zh-CN"/>
              </w:rPr>
            </w:pPr>
            <w:r>
              <w:rPr>
                <w:rFonts w:hint="eastAsia" w:cs="Times New Roman"/>
                <w:b/>
                <w:sz w:val="24"/>
                <w:lang w:val="en-US" w:eastAsia="zh-CN"/>
              </w:rPr>
              <w:t>天然气</w:t>
            </w:r>
            <w:r>
              <w:rPr>
                <w:rFonts w:hint="default" w:ascii="Times New Roman" w:hAnsi="Times New Roman" w:cs="Times New Roman"/>
                <w:b/>
                <w:sz w:val="24"/>
                <w:lang w:val="en-US" w:eastAsia="zh-CN"/>
              </w:rPr>
              <w:t>消耗量：</w:t>
            </w:r>
          </w:p>
          <w:p>
            <w:pPr>
              <w:keepNext w:val="0"/>
              <w:keepLines w:val="0"/>
              <w:pageBreakBefore w:val="0"/>
              <w:widowControl w:val="0"/>
              <w:kinsoku/>
              <w:wordWrap w:val="0"/>
              <w:overflowPunct w:val="0"/>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根据《综合能耗计算通则》（GB/T2589-2020），本项目所用燃料为</w:t>
            </w:r>
            <w:r>
              <w:rPr>
                <w:rFonts w:hint="eastAsia" w:cs="Times New Roman"/>
                <w:color w:val="auto"/>
                <w:sz w:val="24"/>
                <w:lang w:val="en-US" w:eastAsia="zh-CN"/>
              </w:rPr>
              <w:t>天然气</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平均低位发热值为12</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00kcal/kg，项目使用</w:t>
            </w:r>
            <w:r>
              <w:rPr>
                <w:rFonts w:hint="eastAsia" w:cs="Times New Roman"/>
                <w:color w:val="auto"/>
                <w:sz w:val="24"/>
                <w:lang w:val="en-US" w:eastAsia="zh-CN"/>
              </w:rPr>
              <w:t>天然气</w:t>
            </w:r>
            <w:r>
              <w:rPr>
                <w:rFonts w:hint="default" w:ascii="Times New Roman" w:hAnsi="Times New Roman" w:cs="Times New Roman"/>
                <w:color w:val="auto"/>
                <w:sz w:val="24"/>
                <w:lang w:val="en-US" w:eastAsia="zh-CN"/>
              </w:rPr>
              <w:t>燃烧机的热功率</w:t>
            </w:r>
            <w:r>
              <w:rPr>
                <w:rFonts w:hint="eastAsia" w:ascii="Times New Roman" w:hAnsi="Times New Roman" w:cs="Times New Roman"/>
                <w:color w:val="auto"/>
                <w:sz w:val="24"/>
                <w:lang w:val="en-US" w:eastAsia="zh-CN"/>
              </w:rPr>
              <w:t>约为54</w:t>
            </w:r>
            <w:r>
              <w:rPr>
                <w:rFonts w:hint="default" w:ascii="Times New Roman" w:hAnsi="Times New Roman" w:cs="Times New Roman"/>
                <w:color w:val="auto"/>
                <w:sz w:val="24"/>
                <w:lang w:val="en-US" w:eastAsia="zh-CN"/>
              </w:rPr>
              <w:t>万大卡</w:t>
            </w:r>
            <w:r>
              <w:rPr>
                <w:rFonts w:hint="eastAsia" w:ascii="Times New Roman" w:hAnsi="Times New Roman" w:cs="Times New Roman"/>
                <w:color w:val="auto"/>
                <w:sz w:val="24"/>
                <w:lang w:val="en-US" w:eastAsia="zh-CN"/>
              </w:rPr>
              <w:t>/h</w:t>
            </w:r>
            <w:r>
              <w:rPr>
                <w:rFonts w:hint="default" w:ascii="Times New Roman" w:hAnsi="Times New Roman" w:cs="Times New Roman"/>
                <w:color w:val="auto"/>
                <w:sz w:val="24"/>
                <w:lang w:val="en-US" w:eastAsia="zh-CN"/>
              </w:rPr>
              <w:t>。年工作时间为</w:t>
            </w:r>
            <w:r>
              <w:rPr>
                <w:rFonts w:hint="eastAsia" w:cs="Times New Roman"/>
                <w:color w:val="auto"/>
                <w:sz w:val="24"/>
                <w:lang w:val="en-US" w:eastAsia="zh-CN"/>
              </w:rPr>
              <w:t>150</w:t>
            </w:r>
            <w:r>
              <w:rPr>
                <w:rFonts w:hint="default" w:ascii="Times New Roman" w:hAnsi="Times New Roman" w:cs="Times New Roman"/>
                <w:color w:val="auto"/>
                <w:sz w:val="24"/>
                <w:lang w:val="en-US" w:eastAsia="zh-CN"/>
              </w:rPr>
              <w:t>小时。则正常工况下，则本项目</w:t>
            </w:r>
            <w:r>
              <w:rPr>
                <w:rFonts w:hint="eastAsia" w:cs="Times New Roman"/>
                <w:color w:val="auto"/>
                <w:sz w:val="24"/>
                <w:lang w:val="en-US" w:eastAsia="zh-CN"/>
              </w:rPr>
              <w:t>天然气</w:t>
            </w:r>
            <w:r>
              <w:rPr>
                <w:rFonts w:hint="default" w:ascii="Times New Roman" w:hAnsi="Times New Roman" w:cs="Times New Roman"/>
                <w:color w:val="auto"/>
                <w:sz w:val="24"/>
                <w:lang w:val="en-US" w:eastAsia="zh-CN"/>
              </w:rPr>
              <w:t>的使用量为540000kcal/h×150h/a/12</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00kcal/kg=</w:t>
            </w:r>
            <w:r>
              <w:rPr>
                <w:rFonts w:hint="eastAsia" w:ascii="Times New Roman" w:hAnsi="Times New Roman" w:cs="Times New Roman"/>
                <w:color w:val="auto"/>
                <w:sz w:val="24"/>
                <w:lang w:val="en-US" w:eastAsia="zh-CN"/>
              </w:rPr>
              <w:t>6750</w:t>
            </w:r>
            <w:r>
              <w:rPr>
                <w:rFonts w:hint="default" w:ascii="Times New Roman" w:hAnsi="Times New Roman" w:cs="Times New Roman"/>
                <w:color w:val="auto"/>
                <w:sz w:val="24"/>
                <w:lang w:val="en-US" w:eastAsia="zh-CN"/>
              </w:rPr>
              <w:t>kg/a=</w:t>
            </w:r>
            <w:r>
              <w:rPr>
                <w:rFonts w:hint="eastAsia" w:ascii="Times New Roman" w:hAnsi="Times New Roman" w:cs="Times New Roman"/>
                <w:color w:val="auto"/>
                <w:sz w:val="24"/>
                <w:lang w:val="en-US" w:eastAsia="zh-CN"/>
              </w:rPr>
              <w:t>6.</w:t>
            </w:r>
            <w:r>
              <w:rPr>
                <w:rFonts w:hint="eastAsia" w:cs="Times New Roman"/>
                <w:color w:val="auto"/>
                <w:sz w:val="24"/>
                <w:lang w:val="en-US" w:eastAsia="zh-CN"/>
              </w:rPr>
              <w:t>59</w:t>
            </w:r>
            <w:r>
              <w:rPr>
                <w:rFonts w:hint="default" w:ascii="Times New Roman" w:hAnsi="Times New Roman" w:cs="Times New Roman"/>
                <w:color w:val="auto"/>
                <w:sz w:val="24"/>
                <w:lang w:val="en-US" w:eastAsia="zh-CN"/>
              </w:rPr>
              <w:t>t/a。</w:t>
            </w:r>
          </w:p>
          <w:p>
            <w:pPr>
              <w:keepNext w:val="0"/>
              <w:keepLines w:val="0"/>
              <w:pageBreakBefore w:val="0"/>
              <w:widowControl w:val="0"/>
              <w:kinsoku/>
              <w:wordWrap/>
              <w:overflowPunct/>
              <w:topLinePunct w:val="0"/>
              <w:bidi w:val="0"/>
              <w:adjustRightInd w:val="0"/>
              <w:snapToGrid w:val="0"/>
              <w:spacing w:line="360" w:lineRule="auto"/>
              <w:rPr>
                <w:rFonts w:hint="default" w:ascii="Times New Roman" w:hAnsi="Times New Roman" w:cs="Times New Roman"/>
                <w:b/>
                <w:sz w:val="24"/>
              </w:rPr>
            </w:pPr>
            <w:r>
              <w:rPr>
                <w:rFonts w:hint="default" w:ascii="Times New Roman" w:hAnsi="Times New Roman" w:cs="Times New Roman"/>
                <w:b/>
                <w:sz w:val="24"/>
              </w:rPr>
              <w:t>6、项目主要设备</w:t>
            </w:r>
          </w:p>
          <w:p>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本项目所需要</w:t>
            </w:r>
            <w:r>
              <w:rPr>
                <w:rFonts w:hint="eastAsia" w:cs="Times New Roman"/>
                <w:color w:val="auto"/>
                <w:sz w:val="24"/>
                <w:lang w:eastAsia="zh-CN"/>
              </w:rPr>
              <w:t>地</w:t>
            </w:r>
            <w:r>
              <w:rPr>
                <w:rFonts w:hint="default" w:ascii="Times New Roman" w:hAnsi="Times New Roman" w:cs="Times New Roman"/>
                <w:color w:val="auto"/>
                <w:sz w:val="24"/>
              </w:rPr>
              <w:t>生产设备见</w:t>
            </w:r>
            <w:r>
              <w:rPr>
                <w:rFonts w:hint="eastAsia" w:cs="Times New Roman"/>
                <w:color w:val="auto"/>
                <w:sz w:val="24"/>
                <w:lang w:val="en-US" w:eastAsia="zh-CN"/>
              </w:rPr>
              <w:t>下</w:t>
            </w:r>
            <w:r>
              <w:rPr>
                <w:rFonts w:hint="default" w:ascii="Times New Roman" w:hAnsi="Times New Roman" w:cs="Times New Roman"/>
                <w:color w:val="auto"/>
                <w:sz w:val="24"/>
              </w:rPr>
              <w:t>表</w:t>
            </w:r>
            <w:r>
              <w:rPr>
                <w:rFonts w:hint="eastAsia" w:cs="Times New Roman"/>
                <w:color w:val="auto"/>
                <w:sz w:val="24"/>
                <w:lang w:val="en-US" w:eastAsia="zh-CN"/>
              </w:rPr>
              <w:t>。</w:t>
            </w:r>
          </w:p>
          <w:p>
            <w:pPr>
              <w:keepNext w:val="0"/>
              <w:keepLines w:val="0"/>
              <w:pageBreakBefore w:val="0"/>
              <w:widowControl w:val="0"/>
              <w:tabs>
                <w:tab w:val="left" w:pos="1785"/>
                <w:tab w:val="center" w:pos="415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2-</w:t>
            </w:r>
            <w:r>
              <w:rPr>
                <w:rFonts w:hint="eastAsia" w:cs="Times New Roman"/>
                <w:b/>
                <w:bCs/>
                <w:color w:val="auto"/>
                <w:sz w:val="24"/>
                <w:lang w:val="en-US" w:eastAsia="zh-CN"/>
              </w:rPr>
              <w:t>6生产线</w:t>
            </w:r>
            <w:r>
              <w:rPr>
                <w:rFonts w:hint="default" w:ascii="Times New Roman" w:hAnsi="Times New Roman" w:eastAsia="宋体" w:cs="Times New Roman"/>
                <w:b/>
                <w:bCs/>
                <w:color w:val="auto"/>
                <w:sz w:val="24"/>
              </w:rPr>
              <w:t>主要设备</w:t>
            </w:r>
          </w:p>
          <w:tbl>
            <w:tblPr>
              <w:tblStyle w:val="25"/>
              <w:tblW w:w="493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1890"/>
              <w:gridCol w:w="1302"/>
              <w:gridCol w:w="2054"/>
              <w:gridCol w:w="277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名称</w:t>
                  </w:r>
                </w:p>
              </w:tc>
              <w:tc>
                <w:tcPr>
                  <w:tcW w:w="7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cs="Times New Roman"/>
                    </w:rPr>
                    <w:t>规格</w:t>
                  </w:r>
                  <w:r>
                    <w:rPr>
                      <w:rFonts w:hint="eastAsia" w:cs="Times New Roman"/>
                      <w:lang w:val="en-US" w:eastAsia="zh-CN"/>
                    </w:rPr>
                    <w:t>/型号</w:t>
                  </w:r>
                </w:p>
              </w:tc>
              <w:tc>
                <w:tcPr>
                  <w:tcW w:w="11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数量</w:t>
                  </w:r>
                </w:p>
              </w:tc>
              <w:tc>
                <w:tcPr>
                  <w:tcW w:w="1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cs="Times New Roman"/>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0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游乐设备</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w:t>
                  </w:r>
                </w:p>
              </w:tc>
              <w:tc>
                <w:tcPr>
                  <w:tcW w:w="10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电焊机</w:t>
                  </w:r>
                </w:p>
              </w:tc>
              <w:tc>
                <w:tcPr>
                  <w:tcW w:w="7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color w:val="auto"/>
                      <w:sz w:val="21"/>
                      <w:szCs w:val="21"/>
                      <w:lang w:val="en-US" w:eastAsia="zh-CN"/>
                    </w:rPr>
                    <w:t>/</w:t>
                  </w:r>
                </w:p>
              </w:tc>
              <w:tc>
                <w:tcPr>
                  <w:tcW w:w="11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4台</w:t>
                  </w:r>
                </w:p>
              </w:tc>
              <w:tc>
                <w:tcPr>
                  <w:tcW w:w="1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用于钢材的焊接</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等离子</w:t>
                  </w:r>
                  <w:r>
                    <w:rPr>
                      <w:rFonts w:hint="default" w:ascii="Times New Roman" w:hAnsi="Times New Roman" w:eastAsia="宋体" w:cs="Times New Roman"/>
                      <w:lang w:val="en-US" w:eastAsia="zh-CN"/>
                    </w:rPr>
                    <w:t>切割机</w:t>
                  </w:r>
                </w:p>
              </w:tc>
              <w:tc>
                <w:tcPr>
                  <w:tcW w:w="7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color w:val="auto"/>
                      <w:sz w:val="21"/>
                      <w:szCs w:val="21"/>
                      <w:lang w:val="en-US" w:eastAsia="zh-CN"/>
                    </w:rPr>
                    <w:t>/</w:t>
                  </w:r>
                </w:p>
              </w:tc>
              <w:tc>
                <w:tcPr>
                  <w:tcW w:w="11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1台</w:t>
                  </w:r>
                </w:p>
              </w:tc>
              <w:tc>
                <w:tcPr>
                  <w:tcW w:w="1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用于钢材的切割</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0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rPr>
                  </w:pPr>
                  <w:r>
                    <w:rPr>
                      <w:rFonts w:hint="eastAsia" w:cs="Times New Roman"/>
                      <w:lang w:val="en-US" w:eastAsia="zh-CN"/>
                    </w:rPr>
                    <w:t>抛光</w:t>
                  </w:r>
                  <w:r>
                    <w:rPr>
                      <w:rFonts w:hint="default" w:ascii="Times New Roman" w:hAnsi="Times New Roman" w:cs="Times New Roman"/>
                      <w:lang w:val="en-US"/>
                    </w:rPr>
                    <w:t>机</w:t>
                  </w:r>
                </w:p>
              </w:tc>
              <w:tc>
                <w:tcPr>
                  <w:tcW w:w="7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color w:val="auto"/>
                      <w:sz w:val="21"/>
                      <w:szCs w:val="21"/>
                      <w:lang w:val="en-US" w:eastAsia="zh-CN"/>
                    </w:rPr>
                    <w:t>/</w:t>
                  </w:r>
                </w:p>
              </w:tc>
              <w:tc>
                <w:tcPr>
                  <w:tcW w:w="11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w:t>
                  </w:r>
                  <w:r>
                    <w:rPr>
                      <w:rFonts w:hint="eastAsia" w:cs="Times New Roman"/>
                      <w:lang w:val="en-US" w:eastAsia="zh-CN"/>
                    </w:rPr>
                    <w:t>台</w:t>
                  </w:r>
                </w:p>
              </w:tc>
              <w:tc>
                <w:tcPr>
                  <w:tcW w:w="1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用于焊接后对钢材的抛光</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cs="Times New Roman"/>
                      <w:lang w:val="en-US" w:eastAsia="zh-CN"/>
                    </w:rPr>
                    <w:t>折弯</w:t>
                  </w:r>
                  <w:r>
                    <w:rPr>
                      <w:rFonts w:hint="eastAsia" w:ascii="Times New Roman" w:hAnsi="Times New Roman" w:eastAsia="宋体" w:cs="Times New Roman"/>
                      <w:lang w:val="en-US" w:eastAsia="zh-CN"/>
                    </w:rPr>
                    <w:t>机</w:t>
                  </w:r>
                </w:p>
              </w:tc>
              <w:tc>
                <w:tcPr>
                  <w:tcW w:w="7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rPr>
                  </w:pPr>
                </w:p>
              </w:tc>
              <w:tc>
                <w:tcPr>
                  <w:tcW w:w="11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4台</w:t>
                  </w:r>
                </w:p>
              </w:tc>
              <w:tc>
                <w:tcPr>
                  <w:tcW w:w="1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用于钢材的折弯</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喷塑</w:t>
                  </w:r>
                  <w:r>
                    <w:rPr>
                      <w:rFonts w:hint="eastAsia" w:cs="Times New Roman"/>
                      <w:color w:val="auto"/>
                      <w:lang w:val="en-US" w:eastAsia="zh-CN"/>
                    </w:rPr>
                    <w:t>房</w:t>
                  </w:r>
                </w:p>
              </w:tc>
              <w:tc>
                <w:tcPr>
                  <w:tcW w:w="7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1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1套（包含两个工位，2个喷枪）</w:t>
                  </w:r>
                </w:p>
              </w:tc>
              <w:tc>
                <w:tcPr>
                  <w:tcW w:w="1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用于产品的喷塑</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0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烘烤房</w:t>
                  </w:r>
                </w:p>
              </w:tc>
              <w:tc>
                <w:tcPr>
                  <w:tcW w:w="7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w:t>
                  </w:r>
                </w:p>
              </w:tc>
              <w:tc>
                <w:tcPr>
                  <w:tcW w:w="11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1套</w:t>
                  </w:r>
                </w:p>
              </w:tc>
              <w:tc>
                <w:tcPr>
                  <w:tcW w:w="1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用于成品的烘烤</w:t>
                  </w:r>
                </w:p>
              </w:tc>
            </w:tr>
          </w:tbl>
          <w:p>
            <w:pPr>
              <w:pStyle w:val="15"/>
              <w:keepNext w:val="0"/>
              <w:keepLines w:val="0"/>
              <w:pageBreakBefore w:val="0"/>
              <w:widowControl w:val="0"/>
              <w:kinsoku/>
              <w:wordWrap/>
              <w:overflowPunct/>
              <w:topLinePunct w:val="0"/>
              <w:bidi w:val="0"/>
              <w:adjustRightInd w:val="0"/>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根据《产业结构调整指导目录（2019年本）》以及《部分工业行业淘汰落后生产工艺装备和产品指导目录2010年本》，项目所使用的生产设备不属于指导目录中淘汰设备。</w:t>
            </w:r>
          </w:p>
          <w:p>
            <w:pPr>
              <w:keepNext w:val="0"/>
              <w:keepLines w:val="0"/>
              <w:pageBreakBefore w:val="0"/>
              <w:widowControl w:val="0"/>
              <w:kinsoku/>
              <w:wordWrap/>
              <w:overflowPunct/>
              <w:topLinePunct w:val="0"/>
              <w:bidi w:val="0"/>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7、劳动定员及工作制度</w:t>
            </w:r>
          </w:p>
          <w:p>
            <w:pPr>
              <w:pStyle w:val="15"/>
              <w:keepNext w:val="0"/>
              <w:keepLines w:val="0"/>
              <w:pageBreakBefore w:val="0"/>
              <w:widowControl w:val="0"/>
              <w:kinsoku/>
              <w:wordWrap/>
              <w:overflowPunct/>
              <w:topLinePunct w:val="0"/>
              <w:bidi w:val="0"/>
              <w:adjustRightInd w:val="0"/>
              <w:snapToGrid w:val="0"/>
              <w:spacing w:line="360" w:lineRule="auto"/>
              <w:rPr>
                <w:rFonts w:hint="eastAsia" w:ascii="Times New Roman" w:hAnsi="Times New Roman" w:eastAsia="宋体" w:cs="Times New Roman"/>
                <w:color w:val="auto"/>
                <w:lang w:eastAsia="zh-CN"/>
              </w:rPr>
            </w:pPr>
            <w:r>
              <w:rPr>
                <w:rFonts w:hint="default" w:ascii="Times New Roman" w:hAnsi="Times New Roman" w:cs="Times New Roman"/>
                <w:color w:val="auto"/>
              </w:rPr>
              <w:t>本项目建成后，劳动定员</w:t>
            </w:r>
            <w:r>
              <w:rPr>
                <w:rFonts w:hint="eastAsia" w:cs="Times New Roman"/>
                <w:color w:val="auto"/>
                <w:lang w:val="en-US" w:eastAsia="zh-CN"/>
              </w:rPr>
              <w:t>10</w:t>
            </w:r>
            <w:r>
              <w:rPr>
                <w:rFonts w:hint="default" w:ascii="Times New Roman" w:hAnsi="Times New Roman" w:cs="Times New Roman"/>
                <w:color w:val="auto"/>
              </w:rPr>
              <w:t>人，年工作天数300天，</w:t>
            </w:r>
            <w:r>
              <w:rPr>
                <w:rFonts w:hint="eastAsia" w:cs="Times New Roman"/>
                <w:color w:val="auto"/>
                <w:lang w:val="en-US" w:eastAsia="zh-CN"/>
              </w:rPr>
              <w:t>每天1班制，1班</w:t>
            </w:r>
            <w:r>
              <w:rPr>
                <w:rFonts w:hint="default" w:ascii="Times New Roman" w:hAnsi="Times New Roman" w:cs="Times New Roman"/>
                <w:color w:val="auto"/>
              </w:rPr>
              <w:t>工作</w:t>
            </w:r>
            <w:r>
              <w:rPr>
                <w:rFonts w:hint="eastAsia" w:cs="Times New Roman"/>
                <w:color w:val="auto"/>
                <w:lang w:val="en-US" w:eastAsia="zh-CN"/>
              </w:rPr>
              <w:t>8</w:t>
            </w:r>
            <w:r>
              <w:rPr>
                <w:rFonts w:hint="default" w:ascii="Times New Roman" w:hAnsi="Times New Roman" w:cs="Times New Roman"/>
                <w:color w:val="auto"/>
              </w:rPr>
              <w:t>小时。</w:t>
            </w:r>
          </w:p>
          <w:p>
            <w:pPr>
              <w:keepNext w:val="0"/>
              <w:keepLines w:val="0"/>
              <w:pageBreakBefore w:val="0"/>
              <w:widowControl w:val="0"/>
              <w:kinsoku/>
              <w:wordWrap/>
              <w:overflowPunct/>
              <w:topLinePunct w:val="0"/>
              <w:bidi w:val="0"/>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8、基础设施建设情况</w:t>
            </w:r>
          </w:p>
          <w:p>
            <w:pPr>
              <w:pStyle w:val="15"/>
              <w:keepNext w:val="0"/>
              <w:keepLines w:val="0"/>
              <w:pageBreakBefore w:val="0"/>
              <w:widowControl w:val="0"/>
              <w:kinsoku/>
              <w:wordWrap/>
              <w:overflowPunct/>
              <w:topLinePunct w:val="0"/>
              <w:bidi w:val="0"/>
              <w:adjustRightInd w:val="0"/>
              <w:snapToGrid w:val="0"/>
              <w:spacing w:line="360" w:lineRule="auto"/>
              <w:ind w:firstLine="482"/>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（1）给水系统：项目用水</w:t>
            </w:r>
            <w:r>
              <w:rPr>
                <w:rFonts w:hint="eastAsia" w:cs="Times New Roman"/>
                <w:b w:val="0"/>
                <w:bCs w:val="0"/>
                <w:color w:val="auto"/>
                <w:u w:val="none"/>
                <w:lang w:val="en-US" w:eastAsia="zh-CN"/>
              </w:rPr>
              <w:t>由集聚区供水管网</w:t>
            </w:r>
            <w:r>
              <w:rPr>
                <w:rFonts w:hint="default" w:ascii="Times New Roman" w:hAnsi="Times New Roman" w:cs="Times New Roman"/>
                <w:b w:val="0"/>
                <w:bCs w:val="0"/>
                <w:color w:val="auto"/>
                <w:u w:val="none"/>
              </w:rPr>
              <w:t>供给，满足厂区生活生产</w:t>
            </w:r>
            <w:r>
              <w:rPr>
                <w:rFonts w:hint="eastAsia" w:cs="Times New Roman"/>
                <w:b w:val="0"/>
                <w:bCs w:val="0"/>
                <w:color w:val="auto"/>
                <w:u w:val="none"/>
                <w:lang w:val="en-US" w:eastAsia="zh-CN"/>
              </w:rPr>
              <w:t>需要</w:t>
            </w:r>
            <w:r>
              <w:rPr>
                <w:rFonts w:hint="default" w:ascii="Times New Roman" w:hAnsi="Times New Roman" w:cs="Times New Roman"/>
                <w:b w:val="0"/>
                <w:bCs w:val="0"/>
                <w:color w:val="auto"/>
                <w:u w:val="none"/>
              </w:rPr>
              <w:t>。</w:t>
            </w:r>
          </w:p>
          <w:p>
            <w:pPr>
              <w:pStyle w:val="15"/>
              <w:keepNext w:val="0"/>
              <w:keepLines w:val="0"/>
              <w:pageBreakBefore w:val="0"/>
              <w:widowControl w:val="0"/>
              <w:numPr>
                <w:ilvl w:val="0"/>
                <w:numId w:val="3"/>
              </w:numPr>
              <w:kinsoku/>
              <w:wordWrap/>
              <w:overflowPunct/>
              <w:topLinePunct w:val="0"/>
              <w:bidi w:val="0"/>
              <w:adjustRightInd w:val="0"/>
              <w:snapToGrid w:val="0"/>
              <w:spacing w:line="360" w:lineRule="auto"/>
              <w:ind w:firstLine="482"/>
              <w:rPr>
                <w:rFonts w:hint="default" w:ascii="Times New Roman" w:hAnsi="Times New Roman" w:eastAsia="宋体" w:cs="Times New Roman"/>
                <w:b w:val="0"/>
                <w:bCs w:val="0"/>
                <w:color w:val="auto"/>
                <w:kern w:val="0"/>
                <w:sz w:val="24"/>
                <w:szCs w:val="24"/>
                <w:u w:val="none"/>
                <w:lang w:val="en-US" w:eastAsia="zh-CN"/>
              </w:rPr>
            </w:pPr>
            <w:r>
              <w:rPr>
                <w:rFonts w:hint="default" w:ascii="Times New Roman" w:hAnsi="Times New Roman" w:cs="Times New Roman"/>
                <w:b w:val="0"/>
                <w:bCs w:val="0"/>
                <w:color w:val="auto"/>
                <w:u w:val="none"/>
              </w:rPr>
              <w:t>排水系统</w:t>
            </w:r>
            <w:r>
              <w:rPr>
                <w:rFonts w:hint="eastAsia" w:cs="Times New Roman"/>
                <w:b w:val="0"/>
                <w:bCs w:val="0"/>
                <w:color w:val="auto"/>
                <w:u w:val="none"/>
                <w:lang w:eastAsia="zh-CN"/>
              </w:rPr>
              <w:t>：</w:t>
            </w:r>
            <w:r>
              <w:rPr>
                <w:rFonts w:hint="eastAsia"/>
                <w:lang w:val="en-US" w:eastAsia="zh-CN"/>
              </w:rPr>
              <w:t>项目采取雨污分流，雨水经河南方圆炭素集团厂区内已有雨水管网收纳。</w:t>
            </w:r>
            <w:r>
              <w:rPr>
                <w:rFonts w:hint="default" w:ascii="Times New Roman" w:hAnsi="Times New Roman" w:eastAsia="宋体" w:cs="Times New Roman"/>
                <w:color w:val="auto"/>
                <w:kern w:val="0"/>
                <w:sz w:val="24"/>
                <w:szCs w:val="24"/>
                <w:lang w:val="en-US" w:eastAsia="zh-CN"/>
              </w:rPr>
              <w:t>项目营运期废水主要为生活污水。生活污水经化粪池收集后可直接进入污水管网，最终进入</w:t>
            </w:r>
            <w:r>
              <w:rPr>
                <w:rFonts w:hint="eastAsia" w:cs="Times New Roman"/>
                <w:color w:val="auto"/>
                <w:kern w:val="0"/>
                <w:sz w:val="24"/>
                <w:szCs w:val="24"/>
                <w:lang w:val="en-US" w:eastAsia="zh-CN"/>
              </w:rPr>
              <w:t>鲁山县产业集聚区污水处理厂进一步</w:t>
            </w:r>
            <w:r>
              <w:rPr>
                <w:rFonts w:hint="default" w:ascii="Times New Roman" w:hAnsi="Times New Roman" w:eastAsia="宋体" w:cs="Times New Roman"/>
                <w:color w:val="auto"/>
                <w:kern w:val="0"/>
                <w:sz w:val="24"/>
                <w:szCs w:val="24"/>
                <w:lang w:val="en-US" w:eastAsia="zh-CN"/>
              </w:rPr>
              <w:t>处理</w:t>
            </w:r>
            <w:r>
              <w:rPr>
                <w:rFonts w:hint="eastAsia" w:cs="Times New Roman"/>
                <w:color w:val="auto"/>
                <w:kern w:val="0"/>
                <w:sz w:val="24"/>
                <w:szCs w:val="24"/>
                <w:lang w:val="en-US" w:eastAsia="zh-CN"/>
              </w:rPr>
              <w:t>，</w:t>
            </w:r>
            <w:r>
              <w:rPr>
                <w:rFonts w:hint="eastAsia"/>
                <w:lang w:val="en-US" w:eastAsia="zh-CN"/>
              </w:rPr>
              <w:t>最终全部中水回用</w:t>
            </w:r>
            <w:r>
              <w:rPr>
                <w:rFonts w:hint="default" w:ascii="Times New Roman" w:hAnsi="Times New Roman" w:eastAsia="宋体" w:cs="Times New Roman"/>
                <w:color w:val="auto"/>
                <w:kern w:val="0"/>
                <w:sz w:val="24"/>
                <w:szCs w:val="24"/>
                <w:lang w:val="en-US" w:eastAsia="zh-CN"/>
              </w:rPr>
              <w:t>。</w:t>
            </w:r>
          </w:p>
          <w:p>
            <w:pPr>
              <w:pStyle w:val="15"/>
              <w:keepNext w:val="0"/>
              <w:keepLines w:val="0"/>
              <w:pageBreakBefore w:val="0"/>
              <w:widowControl w:val="0"/>
              <w:kinsoku/>
              <w:wordWrap/>
              <w:overflowPunct/>
              <w:topLinePunct w:val="0"/>
              <w:bidi w:val="0"/>
              <w:adjustRightInd w:val="0"/>
              <w:snapToGrid w:val="0"/>
              <w:spacing w:line="360" w:lineRule="auto"/>
              <w:ind w:firstLine="482"/>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w:t>
            </w:r>
            <w:r>
              <w:rPr>
                <w:rFonts w:hint="eastAsia" w:cs="Times New Roman"/>
                <w:b w:val="0"/>
                <w:bCs w:val="0"/>
                <w:color w:val="auto"/>
                <w:u w:val="none"/>
                <w:lang w:val="en-US" w:eastAsia="zh-CN"/>
              </w:rPr>
              <w:t>3</w:t>
            </w:r>
            <w:r>
              <w:rPr>
                <w:rFonts w:hint="default" w:ascii="Times New Roman" w:hAnsi="Times New Roman" w:cs="Times New Roman"/>
                <w:b w:val="0"/>
                <w:bCs w:val="0"/>
                <w:color w:val="auto"/>
                <w:u w:val="none"/>
              </w:rPr>
              <w:t>）供电系统：电能由</w:t>
            </w:r>
            <w:r>
              <w:rPr>
                <w:rFonts w:hint="eastAsia" w:cs="Times New Roman"/>
                <w:b w:val="0"/>
                <w:bCs w:val="0"/>
                <w:color w:val="auto"/>
                <w:u w:val="none"/>
                <w:lang w:val="en-US" w:eastAsia="zh-CN"/>
              </w:rPr>
              <w:t>集聚区供电管网</w:t>
            </w:r>
            <w:r>
              <w:rPr>
                <w:rFonts w:hint="default" w:ascii="Times New Roman" w:hAnsi="Times New Roman" w:cs="Times New Roman"/>
                <w:b w:val="0"/>
                <w:bCs w:val="0"/>
                <w:color w:val="auto"/>
                <w:u w:val="none"/>
              </w:rPr>
              <w:t>供电，能够满足生产需要。</w:t>
            </w:r>
          </w:p>
          <w:p>
            <w:pPr>
              <w:keepNext w:val="0"/>
              <w:keepLines w:val="0"/>
              <w:pageBreakBefore w:val="0"/>
              <w:widowControl w:val="0"/>
              <w:kinsoku/>
              <w:wordWrap/>
              <w:overflowPunct/>
              <w:topLinePunct w:val="0"/>
              <w:bidi w:val="0"/>
              <w:adjustRightInd w:val="0"/>
              <w:snapToGrid w:val="0"/>
              <w:spacing w:line="360" w:lineRule="auto"/>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9、项目厂区总平面布置及合理性分析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宋体"/>
                <w:bCs/>
                <w:color w:val="auto"/>
                <w:sz w:val="24"/>
                <w:szCs w:val="24"/>
                <w:lang w:val="en-US" w:eastAsia="zh-CN"/>
              </w:rPr>
            </w:pPr>
            <w:r>
              <w:rPr>
                <w:rFonts w:hint="eastAsia" w:ascii="Times New Roman" w:hAnsi="Times New Roman" w:cs="宋体"/>
                <w:bCs/>
                <w:color w:val="auto"/>
                <w:sz w:val="24"/>
                <w:szCs w:val="24"/>
                <w:lang w:val="en-US" w:eastAsia="zh-CN"/>
              </w:rPr>
              <w:t>厂区总平面布置原则：建设项目必须符合生产行业要求，满足生产工艺需求和安全生产要求。本项目是在满足生产工艺流程的前提下，考虑运输、安全、卫生等要求，结合项目用地的自然地形条件，各种设施不同功能进行分区和组合，力求平面布置紧凑合理节省用地，有利生产，方便管理。具体内容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宋体"/>
                <w:bCs/>
                <w:color w:val="auto"/>
                <w:sz w:val="24"/>
                <w:szCs w:val="24"/>
                <w:highlight w:val="none"/>
                <w:lang w:val="en-US" w:eastAsia="zh-CN"/>
              </w:rPr>
            </w:pPr>
            <w:r>
              <w:rPr>
                <w:rFonts w:hint="eastAsia" w:cs="宋体"/>
                <w:bCs/>
                <w:color w:val="auto"/>
                <w:sz w:val="24"/>
                <w:szCs w:val="24"/>
                <w:highlight w:val="none"/>
                <w:lang w:val="en-US" w:eastAsia="zh-CN"/>
              </w:rPr>
              <w:t>本项目平面布置呈东西向，厂房内部最西侧为办公区，厂房北侧由东向西分别布设抛光区、喷塑区以及烘烤区；厂房南侧从东至西依次布置有切割区和焊接区；厂房最东侧为原料暂存区。</w:t>
            </w:r>
            <w:r>
              <w:rPr>
                <w:rFonts w:hint="eastAsia"/>
                <w:lang w:val="en-US" w:eastAsia="zh-CN"/>
              </w:rPr>
              <w:t>其中成品区位于厂房内部西南侧。</w:t>
            </w:r>
            <w:r>
              <w:rPr>
                <w:rFonts w:hint="eastAsia" w:cs="宋体"/>
                <w:bCs/>
                <w:color w:val="auto"/>
                <w:sz w:val="24"/>
                <w:szCs w:val="24"/>
                <w:highlight w:val="none"/>
                <w:lang w:val="en-US" w:eastAsia="zh-CN"/>
              </w:rPr>
              <w:t>具体布设平面布置图见附图四。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u w:val="none"/>
              </w:rPr>
            </w:pPr>
            <w:r>
              <w:rPr>
                <w:rFonts w:hint="eastAsia" w:cs="宋体"/>
                <w:bCs/>
                <w:color w:val="auto"/>
                <w:sz w:val="24"/>
                <w:szCs w:val="24"/>
                <w:highlight w:val="none"/>
                <w:lang w:val="en-US" w:eastAsia="zh-CN"/>
              </w:rPr>
              <w:t>项目生产设备按照生产工艺流程布设，项目布局本着“方便、安全、畅通、配套”的原则布置，分区明确，布局合理，使用方便，物流便捷，功能配套，各区既有明确分区，又保持一定联系，将废气、废水、噪音等污染源影响限制在局部，并在局部合理解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250" w:type="pct"/>
            <w:noWrap w:val="0"/>
            <w:vAlign w:val="center"/>
          </w:tcPr>
          <w:p>
            <w:pPr>
              <w:pStyle w:val="21"/>
              <w:keepNext w:val="0"/>
              <w:keepLines w:val="0"/>
              <w:pageBreakBefore w:val="0"/>
              <w:widowControl w:val="0"/>
              <w:kinsoku/>
              <w:wordWrap/>
              <w:overflowPunct/>
              <w:topLinePunct w:val="0"/>
              <w:bidi w:val="0"/>
              <w:adjustRightInd w:val="0"/>
              <w:snapToGrid w:val="0"/>
              <w:spacing w:before="0" w:beforeAutospacing="0" w:after="0" w:afterAutospacing="0"/>
              <w:jc w:val="center"/>
              <w:rPr>
                <w:rFonts w:cs="宋体"/>
                <w:b/>
                <w:bCs/>
                <w:sz w:val="24"/>
                <w:szCs w:val="24"/>
              </w:rPr>
            </w:pPr>
            <w:r>
              <w:rPr>
                <w:rFonts w:hint="eastAsia" w:cs="宋体"/>
                <w:b/>
                <w:bCs/>
                <w:sz w:val="24"/>
                <w:szCs w:val="24"/>
              </w:rPr>
              <w:t>工艺流程和产排污环节</w:t>
            </w:r>
          </w:p>
        </w:tc>
        <w:tc>
          <w:tcPr>
            <w:tcW w:w="4749" w:type="pct"/>
            <w:noWrap w:val="0"/>
            <w:vAlign w:val="top"/>
          </w:tcPr>
          <w:p>
            <w:pPr>
              <w:pStyle w:val="10"/>
              <w:keepNext w:val="0"/>
              <w:keepLines w:val="0"/>
              <w:pageBreakBefore w:val="0"/>
              <w:widowControl w:val="0"/>
              <w:kinsoku/>
              <w:wordWrap/>
              <w:overflowPunct/>
              <w:topLinePunct w:val="0"/>
              <w:bidi w:val="0"/>
              <w:adjustRightInd w:val="0"/>
              <w:snapToGrid w:val="0"/>
              <w:ind w:left="0" w:leftChars="0" w:firstLine="0" w:firstLineChars="0"/>
              <w:jc w:val="center"/>
            </w:pPr>
            <w:r>
              <w:object>
                <v:shape id="_x0000_i1025" o:spt="75" type="#_x0000_t75" style="height:384.3pt;width:312.2pt;" o:ole="t" filled="f" o:preferrelative="t" stroked="f" coordsize="21600,21600">
                  <v:path/>
                  <v:fill on="f" focussize="0,0"/>
                  <v:stroke on="f"/>
                  <v:imagedata r:id="rId19" o:title=""/>
                  <o:lock v:ext="edit" aspectratio="f"/>
                  <w10:wrap type="none"/>
                  <w10:anchorlock/>
                </v:shape>
                <o:OLEObject Type="Embed" ProgID="Visio.Drawing.15" ShapeID="_x0000_i1025" DrawAspect="Content" ObjectID="_1468075725" r:id="rId18">
                  <o:LockedField>false</o:LockedField>
                </o:OLEObject>
              </w:object>
            </w:r>
          </w:p>
          <w:p>
            <w:pPr>
              <w:pStyle w:val="10"/>
              <w:keepNext w:val="0"/>
              <w:keepLines w:val="0"/>
              <w:pageBreakBefore w:val="0"/>
              <w:widowControl w:val="0"/>
              <w:kinsoku/>
              <w:wordWrap/>
              <w:overflowPunct/>
              <w:topLinePunct w:val="0"/>
              <w:bidi w:val="0"/>
              <w:adjustRightInd w:val="0"/>
              <w:snapToGrid w:val="0"/>
              <w:ind w:left="0" w:leftChars="0" w:firstLine="0" w:firstLineChars="0"/>
              <w:jc w:val="center"/>
              <w:rPr>
                <w:rFonts w:hint="eastAsia"/>
                <w:b/>
                <w:bCs/>
                <w:sz w:val="24"/>
                <w:szCs w:val="24"/>
                <w:lang w:val="en-US" w:eastAsia="zh-CN"/>
              </w:rPr>
            </w:pPr>
            <w:r>
              <w:rPr>
                <w:rFonts w:hint="eastAsia"/>
                <w:b/>
                <w:bCs/>
                <w:sz w:val="24"/>
                <w:szCs w:val="24"/>
                <w:lang w:val="en-US" w:eastAsia="zh-CN"/>
              </w:rPr>
              <w:t>图2-1游乐设备生产线工艺流程及产污节点图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s="Times New Roman"/>
                <w:b/>
                <w:bCs/>
                <w:color w:val="auto"/>
                <w:sz w:val="24"/>
                <w:lang w:val="en-US" w:eastAsia="zh-CN"/>
              </w:rPr>
            </w:pPr>
            <w:r>
              <w:rPr>
                <w:rFonts w:hint="eastAsia" w:cs="Times New Roman"/>
                <w:b/>
                <w:bCs/>
                <w:color w:val="auto"/>
                <w:sz w:val="24"/>
                <w:lang w:val="en-US" w:eastAsia="zh-CN"/>
              </w:rPr>
              <w:t>工艺流程说明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rPr>
            </w:pPr>
            <w:r>
              <w:rPr>
                <w:rFonts w:hint="eastAsia"/>
                <w:sz w:val="24"/>
                <w:szCs w:val="24"/>
              </w:rPr>
              <w:t>切割：外购一定长度的管材、板材，利用切割机按要求切出不同长度规格。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rPr>
            </w:pPr>
            <w:r>
              <w:rPr>
                <w:rFonts w:hint="eastAsia"/>
                <w:sz w:val="24"/>
                <w:szCs w:val="24"/>
              </w:rPr>
              <w:t>弯管：利用弯管机将直管弯曲成要求的角度。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rPr>
            </w:pPr>
            <w:r>
              <w:rPr>
                <w:rFonts w:hint="eastAsia"/>
                <w:sz w:val="24"/>
                <w:szCs w:val="24"/>
              </w:rPr>
              <w:t>焊接：主要为电弧焊，利用焊条通过电弧</w:t>
            </w:r>
            <w:r>
              <w:rPr>
                <w:rFonts w:hint="eastAsia"/>
                <w:sz w:val="24"/>
                <w:szCs w:val="24"/>
                <w:lang w:eastAsia="zh-CN"/>
              </w:rPr>
              <w:t>高温熔化</w:t>
            </w:r>
            <w:r>
              <w:rPr>
                <w:rFonts w:hint="eastAsia"/>
                <w:sz w:val="24"/>
                <w:szCs w:val="24"/>
              </w:rPr>
              <w:t>金属部件需要连接的地方而实现的一种焊接操作；主要污染因素为焊接烟尘及噪声。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rPr>
            </w:pPr>
            <w:r>
              <w:rPr>
                <w:rFonts w:hint="eastAsia"/>
                <w:sz w:val="24"/>
                <w:szCs w:val="24"/>
                <w:lang w:val="en-US" w:eastAsia="zh-CN"/>
              </w:rPr>
              <w:t>抛光</w:t>
            </w:r>
            <w:r>
              <w:rPr>
                <w:rFonts w:hint="eastAsia"/>
                <w:sz w:val="24"/>
                <w:szCs w:val="24"/>
              </w:rPr>
              <w:t>去毛刺：人工对切割和焊接部位部分进行</w:t>
            </w:r>
            <w:r>
              <w:rPr>
                <w:rFonts w:hint="eastAsia"/>
                <w:sz w:val="24"/>
                <w:szCs w:val="24"/>
                <w:lang w:val="en-US" w:eastAsia="zh-CN"/>
              </w:rPr>
              <w:t>抛光</w:t>
            </w:r>
            <w:r>
              <w:rPr>
                <w:rFonts w:hint="eastAsia"/>
                <w:sz w:val="24"/>
                <w:szCs w:val="24"/>
              </w:rPr>
              <w:t>去毛刺，使其表面精细平整，便于后续喷塑加工。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rPr>
            </w:pPr>
            <w:r>
              <w:rPr>
                <w:rFonts w:hint="eastAsia"/>
                <w:sz w:val="24"/>
                <w:szCs w:val="24"/>
              </w:rPr>
              <w:t>喷塑：塑粉（粉末涂料）由供粉系统借压缩空气气体送入喷枪，在喷枪前端加有高压静电发生器产生的高压，由于电晕放电，在其附近产生密集的电荷，粉末由枪嘴喷出时，形成带电涂料粒子，它受静电力的作用，被吸到与其极性相反的工件上去，随着喷上的粉末增多，电荷积聚也越多，当达到一定厚度时，由于产生静电排斥作用，便不继续吸附，从而使整个工件获得一定厚度的粉末涂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sz w:val="24"/>
                <w:szCs w:val="24"/>
                <w:lang w:eastAsia="zh-CN"/>
              </w:rPr>
            </w:pPr>
            <w:r>
              <w:rPr>
                <w:rFonts w:hint="eastAsia"/>
                <w:sz w:val="24"/>
                <w:szCs w:val="24"/>
              </w:rPr>
              <w:t>烘烤：项目烘烤工序热能由</w:t>
            </w:r>
            <w:r>
              <w:rPr>
                <w:rFonts w:hint="eastAsia"/>
                <w:sz w:val="24"/>
                <w:szCs w:val="24"/>
                <w:lang w:eastAsia="zh-CN"/>
              </w:rPr>
              <w:t>天然气</w:t>
            </w:r>
            <w:r>
              <w:rPr>
                <w:rFonts w:hint="eastAsia"/>
                <w:sz w:val="24"/>
                <w:szCs w:val="24"/>
              </w:rPr>
              <w:t>燃烧机提供。燃烧机燃烧</w:t>
            </w:r>
            <w:r>
              <w:rPr>
                <w:rFonts w:hint="eastAsia"/>
                <w:sz w:val="24"/>
                <w:szCs w:val="24"/>
                <w:lang w:eastAsia="zh-CN"/>
              </w:rPr>
              <w:t>天然气</w:t>
            </w:r>
            <w:r>
              <w:rPr>
                <w:rFonts w:hint="eastAsia"/>
                <w:sz w:val="24"/>
                <w:szCs w:val="24"/>
              </w:rPr>
              <w:t>产生的热能供于烘箱内，温度控制在180~200℃，经喷塑后的工件置于烘箱中15</w:t>
            </w:r>
            <w:r>
              <w:rPr>
                <w:rFonts w:hint="eastAsia"/>
                <w:sz w:val="24"/>
                <w:szCs w:val="24"/>
                <w:lang w:eastAsia="zh-CN"/>
              </w:rPr>
              <w:t>—</w:t>
            </w:r>
            <w:r>
              <w:rPr>
                <w:rFonts w:hint="eastAsia"/>
                <w:sz w:val="24"/>
                <w:szCs w:val="24"/>
              </w:rPr>
              <w:t>20min，使粉末熔融、流平、固化，在工件表面形成坚硬的涂膜。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b/>
                <w:bCs w:val="0"/>
                <w:sz w:val="24"/>
                <w:szCs w:val="24"/>
              </w:rPr>
            </w:pPr>
            <w:r>
              <w:rPr>
                <w:rFonts w:hint="eastAsia" w:ascii="宋体" w:hAnsi="宋体"/>
                <w:b/>
                <w:bCs w:val="0"/>
                <w:sz w:val="24"/>
                <w:szCs w:val="24"/>
              </w:rPr>
              <w:t>产排污环节简述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b/>
                <w:color w:val="auto"/>
                <w:sz w:val="24"/>
                <w:szCs w:val="24"/>
              </w:rPr>
            </w:pPr>
            <w:r>
              <w:rPr>
                <w:rFonts w:hint="eastAsia" w:ascii="Times New Roman" w:hAnsi="Times New Roman"/>
                <w:b/>
                <w:color w:val="auto"/>
                <w:sz w:val="24"/>
                <w:szCs w:val="24"/>
              </w:rPr>
              <w:t>主要污染工序分析：</w:t>
            </w:r>
          </w:p>
          <w:p>
            <w:pPr>
              <w:snapToGrid w:val="0"/>
              <w:spacing w:line="240" w:lineRule="auto"/>
              <w:ind w:firstLine="480" w:firstLineChars="200"/>
              <w:rPr>
                <w:rFonts w:hint="eastAsia" w:ascii="Times New Roman" w:hAnsi="Times New Roman"/>
                <w:b w:val="0"/>
                <w:bCs w:val="0"/>
                <w:color w:val="auto"/>
                <w:sz w:val="24"/>
                <w:szCs w:val="24"/>
              </w:rPr>
            </w:pPr>
            <w:r>
              <w:rPr>
                <w:rFonts w:hint="eastAsia" w:ascii="Times New Roman" w:hAnsi="Times New Roman"/>
                <w:b w:val="0"/>
                <w:bCs w:val="0"/>
                <w:color w:val="auto"/>
                <w:sz w:val="24"/>
                <w:szCs w:val="24"/>
              </w:rPr>
              <w:t>根据业主提供的工艺流程及对项目产污环节分析可知，项目营运过程中主要污染工序如下：</w:t>
            </w:r>
          </w:p>
          <w:p>
            <w:pPr>
              <w:keepNext w:val="0"/>
              <w:keepLines w:val="0"/>
              <w:pageBreakBefore w:val="0"/>
              <w:widowControl w:val="0"/>
              <w:tabs>
                <w:tab w:val="left" w:pos="1785"/>
                <w:tab w:val="center" w:pos="415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表</w:t>
            </w:r>
            <w:r>
              <w:rPr>
                <w:rFonts w:hint="default" w:ascii="Times New Roman" w:hAnsi="Times New Roman" w:eastAsia="宋体" w:cs="Times New Roman"/>
                <w:b/>
                <w:bCs/>
                <w:color w:val="auto"/>
                <w:sz w:val="24"/>
                <w:lang w:val="en-US" w:eastAsia="zh-CN"/>
              </w:rPr>
              <w:t>2-</w:t>
            </w:r>
            <w:r>
              <w:rPr>
                <w:rFonts w:hint="eastAsia" w:cs="Times New Roman"/>
                <w:b/>
                <w:bCs/>
                <w:color w:val="auto"/>
                <w:sz w:val="24"/>
                <w:lang w:val="en-US" w:eastAsia="zh-CN"/>
              </w:rPr>
              <w:t>7</w:t>
            </w:r>
            <w:r>
              <w:rPr>
                <w:rFonts w:hint="eastAsia" w:ascii="Times New Roman" w:hAnsi="Times New Roman" w:eastAsia="宋体" w:cs="Times New Roman"/>
                <w:b/>
                <w:bCs/>
                <w:color w:val="auto"/>
                <w:sz w:val="24"/>
                <w:lang w:val="en-US" w:eastAsia="zh-CN"/>
              </w:rPr>
              <w:t>项目</w:t>
            </w:r>
            <w:r>
              <w:rPr>
                <w:rFonts w:hint="eastAsia" w:cs="Times New Roman"/>
                <w:b/>
                <w:bCs/>
                <w:color w:val="auto"/>
                <w:sz w:val="24"/>
                <w:lang w:val="en-US" w:eastAsia="zh-CN"/>
              </w:rPr>
              <w:t>生产过程中</w:t>
            </w:r>
            <w:r>
              <w:rPr>
                <w:rFonts w:hint="eastAsia" w:ascii="Times New Roman" w:hAnsi="Times New Roman" w:eastAsia="宋体" w:cs="Times New Roman"/>
                <w:b/>
                <w:bCs/>
                <w:color w:val="auto"/>
                <w:sz w:val="24"/>
                <w:lang w:val="en-US" w:eastAsia="zh-CN"/>
              </w:rPr>
              <w:t>主要污染工序</w:t>
            </w:r>
          </w:p>
          <w:tbl>
            <w:tblPr>
              <w:tblStyle w:val="24"/>
              <w:tblW w:w="5000" w:type="pct"/>
              <w:tblInd w:w="-5" w:type="dxa"/>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608"/>
              <w:gridCol w:w="678"/>
              <w:gridCol w:w="944"/>
              <w:gridCol w:w="1530"/>
              <w:gridCol w:w="1388"/>
              <w:gridCol w:w="3197"/>
            </w:tblGrid>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污染因素</w:t>
                  </w:r>
                </w:p>
              </w:tc>
              <w:tc>
                <w:tcPr>
                  <w:tcW w:w="120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产污环节</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污染因子</w:t>
                  </w:r>
                </w:p>
              </w:tc>
              <w:tc>
                <w:tcPr>
                  <w:tcW w:w="248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防治措施</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废气</w:t>
                  </w:r>
                </w:p>
              </w:tc>
              <w:tc>
                <w:tcPr>
                  <w:tcW w:w="32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highlight w:val="none"/>
                      <w:u w:val="none"/>
                      <w:lang w:val="en-US" w:eastAsia="zh-CN"/>
                    </w:rPr>
                  </w:pPr>
                  <w:r>
                    <w:rPr>
                      <w:rFonts w:hint="eastAsia" w:cs="Times New Roman"/>
                      <w:b w:val="0"/>
                      <w:bCs/>
                      <w:color w:val="auto"/>
                      <w:szCs w:val="21"/>
                      <w:highlight w:val="none"/>
                      <w:u w:val="none"/>
                      <w:lang w:val="en-US" w:eastAsia="zh-CN"/>
                    </w:rPr>
                    <w:t>有组织</w:t>
                  </w:r>
                </w:p>
              </w:tc>
              <w:tc>
                <w:tcPr>
                  <w:tcW w:w="87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color w:val="auto"/>
                      <w:kern w:val="2"/>
                      <w:sz w:val="21"/>
                      <w:szCs w:val="21"/>
                      <w:highlight w:val="none"/>
                      <w:u w:val="none"/>
                      <w:lang w:val="en-US" w:eastAsia="zh-CN" w:bidi="ar-SA"/>
                    </w:rPr>
                  </w:pPr>
                  <w:r>
                    <w:rPr>
                      <w:rFonts w:hint="eastAsia" w:ascii="Times New Roman" w:hAnsi="Times New Roman" w:eastAsia="宋体" w:cs="Times New Roman"/>
                      <w:b w:val="0"/>
                      <w:bCs/>
                      <w:color w:val="auto"/>
                      <w:szCs w:val="21"/>
                      <w:highlight w:val="none"/>
                      <w:u w:val="none"/>
                      <w:lang w:val="en-US" w:eastAsia="zh-CN"/>
                    </w:rPr>
                    <w:t>切割、</w:t>
                  </w:r>
                  <w:r>
                    <w:rPr>
                      <w:rFonts w:hint="default" w:ascii="Times New Roman" w:hAnsi="Times New Roman" w:eastAsia="宋体" w:cs="Times New Roman"/>
                      <w:b w:val="0"/>
                      <w:bCs/>
                      <w:color w:val="auto"/>
                      <w:szCs w:val="21"/>
                      <w:highlight w:val="none"/>
                      <w:u w:val="none"/>
                      <w:lang w:val="en-US" w:eastAsia="zh-CN"/>
                    </w:rPr>
                    <w:t>焊接</w:t>
                  </w:r>
                  <w:r>
                    <w:rPr>
                      <w:rFonts w:hint="eastAsia" w:cs="Times New Roman"/>
                      <w:b w:val="0"/>
                      <w:bCs/>
                      <w:color w:val="auto"/>
                      <w:szCs w:val="21"/>
                      <w:highlight w:val="none"/>
                      <w:u w:val="none"/>
                      <w:lang w:val="en-US" w:eastAsia="zh-CN"/>
                    </w:rPr>
                    <w:t>抛光</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highlight w:val="none"/>
                      <w:u w:val="none"/>
                    </w:rPr>
                  </w:pPr>
                  <w:r>
                    <w:rPr>
                      <w:rFonts w:hint="default" w:ascii="Times New Roman" w:hAnsi="Times New Roman" w:eastAsia="宋体" w:cs="Times New Roman"/>
                      <w:b w:val="0"/>
                      <w:bCs/>
                      <w:color w:val="auto"/>
                      <w:szCs w:val="21"/>
                      <w:highlight w:val="none"/>
                      <w:u w:val="none"/>
                    </w:rPr>
                    <w:t>颗粒物</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color w:val="auto"/>
                      <w:szCs w:val="21"/>
                      <w:highlight w:val="none"/>
                      <w:u w:val="none"/>
                      <w:lang w:val="en-US" w:eastAsia="zh-CN"/>
                    </w:rPr>
                    <w:t>集气罩收集</w:t>
                  </w:r>
                </w:p>
              </w:tc>
              <w:tc>
                <w:tcPr>
                  <w:tcW w:w="172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highlight w:val="yellow"/>
                      <w:u w:val="none"/>
                      <w:lang w:val="en-US" w:eastAsia="zh-CN"/>
                    </w:rPr>
                  </w:pPr>
                  <w:r>
                    <w:rPr>
                      <w:rFonts w:hint="eastAsia" w:ascii="Times New Roman" w:hAnsi="Times New Roman" w:eastAsia="宋体" w:cs="Times New Roman"/>
                      <w:b w:val="0"/>
                      <w:bCs w:val="0"/>
                      <w:color w:val="auto"/>
                      <w:sz w:val="21"/>
                      <w:szCs w:val="21"/>
                      <w:u w:val="none"/>
                      <w:lang w:val="en-US" w:eastAsia="zh-CN"/>
                    </w:rPr>
                    <w:t>收集的废气采用1套袋式除尘器</w:t>
                  </w:r>
                  <w:r>
                    <w:rPr>
                      <w:rFonts w:hint="eastAsia" w:cs="Times New Roman"/>
                      <w:b w:val="0"/>
                      <w:bCs/>
                      <w:color w:val="auto"/>
                      <w:sz w:val="21"/>
                      <w:szCs w:val="21"/>
                      <w:vertAlign w:val="baseline"/>
                      <w:lang w:val="en-US" w:eastAsia="zh-CN"/>
                    </w:rPr>
                    <w:t>处理后</w:t>
                  </w:r>
                  <w:r>
                    <w:rPr>
                      <w:rFonts w:hint="eastAsia" w:ascii="Times New Roman" w:hAnsi="Times New Roman" w:eastAsia="宋体" w:cs="Times New Roman"/>
                      <w:b w:val="0"/>
                      <w:bCs w:val="0"/>
                      <w:color w:val="auto"/>
                      <w:sz w:val="21"/>
                      <w:szCs w:val="21"/>
                      <w:u w:val="none"/>
                      <w:lang w:val="en-US" w:eastAsia="zh-CN"/>
                    </w:rPr>
                    <w:t>由1根15米高排气筒</w:t>
                  </w:r>
                  <w:r>
                    <w:rPr>
                      <w:rFonts w:hint="eastAsia" w:cs="Times New Roman"/>
                      <w:b w:val="0"/>
                      <w:bCs w:val="0"/>
                      <w:color w:val="auto"/>
                      <w:sz w:val="21"/>
                      <w:szCs w:val="21"/>
                      <w:u w:val="none"/>
                      <w:lang w:val="en-US" w:eastAsia="zh-CN"/>
                    </w:rPr>
                    <w:t>P1</w:t>
                  </w:r>
                  <w:r>
                    <w:rPr>
                      <w:rFonts w:hint="eastAsia" w:ascii="Times New Roman" w:hAnsi="Times New Roman" w:eastAsia="宋体" w:cs="Times New Roman"/>
                      <w:b w:val="0"/>
                      <w:bCs w:val="0"/>
                      <w:color w:val="auto"/>
                      <w:sz w:val="21"/>
                      <w:szCs w:val="21"/>
                      <w:u w:val="none"/>
                      <w:lang w:val="en-US" w:eastAsia="zh-CN"/>
                    </w:rPr>
                    <w:t>（</w:t>
                  </w:r>
                  <w:r>
                    <w:rPr>
                      <w:rFonts w:hint="eastAsia" w:ascii="Times New Roman" w:hAnsi="Times New Roman" w:eastAsia="宋体" w:cs="Times New Roman"/>
                      <w:b w:val="0"/>
                      <w:bCs w:val="0"/>
                      <w:color w:val="auto"/>
                      <w:sz w:val="21"/>
                      <w:szCs w:val="21"/>
                      <w:highlight w:val="none"/>
                      <w:u w:val="none"/>
                      <w:lang w:val="en-US" w:eastAsia="zh-CN"/>
                    </w:rPr>
                    <w:t>DA001）</w:t>
                  </w:r>
                  <w:r>
                    <w:rPr>
                      <w:rFonts w:hint="default" w:ascii="Times New Roman" w:hAnsi="Times New Roman" w:eastAsia="宋体" w:cs="Times New Roman"/>
                      <w:b w:val="0"/>
                      <w:bCs/>
                      <w:color w:val="auto"/>
                      <w:szCs w:val="21"/>
                      <w:highlight w:val="none"/>
                      <w:u w:val="none"/>
                      <w:lang w:val="en-US" w:eastAsia="zh-CN"/>
                    </w:rPr>
                    <w:t>排放</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color w:val="auto"/>
                      <w:szCs w:val="21"/>
                      <w:highlight w:val="none"/>
                      <w:u w:val="none"/>
                      <w:lang w:val="en-US" w:eastAsia="zh-CN"/>
                    </w:rPr>
                  </w:pPr>
                </w:p>
              </w:tc>
              <w:tc>
                <w:tcPr>
                  <w:tcW w:w="87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kern w:val="2"/>
                      <w:sz w:val="21"/>
                      <w:szCs w:val="21"/>
                      <w:highlight w:val="none"/>
                      <w:u w:val="none"/>
                      <w:lang w:val="en-US" w:eastAsia="zh-CN" w:bidi="ar-SA"/>
                    </w:rPr>
                  </w:pPr>
                  <w:r>
                    <w:rPr>
                      <w:rFonts w:hint="default" w:ascii="Times New Roman" w:hAnsi="Times New Roman" w:eastAsia="宋体" w:cs="Times New Roman"/>
                      <w:b w:val="0"/>
                      <w:bCs/>
                      <w:color w:val="auto"/>
                      <w:szCs w:val="21"/>
                      <w:u w:val="none"/>
                      <w:lang w:val="en-US" w:eastAsia="zh-CN"/>
                    </w:rPr>
                    <w:t>喷塑</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highlight w:val="none"/>
                      <w:u w:val="none"/>
                    </w:rPr>
                  </w:pPr>
                  <w:r>
                    <w:rPr>
                      <w:rFonts w:hint="default" w:ascii="Times New Roman" w:hAnsi="Times New Roman" w:eastAsia="宋体" w:cs="Times New Roman"/>
                      <w:b w:val="0"/>
                      <w:bCs/>
                      <w:color w:val="auto"/>
                      <w:szCs w:val="21"/>
                      <w:highlight w:val="none"/>
                      <w:u w:val="none"/>
                    </w:rPr>
                    <w:t>颗粒物</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sz w:val="21"/>
                      <w:szCs w:val="21"/>
                      <w:lang w:eastAsia="zh-CN"/>
                    </w:rPr>
                    <w:t>喷塑间密闭，喷塑</w:t>
                  </w:r>
                  <w:r>
                    <w:rPr>
                      <w:rFonts w:hint="eastAsia" w:cs="Times New Roman"/>
                      <w:color w:val="auto"/>
                      <w:sz w:val="21"/>
                      <w:szCs w:val="21"/>
                      <w:lang w:eastAsia="zh-CN"/>
                    </w:rPr>
                    <w:t>颗粒物</w:t>
                  </w:r>
                  <w:r>
                    <w:rPr>
                      <w:rFonts w:hint="eastAsia" w:ascii="Times New Roman" w:hAnsi="Times New Roman" w:cs="Times New Roman"/>
                      <w:color w:val="auto"/>
                      <w:sz w:val="21"/>
                      <w:szCs w:val="21"/>
                      <w:lang w:eastAsia="zh-CN"/>
                    </w:rPr>
                    <w:t>由管道收集</w:t>
                  </w:r>
                </w:p>
              </w:tc>
              <w:tc>
                <w:tcPr>
                  <w:tcW w:w="172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0"/>
                      <w:sz w:val="21"/>
                      <w:szCs w:val="21"/>
                      <w:highlight w:val="none"/>
                      <w:lang w:val="en-US" w:eastAsia="zh-CN"/>
                    </w:rPr>
                  </w:pP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4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lang w:val="en-US" w:eastAsia="zh-CN"/>
                    </w:rPr>
                  </w:pPr>
                </w:p>
              </w:tc>
              <w:tc>
                <w:tcPr>
                  <w:tcW w:w="3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color w:val="auto"/>
                      <w:kern w:val="2"/>
                      <w:sz w:val="21"/>
                      <w:szCs w:val="21"/>
                      <w:u w:val="none"/>
                      <w:lang w:val="en-US" w:eastAsia="zh-CN" w:bidi="ar-SA"/>
                    </w:rPr>
                  </w:pPr>
                  <w:r>
                    <w:rPr>
                      <w:rFonts w:hint="eastAsia" w:cs="Times New Roman"/>
                      <w:b w:val="0"/>
                      <w:bCs/>
                      <w:color w:val="auto"/>
                      <w:szCs w:val="21"/>
                      <w:highlight w:val="none"/>
                      <w:u w:val="none"/>
                      <w:lang w:val="en-US" w:eastAsia="zh-CN"/>
                    </w:rPr>
                    <w:t>烘烤</w:t>
                  </w:r>
                </w:p>
              </w:tc>
              <w:tc>
                <w:tcPr>
                  <w:tcW w:w="5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b w:val="0"/>
                      <w:bCs/>
                      <w:color w:val="auto"/>
                      <w:szCs w:val="21"/>
                      <w:highlight w:val="none"/>
                      <w:u w:val="none"/>
                      <w:lang w:val="en-US" w:eastAsia="zh-CN"/>
                    </w:rPr>
                  </w:pPr>
                  <w:r>
                    <w:rPr>
                      <w:rFonts w:hint="eastAsia" w:cs="Times New Roman"/>
                      <w:b w:val="0"/>
                      <w:bCs/>
                      <w:color w:val="auto"/>
                      <w:szCs w:val="21"/>
                      <w:highlight w:val="none"/>
                      <w:u w:val="none"/>
                      <w:lang w:val="en-US" w:eastAsia="zh-CN"/>
                    </w:rPr>
                    <w:t>烘烤有机废气</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lang w:val="en-US"/>
                    </w:rPr>
                  </w:pPr>
                  <w:r>
                    <w:rPr>
                      <w:rFonts w:hint="eastAsia" w:ascii="Times New Roman" w:hAnsi="Times New Roman" w:eastAsia="宋体" w:cs="Times New Roman"/>
                      <w:b w:val="0"/>
                      <w:bCs/>
                      <w:color w:val="auto"/>
                      <w:szCs w:val="21"/>
                      <w:u w:val="none"/>
                      <w:lang w:val="en-US" w:eastAsia="zh-CN"/>
                    </w:rPr>
                    <w:t>非甲烷总烃</w:t>
                  </w:r>
                </w:p>
              </w:tc>
              <w:tc>
                <w:tcPr>
                  <w:tcW w:w="751"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rPr>
                      <w:rFonts w:hint="eastAsia" w:ascii="Times New Roman" w:hAnsi="Times New Roman" w:eastAsia="宋体" w:cs="Times New Roman"/>
                      <w:b w:val="0"/>
                      <w:bCs/>
                      <w:color w:val="auto"/>
                      <w:kern w:val="0"/>
                      <w:sz w:val="21"/>
                      <w:szCs w:val="21"/>
                      <w:highlight w:val="none"/>
                      <w:u w:val="none"/>
                      <w:lang w:val="en-US" w:eastAsia="zh-CN"/>
                    </w:rPr>
                  </w:pPr>
                  <w:r>
                    <w:rPr>
                      <w:rFonts w:hint="eastAsia" w:cs="Times New Roman"/>
                      <w:color w:val="auto"/>
                      <w:sz w:val="21"/>
                      <w:szCs w:val="21"/>
                      <w:lang w:eastAsia="zh-CN"/>
                    </w:rPr>
                    <w:t>烘烤</w:t>
                  </w:r>
                  <w:r>
                    <w:rPr>
                      <w:rFonts w:hint="eastAsia" w:ascii="Times New Roman" w:hAnsi="Times New Roman" w:cs="Times New Roman"/>
                      <w:color w:val="auto"/>
                      <w:sz w:val="21"/>
                      <w:szCs w:val="21"/>
                      <w:lang w:eastAsia="zh-CN"/>
                    </w:rPr>
                    <w:t>间密闭，</w:t>
                  </w:r>
                  <w:r>
                    <w:rPr>
                      <w:rFonts w:hint="eastAsia" w:cs="Times New Roman"/>
                      <w:color w:val="auto"/>
                      <w:sz w:val="21"/>
                      <w:szCs w:val="21"/>
                      <w:lang w:eastAsia="zh-CN"/>
                    </w:rPr>
                    <w:t>烘烤</w:t>
                  </w:r>
                  <w:r>
                    <w:rPr>
                      <w:rFonts w:hint="eastAsia" w:ascii="Times New Roman" w:hAnsi="Times New Roman" w:cs="Times New Roman"/>
                      <w:color w:val="auto"/>
                      <w:sz w:val="21"/>
                      <w:szCs w:val="21"/>
                      <w:lang w:eastAsia="zh-CN"/>
                    </w:rPr>
                    <w:t>废气</w:t>
                  </w:r>
                  <w:r>
                    <w:rPr>
                      <w:rFonts w:hint="eastAsia" w:cs="Times New Roman"/>
                      <w:color w:val="auto"/>
                      <w:sz w:val="21"/>
                      <w:szCs w:val="21"/>
                      <w:lang w:eastAsia="zh-CN"/>
                    </w:rPr>
                    <w:t>（</w:t>
                  </w:r>
                  <w:r>
                    <w:rPr>
                      <w:rFonts w:hint="eastAsia" w:cs="Times New Roman"/>
                      <w:color w:val="auto"/>
                      <w:sz w:val="21"/>
                      <w:szCs w:val="21"/>
                      <w:lang w:val="en-US" w:eastAsia="zh-CN"/>
                    </w:rPr>
                    <w:t>有机废气</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由</w:t>
                  </w:r>
                  <w:r>
                    <w:rPr>
                      <w:rFonts w:hint="eastAsia" w:cs="Times New Roman"/>
                      <w:color w:val="auto"/>
                      <w:sz w:val="21"/>
                      <w:szCs w:val="21"/>
                      <w:lang w:val="en-US" w:eastAsia="zh-CN"/>
                    </w:rPr>
                    <w:t>集气系统</w:t>
                  </w:r>
                  <w:r>
                    <w:rPr>
                      <w:rFonts w:hint="eastAsia" w:ascii="Times New Roman" w:hAnsi="Times New Roman" w:cs="Times New Roman"/>
                      <w:color w:val="auto"/>
                      <w:sz w:val="21"/>
                      <w:szCs w:val="21"/>
                      <w:lang w:eastAsia="zh-CN"/>
                    </w:rPr>
                    <w:t>收集</w:t>
                  </w:r>
                </w:p>
              </w:tc>
              <w:tc>
                <w:tcPr>
                  <w:tcW w:w="1729"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rPr>
                      <w:rFonts w:hint="eastAsia" w:ascii="Times New Roman" w:hAnsi="Times New Roman" w:eastAsia="宋体" w:cs="Times New Roman"/>
                      <w:b w:val="0"/>
                      <w:bCs/>
                      <w:color w:val="auto"/>
                      <w:kern w:val="0"/>
                      <w:sz w:val="21"/>
                      <w:szCs w:val="21"/>
                      <w:highlight w:val="none"/>
                      <w:u w:val="none"/>
                      <w:lang w:val="en-US" w:eastAsia="zh-CN"/>
                    </w:rPr>
                  </w:pPr>
                  <w:r>
                    <w:rPr>
                      <w:rFonts w:hint="eastAsia" w:ascii="Times New Roman" w:hAnsi="Times New Roman" w:eastAsia="宋体" w:cs="Times New Roman"/>
                      <w:b w:val="0"/>
                      <w:bCs w:val="0"/>
                      <w:color w:val="auto"/>
                      <w:sz w:val="21"/>
                      <w:szCs w:val="21"/>
                      <w:u w:val="none"/>
                      <w:lang w:val="en-US" w:eastAsia="zh-CN"/>
                    </w:rPr>
                    <w:t>采用1套“UV光催化氧化+活性炭吸附装置”</w:t>
                  </w:r>
                  <w:r>
                    <w:rPr>
                      <w:rFonts w:hint="eastAsia" w:cs="Times New Roman"/>
                      <w:b w:val="0"/>
                      <w:bCs/>
                      <w:color w:val="auto"/>
                      <w:sz w:val="21"/>
                      <w:szCs w:val="21"/>
                      <w:vertAlign w:val="baseline"/>
                      <w:lang w:val="en-US" w:eastAsia="zh-CN"/>
                    </w:rPr>
                    <w:t>处理后</w:t>
                  </w:r>
                  <w:r>
                    <w:rPr>
                      <w:rFonts w:hint="eastAsia" w:ascii="Times New Roman" w:hAnsi="Times New Roman" w:eastAsia="宋体" w:cs="Times New Roman"/>
                      <w:b w:val="0"/>
                      <w:bCs w:val="0"/>
                      <w:color w:val="auto"/>
                      <w:sz w:val="21"/>
                      <w:szCs w:val="21"/>
                      <w:u w:val="none"/>
                      <w:lang w:val="en-US" w:eastAsia="zh-CN"/>
                    </w:rPr>
                    <w:t>由1根15米高排气筒</w:t>
                  </w:r>
                  <w:r>
                    <w:rPr>
                      <w:rFonts w:hint="eastAsia" w:cs="Times New Roman"/>
                      <w:b w:val="0"/>
                      <w:bCs w:val="0"/>
                      <w:color w:val="auto"/>
                      <w:sz w:val="21"/>
                      <w:szCs w:val="21"/>
                      <w:u w:val="none"/>
                      <w:lang w:val="en-US" w:eastAsia="zh-CN"/>
                    </w:rPr>
                    <w:t>P2</w:t>
                  </w:r>
                  <w:r>
                    <w:rPr>
                      <w:rFonts w:hint="eastAsia" w:ascii="Times New Roman" w:hAnsi="Times New Roman" w:eastAsia="宋体" w:cs="Times New Roman"/>
                      <w:b w:val="0"/>
                      <w:bCs w:val="0"/>
                      <w:color w:val="auto"/>
                      <w:sz w:val="21"/>
                      <w:szCs w:val="21"/>
                      <w:u w:val="none"/>
                      <w:lang w:val="en-US" w:eastAsia="zh-CN"/>
                    </w:rPr>
                    <w:t>（DA002）排放</w:t>
                  </w:r>
                  <w:r>
                    <w:rPr>
                      <w:rFonts w:hint="eastAsia" w:cs="Times New Roman"/>
                      <w:b w:val="0"/>
                      <w:bCs w:val="0"/>
                      <w:color w:val="auto"/>
                      <w:sz w:val="21"/>
                      <w:szCs w:val="21"/>
                      <w:u w:val="none"/>
                      <w:lang w:val="en-US" w:eastAsia="zh-CN"/>
                    </w:rPr>
                    <w:t>，其中活性炭吸附工艺需满足以下要求：颗粒状、柱状活性炭碘值不低于800毫克/克，蜂窝状活性炭碘值不低于650毫克/克</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48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pPr>
                </w:p>
              </w:tc>
              <w:tc>
                <w:tcPr>
                  <w:tcW w:w="3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pPr>
                </w:p>
              </w:tc>
              <w:tc>
                <w:tcPr>
                  <w:tcW w:w="36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pPr>
                </w:p>
              </w:tc>
              <w:tc>
                <w:tcPr>
                  <w:tcW w:w="511"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rPr>
                      <w:rFonts w:hint="default" w:eastAsia="宋体"/>
                      <w:lang w:val="en-US" w:eastAsia="zh-CN"/>
                    </w:rPr>
                  </w:pPr>
                  <w:r>
                    <w:rPr>
                      <w:rFonts w:hint="eastAsia"/>
                      <w:lang w:val="en-US" w:eastAsia="zh-CN"/>
                    </w:rPr>
                    <w:t>烘烤燃烧废气</w:t>
                  </w:r>
                </w:p>
              </w:tc>
              <w:tc>
                <w:tcPr>
                  <w:tcW w:w="828"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rPr>
                      <w:rFonts w:hint="eastAsia" w:ascii="Times New Roman" w:hAnsi="Times New Roman" w:eastAsia="宋体" w:cs="Times New Roman"/>
                      <w:b w:val="0"/>
                      <w:bCs/>
                      <w:color w:val="auto"/>
                      <w:szCs w:val="21"/>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颗粒物</w:t>
                  </w:r>
                  <w:r>
                    <w:rPr>
                      <w:rFonts w:hint="default" w:ascii="Times New Roman" w:hAnsi="Times New Roman" w:eastAsia="宋体" w:cs="Times New Roman"/>
                      <w:b w:val="0"/>
                      <w:bCs/>
                      <w:color w:val="auto"/>
                      <w:sz w:val="21"/>
                      <w:szCs w:val="21"/>
                      <w:highlight w:val="none"/>
                      <w:u w:val="none"/>
                      <w:lang w:val="en-US" w:eastAsia="zh-CN"/>
                    </w:rPr>
                    <w:t>、SO</w:t>
                  </w:r>
                  <w:r>
                    <w:rPr>
                      <w:rFonts w:hint="default" w:ascii="Times New Roman" w:hAnsi="Times New Roman" w:eastAsia="宋体" w:cs="Times New Roman"/>
                      <w:b w:val="0"/>
                      <w:bCs/>
                      <w:color w:val="auto"/>
                      <w:sz w:val="21"/>
                      <w:szCs w:val="21"/>
                      <w:highlight w:val="none"/>
                      <w:u w:val="none"/>
                      <w:vertAlign w:val="subscript"/>
                      <w:lang w:val="en-US" w:eastAsia="zh-CN"/>
                    </w:rPr>
                    <w:t>2</w:t>
                  </w:r>
                  <w:r>
                    <w:rPr>
                      <w:rFonts w:hint="default" w:ascii="Times New Roman" w:hAnsi="Times New Roman" w:eastAsia="宋体" w:cs="Times New Roman"/>
                      <w:b w:val="0"/>
                      <w:bCs/>
                      <w:color w:val="auto"/>
                      <w:sz w:val="21"/>
                      <w:szCs w:val="21"/>
                      <w:highlight w:val="none"/>
                      <w:u w:val="none"/>
                      <w:lang w:val="en-US" w:eastAsia="zh-CN"/>
                    </w:rPr>
                    <w:t>、NO</w:t>
                  </w:r>
                  <w:r>
                    <w:rPr>
                      <w:rFonts w:hint="default" w:ascii="Times New Roman" w:hAnsi="Times New Roman" w:eastAsia="宋体" w:cs="Times New Roman"/>
                      <w:b w:val="0"/>
                      <w:bCs/>
                      <w:color w:val="auto"/>
                      <w:sz w:val="21"/>
                      <w:szCs w:val="21"/>
                      <w:highlight w:val="none"/>
                      <w:u w:val="none"/>
                      <w:vertAlign w:val="subscript"/>
                      <w:lang w:val="en-US" w:eastAsia="zh-CN"/>
                    </w:rPr>
                    <w:t>X</w:t>
                  </w:r>
                </w:p>
              </w:tc>
              <w:tc>
                <w:tcPr>
                  <w:tcW w:w="751"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rPr>
                      <w:rFonts w:hint="eastAsia" w:ascii="Times New Roman" w:hAnsi="Times New Roman" w:eastAsia="宋体" w:cs="Times New Roman"/>
                      <w:b w:val="0"/>
                      <w:bCs/>
                      <w:color w:val="auto"/>
                      <w:szCs w:val="21"/>
                      <w:u w:val="none"/>
                      <w:lang w:val="en-US" w:eastAsia="zh-CN"/>
                    </w:rPr>
                  </w:pPr>
                  <w:r>
                    <w:rPr>
                      <w:rFonts w:hint="eastAsia" w:cs="Times New Roman"/>
                      <w:color w:val="auto"/>
                      <w:sz w:val="21"/>
                      <w:szCs w:val="21"/>
                      <w:lang w:eastAsia="zh-CN"/>
                    </w:rPr>
                    <w:t>烘烤</w:t>
                  </w:r>
                  <w:r>
                    <w:rPr>
                      <w:rFonts w:hint="eastAsia" w:ascii="Times New Roman" w:hAnsi="Times New Roman" w:cs="Times New Roman"/>
                      <w:color w:val="auto"/>
                      <w:sz w:val="21"/>
                      <w:szCs w:val="21"/>
                      <w:lang w:eastAsia="zh-CN"/>
                    </w:rPr>
                    <w:t>间密闭，</w:t>
                  </w:r>
                  <w:r>
                    <w:rPr>
                      <w:rFonts w:hint="eastAsia" w:cs="Times New Roman"/>
                      <w:color w:val="auto"/>
                      <w:sz w:val="21"/>
                      <w:szCs w:val="21"/>
                      <w:lang w:eastAsia="zh-CN"/>
                    </w:rPr>
                    <w:t>烘烤</w:t>
                  </w:r>
                  <w:r>
                    <w:rPr>
                      <w:rFonts w:hint="eastAsia" w:ascii="Times New Roman" w:hAnsi="Times New Roman" w:cs="Times New Roman"/>
                      <w:color w:val="auto"/>
                      <w:sz w:val="21"/>
                      <w:szCs w:val="21"/>
                      <w:lang w:eastAsia="zh-CN"/>
                    </w:rPr>
                    <w:t>废气</w:t>
                  </w:r>
                  <w:r>
                    <w:rPr>
                      <w:rFonts w:hint="eastAsia" w:cs="Times New Roman"/>
                      <w:color w:val="auto"/>
                      <w:sz w:val="21"/>
                      <w:szCs w:val="21"/>
                      <w:lang w:eastAsia="zh-CN"/>
                    </w:rPr>
                    <w:t>（</w:t>
                  </w:r>
                  <w:r>
                    <w:rPr>
                      <w:rFonts w:hint="eastAsia" w:cs="Times New Roman"/>
                      <w:color w:val="auto"/>
                      <w:sz w:val="21"/>
                      <w:szCs w:val="21"/>
                      <w:lang w:val="en-US" w:eastAsia="zh-CN"/>
                    </w:rPr>
                    <w:t>燃烧废气</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由</w:t>
                  </w:r>
                  <w:r>
                    <w:rPr>
                      <w:rFonts w:hint="eastAsia" w:cs="Times New Roman"/>
                      <w:color w:val="auto"/>
                      <w:sz w:val="21"/>
                      <w:szCs w:val="21"/>
                      <w:lang w:val="en-US" w:eastAsia="zh-CN"/>
                    </w:rPr>
                    <w:t>集气系统</w:t>
                  </w:r>
                  <w:r>
                    <w:rPr>
                      <w:rFonts w:hint="eastAsia" w:ascii="Times New Roman" w:hAnsi="Times New Roman" w:cs="Times New Roman"/>
                      <w:color w:val="auto"/>
                      <w:sz w:val="21"/>
                      <w:szCs w:val="21"/>
                      <w:lang w:eastAsia="zh-CN"/>
                    </w:rPr>
                    <w:t>收集</w:t>
                  </w:r>
                </w:p>
              </w:tc>
              <w:tc>
                <w:tcPr>
                  <w:tcW w:w="1729"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b w:val="0"/>
                      <w:bCs/>
                      <w:color w:val="auto"/>
                      <w:szCs w:val="21"/>
                      <w:u w:val="none"/>
                      <w:lang w:val="en-US" w:eastAsia="zh-CN"/>
                    </w:rPr>
                  </w:pPr>
                  <w:r>
                    <w:rPr>
                      <w:rFonts w:hint="eastAsia"/>
                      <w:lang w:val="en-US" w:eastAsia="zh-CN"/>
                    </w:rPr>
                    <w:t>项目烘烤工序采用的燃料为天然气，属于清洁能源；本次评价要求烘烤工序燃烧机配备低氮燃烧装置，减少氮氧化物的排放。经计算可知本项目烘烤燃烧废气可满足相应标准的限值要求。本项目烘烤燃烧废气（配备低氮燃烧）与烘烤废气（有机废气）共同经</w:t>
                  </w:r>
                  <w:r>
                    <w:rPr>
                      <w:rFonts w:hint="eastAsia" w:ascii="Times New Roman" w:hAnsi="Times New Roman" w:cs="Times New Roman"/>
                      <w:b w:val="0"/>
                      <w:bCs w:val="0"/>
                      <w:color w:val="000000"/>
                      <w:szCs w:val="21"/>
                      <w:u w:val="none"/>
                      <w:lang w:val="en-US" w:eastAsia="zh-CN"/>
                    </w:rPr>
                    <w:t>1根15m排气筒</w:t>
                  </w:r>
                  <w:r>
                    <w:rPr>
                      <w:rFonts w:hint="eastAsia" w:cs="Times New Roman"/>
                      <w:b w:val="0"/>
                      <w:bCs w:val="0"/>
                      <w:color w:val="000000"/>
                      <w:szCs w:val="21"/>
                      <w:u w:val="none"/>
                      <w:lang w:val="en-US" w:eastAsia="zh-CN"/>
                    </w:rPr>
                    <w:t>P2</w:t>
                  </w:r>
                  <w:r>
                    <w:rPr>
                      <w:rFonts w:hint="eastAsia" w:ascii="Times New Roman" w:hAnsi="Times New Roman" w:cs="Times New Roman"/>
                      <w:b w:val="0"/>
                      <w:bCs w:val="0"/>
                      <w:color w:val="000000"/>
                      <w:szCs w:val="21"/>
                      <w:u w:val="none"/>
                      <w:lang w:val="en-US" w:eastAsia="zh-CN"/>
                    </w:rPr>
                    <w:t>（DA002）排放。</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p>
              </w:tc>
              <w:tc>
                <w:tcPr>
                  <w:tcW w:w="32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b w:val="0"/>
                      <w:bCs/>
                      <w:color w:val="auto"/>
                      <w:szCs w:val="21"/>
                      <w:highlight w:val="none"/>
                      <w:u w:val="none"/>
                      <w:lang w:val="en-US" w:eastAsia="zh-CN"/>
                    </w:rPr>
                  </w:pPr>
                  <w:r>
                    <w:rPr>
                      <w:rFonts w:hint="eastAsia" w:cs="Times New Roman"/>
                      <w:b w:val="0"/>
                      <w:bCs/>
                      <w:color w:val="auto"/>
                      <w:szCs w:val="21"/>
                      <w:highlight w:val="none"/>
                      <w:u w:val="none"/>
                      <w:lang w:val="en-US" w:eastAsia="zh-CN"/>
                    </w:rPr>
                    <w:t>无组织</w:t>
                  </w:r>
                </w:p>
              </w:tc>
              <w:tc>
                <w:tcPr>
                  <w:tcW w:w="878"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cs="Times New Roman"/>
                      <w:b w:val="0"/>
                      <w:bCs/>
                      <w:color w:val="auto"/>
                      <w:szCs w:val="21"/>
                      <w:highlight w:val="none"/>
                      <w:u w:val="none"/>
                      <w:lang w:val="en-US" w:eastAsia="zh-CN"/>
                    </w:rPr>
                  </w:pPr>
                  <w:r>
                    <w:rPr>
                      <w:rFonts w:hint="eastAsia"/>
                      <w:lang w:val="en-US" w:eastAsia="zh-CN"/>
                    </w:rPr>
                    <w:t>切割、焊接抛光以及</w:t>
                  </w:r>
                  <w:r>
                    <w:rPr>
                      <w:rFonts w:hint="eastAsia" w:cs="Times New Roman"/>
                      <w:kern w:val="2"/>
                      <w:sz w:val="21"/>
                      <w:szCs w:val="24"/>
                      <w:lang w:val="en-US" w:eastAsia="zh-CN" w:bidi="ar-SA"/>
                    </w:rPr>
                    <w:t>喷塑</w:t>
                  </w:r>
                  <w:r>
                    <w:rPr>
                      <w:rFonts w:hint="eastAsia" w:cs="Times New Roman"/>
                      <w:color w:val="000000"/>
                      <w:sz w:val="21"/>
                      <w:u w:val="none"/>
                      <w:lang w:val="en-US" w:eastAsia="zh-CN"/>
                    </w:rPr>
                    <w:t>工序废气</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lang w:val="en-US" w:eastAsia="zh-CN"/>
                    </w:rPr>
                  </w:pPr>
                  <w:r>
                    <w:rPr>
                      <w:rFonts w:hint="eastAsia" w:cs="Times New Roman"/>
                      <w:b w:val="0"/>
                      <w:bCs/>
                      <w:color w:val="auto"/>
                      <w:szCs w:val="21"/>
                      <w:u w:val="none"/>
                      <w:lang w:val="en-US" w:eastAsia="zh-CN"/>
                    </w:rPr>
                    <w:t>颗粒物</w:t>
                  </w:r>
                </w:p>
              </w:tc>
              <w:tc>
                <w:tcPr>
                  <w:tcW w:w="24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密闭车间，定期清扫并且车间外围和道路绿化</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b w:val="0"/>
                      <w:bCs/>
                      <w:color w:val="auto"/>
                      <w:szCs w:val="21"/>
                      <w:highlight w:val="none"/>
                      <w:u w:val="none"/>
                      <w:lang w:val="en-US" w:eastAsia="zh-CN"/>
                    </w:rPr>
                  </w:pPr>
                </w:p>
              </w:tc>
              <w:tc>
                <w:tcPr>
                  <w:tcW w:w="87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b w:val="0"/>
                      <w:bCs/>
                      <w:color w:val="auto"/>
                      <w:szCs w:val="21"/>
                      <w:highlight w:val="none"/>
                      <w:u w:val="none"/>
                      <w:lang w:val="en-US" w:eastAsia="zh-CN"/>
                    </w:rPr>
                  </w:pPr>
                  <w:r>
                    <w:rPr>
                      <w:rFonts w:hint="eastAsia" w:cs="Times New Roman"/>
                      <w:kern w:val="2"/>
                      <w:sz w:val="21"/>
                      <w:szCs w:val="24"/>
                      <w:lang w:val="en-US" w:eastAsia="zh-CN" w:bidi="ar-SA"/>
                    </w:rPr>
                    <w:t>烘烤废气（有机废气）</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lang w:val="en-US" w:eastAsia="zh-CN"/>
                    </w:rPr>
                  </w:pPr>
                  <w:r>
                    <w:rPr>
                      <w:rFonts w:hint="eastAsia" w:cs="Times New Roman"/>
                      <w:b w:val="0"/>
                      <w:bCs/>
                      <w:color w:val="auto"/>
                      <w:szCs w:val="21"/>
                      <w:u w:val="none"/>
                      <w:lang w:val="en-US" w:eastAsia="zh-CN"/>
                    </w:rPr>
                    <w:t>非甲烷总烃</w:t>
                  </w:r>
                </w:p>
              </w:tc>
              <w:tc>
                <w:tcPr>
                  <w:tcW w:w="248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加强车间密闭</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b w:val="0"/>
                      <w:bCs/>
                      <w:color w:val="auto"/>
                      <w:szCs w:val="21"/>
                      <w:highlight w:val="none"/>
                      <w:u w:val="none"/>
                      <w:lang w:val="en-US" w:eastAsia="zh-CN"/>
                    </w:rPr>
                  </w:pPr>
                </w:p>
              </w:tc>
              <w:tc>
                <w:tcPr>
                  <w:tcW w:w="878" w:type="pct"/>
                  <w:gridSpan w:val="2"/>
                  <w:noWrap w:val="0"/>
                  <w:vAlign w:val="center"/>
                </w:tcPr>
                <w:p>
                  <w:pPr>
                    <w:keepNext w:val="0"/>
                    <w:keepLines w:val="0"/>
                    <w:pageBreakBefore w:val="0"/>
                    <w:kinsoku/>
                    <w:wordWrap/>
                    <w:overflowPunct/>
                    <w:topLinePunct w:val="0"/>
                    <w:autoSpaceDE/>
                    <w:autoSpaceDN/>
                    <w:bidi w:val="0"/>
                    <w:spacing w:line="360" w:lineRule="exact"/>
                    <w:jc w:val="center"/>
                    <w:rPr>
                      <w:rFonts w:hint="eastAsia" w:cs="Times New Roman"/>
                      <w:b w:val="0"/>
                      <w:bCs/>
                      <w:color w:val="auto"/>
                      <w:szCs w:val="21"/>
                      <w:highlight w:val="none"/>
                      <w:u w:val="none"/>
                      <w:lang w:val="en-US" w:eastAsia="zh-CN"/>
                    </w:rPr>
                  </w:pPr>
                  <w:r>
                    <w:rPr>
                      <w:rFonts w:hint="eastAsia" w:cs="Times New Roman"/>
                      <w:kern w:val="2"/>
                      <w:sz w:val="21"/>
                      <w:szCs w:val="24"/>
                      <w:lang w:val="en-US" w:eastAsia="zh-CN" w:bidi="ar-SA"/>
                    </w:rPr>
                    <w:t>烘烤燃烧废气</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color w:val="auto"/>
                      <w:szCs w:val="21"/>
                      <w:u w:val="none"/>
                      <w:lang w:val="en-US" w:eastAsia="zh-CN"/>
                    </w:rPr>
                  </w:pPr>
                  <w:r>
                    <w:rPr>
                      <w:rFonts w:hint="eastAsia" w:cs="Times New Roman"/>
                      <w:color w:val="000000"/>
                      <w:kern w:val="2"/>
                      <w:sz w:val="21"/>
                      <w:szCs w:val="24"/>
                      <w:lang w:val="en-US" w:eastAsia="zh-CN" w:bidi="ar-SA"/>
                    </w:rPr>
                    <w:t>SO</w:t>
                  </w:r>
                  <w:r>
                    <w:rPr>
                      <w:rFonts w:hint="eastAsia" w:cs="Times New Roman"/>
                      <w:color w:val="000000"/>
                      <w:kern w:val="2"/>
                      <w:sz w:val="21"/>
                      <w:szCs w:val="24"/>
                      <w:vertAlign w:val="subscript"/>
                      <w:lang w:val="en-US" w:eastAsia="zh-CN" w:bidi="ar-SA"/>
                    </w:rPr>
                    <w:t>2</w:t>
                  </w:r>
                  <w:r>
                    <w:rPr>
                      <w:rFonts w:hint="eastAsia" w:cs="Times New Roman"/>
                      <w:color w:val="000000"/>
                      <w:kern w:val="2"/>
                      <w:sz w:val="21"/>
                      <w:szCs w:val="24"/>
                      <w:lang w:val="en-US" w:eastAsia="zh-CN" w:bidi="ar-SA"/>
                    </w:rPr>
                    <w:t>、NOx</w:t>
                  </w:r>
                </w:p>
              </w:tc>
              <w:tc>
                <w:tcPr>
                  <w:tcW w:w="24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加强车间密闭</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废水</w:t>
                  </w:r>
                </w:p>
              </w:tc>
              <w:tc>
                <w:tcPr>
                  <w:tcW w:w="120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color w:val="auto"/>
                      <w:szCs w:val="21"/>
                      <w:u w:val="none"/>
                      <w:lang w:val="en-US" w:eastAsia="zh-CN"/>
                    </w:rPr>
                  </w:pPr>
                  <w:r>
                    <w:rPr>
                      <w:rFonts w:hint="default" w:ascii="Times New Roman" w:hAnsi="Times New Roman" w:eastAsia="宋体" w:cs="Times New Roman"/>
                      <w:b w:val="0"/>
                      <w:bCs/>
                      <w:color w:val="auto"/>
                      <w:szCs w:val="21"/>
                      <w:u w:val="none"/>
                    </w:rPr>
                    <w:t>员工生活</w:t>
                  </w:r>
                  <w:r>
                    <w:rPr>
                      <w:rFonts w:hint="eastAsia" w:ascii="Times New Roman" w:hAnsi="Times New Roman" w:eastAsia="宋体" w:cs="Times New Roman"/>
                      <w:b w:val="0"/>
                      <w:bCs/>
                      <w:color w:val="auto"/>
                      <w:szCs w:val="21"/>
                      <w:u w:val="none"/>
                      <w:lang w:val="en-US" w:eastAsia="zh-CN"/>
                    </w:rPr>
                    <w:t>污水</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COD、BOD</w:t>
                  </w:r>
                  <w:r>
                    <w:rPr>
                      <w:rFonts w:hint="default" w:ascii="Times New Roman" w:hAnsi="Times New Roman" w:eastAsia="宋体" w:cs="Times New Roman"/>
                      <w:b w:val="0"/>
                      <w:bCs/>
                      <w:color w:val="auto"/>
                      <w:szCs w:val="21"/>
                      <w:u w:val="none"/>
                      <w:vertAlign w:val="subscript"/>
                    </w:rPr>
                    <w:t>5</w:t>
                  </w:r>
                  <w:r>
                    <w:rPr>
                      <w:rFonts w:hint="default" w:ascii="Times New Roman" w:hAnsi="Times New Roman" w:eastAsia="宋体" w:cs="Times New Roman"/>
                      <w:b w:val="0"/>
                      <w:bCs/>
                      <w:color w:val="auto"/>
                      <w:szCs w:val="21"/>
                      <w:u w:val="none"/>
                    </w:rPr>
                    <w:t>、SS、NH</w:t>
                  </w:r>
                  <w:r>
                    <w:rPr>
                      <w:rFonts w:hint="default" w:ascii="Times New Roman" w:hAnsi="Times New Roman" w:eastAsia="宋体" w:cs="Times New Roman"/>
                      <w:b w:val="0"/>
                      <w:bCs/>
                      <w:color w:val="auto"/>
                      <w:szCs w:val="21"/>
                      <w:u w:val="none"/>
                      <w:vertAlign w:val="subscript"/>
                    </w:rPr>
                    <w:t>3</w:t>
                  </w:r>
                  <w:r>
                    <w:rPr>
                      <w:rFonts w:hint="default" w:ascii="Times New Roman" w:hAnsi="Times New Roman" w:eastAsia="宋体" w:cs="Times New Roman"/>
                      <w:b w:val="0"/>
                      <w:bCs/>
                      <w:color w:val="auto"/>
                      <w:szCs w:val="21"/>
                      <w:u w:val="none"/>
                    </w:rPr>
                    <w:t>-N</w:t>
                  </w:r>
                </w:p>
              </w:tc>
              <w:tc>
                <w:tcPr>
                  <w:tcW w:w="248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lang w:val="en-US" w:eastAsia="zh-CN"/>
                    </w:rPr>
                  </w:pPr>
                  <w:r>
                    <w:rPr>
                      <w:rFonts w:hint="eastAsia" w:ascii="Times New Roman" w:hAnsi="Times New Roman" w:eastAsia="宋体" w:cs="Times New Roman"/>
                      <w:b w:val="0"/>
                      <w:bCs/>
                      <w:color w:val="auto"/>
                      <w:szCs w:val="21"/>
                      <w:u w:val="none"/>
                      <w:lang w:val="en-US" w:eastAsia="zh-CN"/>
                    </w:rPr>
                    <w:t>经厂区化粪池处理后经污水管网进入</w:t>
                  </w:r>
                  <w:r>
                    <w:rPr>
                      <w:rFonts w:hint="eastAsia" w:cs="Times New Roman"/>
                      <w:b w:val="0"/>
                      <w:bCs/>
                      <w:color w:val="auto"/>
                      <w:szCs w:val="21"/>
                      <w:u w:val="none"/>
                      <w:lang w:val="en-US" w:eastAsia="zh-CN"/>
                    </w:rPr>
                    <w:t>鲁山</w:t>
                  </w:r>
                  <w:r>
                    <w:rPr>
                      <w:rFonts w:hint="eastAsia" w:ascii="Times New Roman" w:hAnsi="Times New Roman" w:eastAsia="宋体" w:cs="Times New Roman"/>
                      <w:b w:val="0"/>
                      <w:bCs/>
                      <w:color w:val="auto"/>
                      <w:szCs w:val="21"/>
                      <w:u w:val="none"/>
                      <w:lang w:val="en-US" w:eastAsia="zh-CN"/>
                    </w:rPr>
                    <w:t>县产业集聚区污水处理厂进一步</w:t>
                  </w:r>
                  <w:r>
                    <w:rPr>
                      <w:rFonts w:hint="eastAsia" w:cs="Times New Roman"/>
                      <w:b w:val="0"/>
                      <w:bCs/>
                      <w:color w:val="auto"/>
                      <w:szCs w:val="21"/>
                      <w:u w:val="none"/>
                      <w:lang w:val="en-US" w:eastAsia="zh-CN"/>
                    </w:rPr>
                    <w:t>达标</w:t>
                  </w:r>
                  <w:r>
                    <w:rPr>
                      <w:rFonts w:hint="eastAsia" w:ascii="Times New Roman" w:hAnsi="Times New Roman" w:eastAsia="宋体" w:cs="Times New Roman"/>
                      <w:b w:val="0"/>
                      <w:bCs/>
                      <w:color w:val="auto"/>
                      <w:szCs w:val="21"/>
                      <w:u w:val="none"/>
                      <w:lang w:val="en-US" w:eastAsia="zh-CN"/>
                    </w:rPr>
                    <w:t>处理</w:t>
                  </w:r>
                  <w:r>
                    <w:rPr>
                      <w:rFonts w:hint="eastAsia"/>
                      <w:lang w:val="en-US" w:eastAsia="zh-CN"/>
                    </w:rPr>
                    <w:t>，最终全部中水回用。</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噪声</w:t>
                  </w:r>
                </w:p>
              </w:tc>
              <w:tc>
                <w:tcPr>
                  <w:tcW w:w="120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lang w:val="en-US"/>
                    </w:rPr>
                  </w:pPr>
                  <w:r>
                    <w:rPr>
                      <w:rFonts w:hint="eastAsia" w:ascii="Times New Roman" w:hAnsi="Times New Roman" w:eastAsia="宋体" w:cs="Times New Roman"/>
                      <w:b w:val="0"/>
                      <w:bCs/>
                      <w:color w:val="auto"/>
                      <w:szCs w:val="21"/>
                      <w:u w:val="none"/>
                      <w:lang w:val="en-US" w:eastAsia="zh-CN"/>
                    </w:rPr>
                    <w:t>设备运行</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设备噪声</w:t>
                  </w:r>
                </w:p>
              </w:tc>
              <w:tc>
                <w:tcPr>
                  <w:tcW w:w="248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lang w:val="en-US" w:eastAsia="zh-CN"/>
                    </w:rPr>
                  </w:pPr>
                  <w:r>
                    <w:rPr>
                      <w:rFonts w:hint="eastAsia" w:ascii="Times New Roman" w:hAnsi="Times New Roman" w:eastAsia="宋体" w:cs="Times New Roman"/>
                      <w:b w:val="0"/>
                      <w:bCs/>
                      <w:color w:val="auto"/>
                      <w:szCs w:val="21"/>
                      <w:u w:val="none"/>
                      <w:lang w:val="en-US" w:eastAsia="zh-CN"/>
                    </w:rPr>
                    <w:t>基础减振、厂房隔声</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固废</w:t>
                  </w:r>
                </w:p>
              </w:tc>
              <w:tc>
                <w:tcPr>
                  <w:tcW w:w="120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szCs w:val="21"/>
                      <w:u w:val="none"/>
                      <w:lang w:val="en-US" w:eastAsia="zh-CN"/>
                    </w:rPr>
                    <w:t>切割</w:t>
                  </w:r>
                  <w:r>
                    <w:rPr>
                      <w:rFonts w:hint="eastAsia" w:cs="Times New Roman"/>
                      <w:b w:val="0"/>
                      <w:bCs/>
                      <w:color w:val="auto"/>
                      <w:szCs w:val="21"/>
                      <w:u w:val="none"/>
                      <w:lang w:val="en-US" w:eastAsia="zh-CN"/>
                    </w:rPr>
                    <w:t>、抛光</w:t>
                  </w:r>
                  <w:r>
                    <w:rPr>
                      <w:rFonts w:hint="default" w:ascii="Times New Roman" w:hAnsi="Times New Roman" w:eastAsia="宋体" w:cs="Times New Roman"/>
                      <w:b w:val="0"/>
                      <w:bCs/>
                      <w:color w:val="auto"/>
                      <w:szCs w:val="21"/>
                      <w:u w:val="none"/>
                      <w:lang w:val="en-US" w:eastAsia="zh-CN"/>
                    </w:rPr>
                    <w:t>工序</w:t>
                  </w:r>
                </w:p>
              </w:tc>
              <w:tc>
                <w:tcPr>
                  <w:tcW w:w="828" w:type="pct"/>
                  <w:noWrap w:val="0"/>
                  <w:vAlign w:val="center"/>
                </w:tcPr>
                <w:p>
                  <w:pPr>
                    <w:keepNext w:val="0"/>
                    <w:keepLines w:val="0"/>
                    <w:pageBreakBefore w:val="0"/>
                    <w:widowControl w:val="0"/>
                    <w:tabs>
                      <w:tab w:val="left" w:pos="6593"/>
                    </w:tabs>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szCs w:val="21"/>
                      <w:u w:val="none"/>
                      <w:lang w:val="en-US" w:eastAsia="zh-CN"/>
                    </w:rPr>
                    <w:t>废</w:t>
                  </w:r>
                  <w:r>
                    <w:rPr>
                      <w:rFonts w:hint="default" w:ascii="Times New Roman" w:hAnsi="Times New Roman" w:eastAsia="宋体" w:cs="Times New Roman"/>
                      <w:b w:val="0"/>
                      <w:bCs/>
                      <w:color w:val="auto"/>
                      <w:szCs w:val="21"/>
                      <w:u w:val="none"/>
                    </w:rPr>
                    <w:t>边角料</w:t>
                  </w:r>
                </w:p>
              </w:tc>
              <w:tc>
                <w:tcPr>
                  <w:tcW w:w="2481"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一般固废暂存</w:t>
                  </w:r>
                  <w:r>
                    <w:rPr>
                      <w:rFonts w:hint="eastAsia" w:cs="Times New Roman"/>
                      <w:b w:val="0"/>
                      <w:bCs/>
                      <w:color w:val="auto"/>
                      <w:szCs w:val="21"/>
                      <w:u w:val="none"/>
                      <w:lang w:val="en-US" w:eastAsia="zh-CN"/>
                    </w:rPr>
                    <w:t>区</w:t>
                  </w:r>
                  <w:r>
                    <w:rPr>
                      <w:rFonts w:hint="default" w:ascii="Times New Roman" w:hAnsi="Times New Roman" w:eastAsia="宋体" w:cs="Times New Roman"/>
                      <w:b w:val="0"/>
                      <w:bCs/>
                      <w:color w:val="auto"/>
                      <w:szCs w:val="21"/>
                      <w:u w:val="none"/>
                    </w:rPr>
                    <w:t>暂存，</w:t>
                  </w:r>
                  <w:r>
                    <w:rPr>
                      <w:rFonts w:hint="eastAsia" w:cs="Times New Roman"/>
                      <w:b w:val="0"/>
                      <w:bCs/>
                      <w:color w:val="auto"/>
                      <w:szCs w:val="21"/>
                      <w:u w:val="none"/>
                      <w:lang w:val="en-US" w:eastAsia="zh-CN"/>
                    </w:rPr>
                    <w:t>定期</w:t>
                  </w:r>
                  <w:r>
                    <w:rPr>
                      <w:rFonts w:hint="default" w:ascii="Times New Roman" w:hAnsi="Times New Roman" w:eastAsia="宋体" w:cs="Times New Roman"/>
                      <w:b w:val="0"/>
                      <w:bCs/>
                      <w:color w:val="auto"/>
                      <w:szCs w:val="21"/>
                      <w:u w:val="none"/>
                    </w:rPr>
                    <w:t>外售</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p>
              </w:tc>
              <w:tc>
                <w:tcPr>
                  <w:tcW w:w="120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highlight w:val="yellow"/>
                      <w:u w:val="none"/>
                      <w:lang w:val="en-US" w:eastAsia="zh-CN"/>
                    </w:rPr>
                  </w:pPr>
                  <w:r>
                    <w:rPr>
                      <w:rFonts w:hint="default" w:ascii="Times New Roman" w:hAnsi="Times New Roman" w:eastAsia="宋体" w:cs="Times New Roman"/>
                      <w:b w:val="0"/>
                      <w:bCs/>
                      <w:color w:val="auto"/>
                      <w:szCs w:val="21"/>
                      <w:u w:val="none"/>
                      <w:lang w:val="en-US" w:eastAsia="zh-CN"/>
                    </w:rPr>
                    <w:t>袋式除尘器除尘</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lang w:val="en-US" w:eastAsia="zh-CN"/>
                    </w:rPr>
                    <w:t>收集</w:t>
                  </w:r>
                  <w:r>
                    <w:rPr>
                      <w:rFonts w:hint="eastAsia" w:cs="Times New Roman"/>
                      <w:b w:val="0"/>
                      <w:bCs/>
                      <w:color w:val="auto"/>
                      <w:szCs w:val="21"/>
                      <w:u w:val="none"/>
                      <w:lang w:val="en-US" w:eastAsia="zh-CN"/>
                    </w:rPr>
                    <w:t>地颗粒物</w:t>
                  </w:r>
                </w:p>
              </w:tc>
              <w:tc>
                <w:tcPr>
                  <w:tcW w:w="2481"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p>
              </w:tc>
              <w:tc>
                <w:tcPr>
                  <w:tcW w:w="120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highlight w:val="none"/>
                      <w:u w:val="none"/>
                      <w:lang w:val="en-US" w:eastAsia="zh-CN"/>
                    </w:rPr>
                  </w:pPr>
                  <w:r>
                    <w:rPr>
                      <w:rFonts w:hint="default" w:ascii="Times New Roman" w:hAnsi="Times New Roman" w:eastAsia="宋体" w:cs="Times New Roman"/>
                      <w:b w:val="0"/>
                      <w:bCs/>
                      <w:color w:val="auto"/>
                      <w:szCs w:val="21"/>
                      <w:highlight w:val="none"/>
                      <w:u w:val="none"/>
                      <w:lang w:val="en-US" w:eastAsia="zh-CN"/>
                    </w:rPr>
                    <w:t>员工</w:t>
                  </w:r>
                </w:p>
              </w:tc>
              <w:tc>
                <w:tcPr>
                  <w:tcW w:w="828" w:type="pct"/>
                  <w:noWrap w:val="0"/>
                  <w:vAlign w:val="center"/>
                </w:tcPr>
                <w:p>
                  <w:pPr>
                    <w:keepNext w:val="0"/>
                    <w:keepLines w:val="0"/>
                    <w:pageBreakBefore w:val="0"/>
                    <w:widowControl w:val="0"/>
                    <w:tabs>
                      <w:tab w:val="left" w:pos="6593"/>
                    </w:tabs>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lang w:val="en-US" w:eastAsia="zh-CN"/>
                    </w:rPr>
                  </w:pPr>
                  <w:r>
                    <w:rPr>
                      <w:rFonts w:hint="default" w:ascii="Times New Roman" w:hAnsi="Times New Roman" w:eastAsia="宋体" w:cs="Times New Roman"/>
                      <w:b w:val="0"/>
                      <w:bCs/>
                      <w:color w:val="auto"/>
                      <w:szCs w:val="21"/>
                      <w:u w:val="none"/>
                      <w:lang w:val="en-US" w:eastAsia="zh-CN"/>
                    </w:rPr>
                    <w:t>生活垃圾</w:t>
                  </w:r>
                </w:p>
              </w:tc>
              <w:tc>
                <w:tcPr>
                  <w:tcW w:w="248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lang w:val="en-US" w:eastAsia="zh-CN"/>
                    </w:rPr>
                  </w:pPr>
                  <w:r>
                    <w:rPr>
                      <w:rFonts w:hint="default" w:ascii="Times New Roman" w:hAnsi="Times New Roman" w:eastAsia="宋体" w:cs="Times New Roman"/>
                      <w:b w:val="0"/>
                      <w:bCs/>
                      <w:color w:val="auto"/>
                      <w:szCs w:val="21"/>
                      <w:u w:val="none"/>
                      <w:lang w:val="en-US" w:eastAsia="zh-CN"/>
                    </w:rPr>
                    <w:t>经收集后交由环卫部门统一处理</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p>
              </w:tc>
              <w:tc>
                <w:tcPr>
                  <w:tcW w:w="120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lang w:val="en-US" w:eastAsia="zh-CN"/>
                    </w:rPr>
                  </w:pPr>
                  <w:r>
                    <w:rPr>
                      <w:rFonts w:hint="eastAsia" w:ascii="Times New Roman" w:hAnsi="Times New Roman" w:eastAsia="宋体" w:cs="Times New Roman"/>
                      <w:b w:val="0"/>
                      <w:bCs/>
                      <w:color w:val="auto"/>
                      <w:szCs w:val="21"/>
                      <w:u w:val="none"/>
                      <w:lang w:val="en-US" w:eastAsia="zh-CN"/>
                    </w:rPr>
                    <w:t>有机废气治理设施</w:t>
                  </w:r>
                </w:p>
              </w:tc>
              <w:tc>
                <w:tcPr>
                  <w:tcW w:w="828" w:type="pct"/>
                  <w:noWrap w:val="0"/>
                  <w:vAlign w:val="center"/>
                </w:tcPr>
                <w:p>
                  <w:pPr>
                    <w:keepNext w:val="0"/>
                    <w:keepLines w:val="0"/>
                    <w:pageBreakBefore w:val="0"/>
                    <w:widowControl w:val="0"/>
                    <w:tabs>
                      <w:tab w:val="left" w:pos="6593"/>
                    </w:tabs>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lang w:val="en-US"/>
                    </w:rPr>
                  </w:pPr>
                  <w:r>
                    <w:rPr>
                      <w:rFonts w:hint="eastAsia" w:ascii="Times New Roman" w:hAnsi="Times New Roman" w:eastAsia="宋体" w:cs="Times New Roman"/>
                      <w:b w:val="0"/>
                      <w:bCs/>
                      <w:color w:val="auto"/>
                      <w:spacing w:val="3"/>
                      <w:sz w:val="21"/>
                      <w:szCs w:val="21"/>
                      <w:u w:val="none"/>
                      <w:lang w:val="en-US" w:eastAsia="zh-CN"/>
                    </w:rPr>
                    <w:t>废活性炭</w:t>
                  </w:r>
                  <w:r>
                    <w:rPr>
                      <w:rFonts w:hint="eastAsia" w:cs="Times New Roman"/>
                      <w:b w:val="0"/>
                      <w:bCs/>
                      <w:color w:val="auto"/>
                      <w:spacing w:val="3"/>
                      <w:sz w:val="21"/>
                      <w:szCs w:val="21"/>
                      <w:u w:val="none"/>
                      <w:lang w:val="en-US" w:eastAsia="zh-CN"/>
                    </w:rPr>
                    <w:t>、废UV灯管、废催化板</w:t>
                  </w:r>
                </w:p>
              </w:tc>
              <w:tc>
                <w:tcPr>
                  <w:tcW w:w="2481"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危废暂存间暂存后委托有相应资质单位安全处置</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p>
              </w:tc>
              <w:tc>
                <w:tcPr>
                  <w:tcW w:w="120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lang w:val="en-US" w:eastAsia="zh-CN"/>
                    </w:rPr>
                  </w:pPr>
                  <w:r>
                    <w:rPr>
                      <w:rFonts w:hint="default" w:ascii="Times New Roman" w:hAnsi="Times New Roman" w:eastAsia="宋体" w:cs="Times New Roman"/>
                      <w:b w:val="0"/>
                      <w:bCs/>
                      <w:color w:val="auto"/>
                      <w:szCs w:val="21"/>
                      <w:u w:val="none"/>
                    </w:rPr>
                    <w:t>机械设备维护</w:t>
                  </w:r>
                </w:p>
              </w:tc>
              <w:tc>
                <w:tcPr>
                  <w:tcW w:w="828" w:type="pct"/>
                  <w:noWrap w:val="0"/>
                  <w:vAlign w:val="center"/>
                </w:tcPr>
                <w:p>
                  <w:pPr>
                    <w:keepNext w:val="0"/>
                    <w:keepLines w:val="0"/>
                    <w:pageBreakBefore w:val="0"/>
                    <w:widowControl w:val="0"/>
                    <w:tabs>
                      <w:tab w:val="left" w:pos="6593"/>
                    </w:tabs>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color w:val="auto"/>
                      <w:szCs w:val="21"/>
                      <w:u w:val="none"/>
                      <w:lang w:val="en-US" w:eastAsia="zh-CN"/>
                    </w:rPr>
                  </w:pPr>
                  <w:r>
                    <w:rPr>
                      <w:rFonts w:hint="default" w:ascii="Times New Roman" w:hAnsi="Times New Roman" w:eastAsia="宋体" w:cs="Times New Roman"/>
                      <w:b w:val="0"/>
                      <w:bCs/>
                      <w:color w:val="auto"/>
                      <w:szCs w:val="21"/>
                      <w:u w:val="none"/>
                    </w:rPr>
                    <w:t>废润滑油、废</w:t>
                  </w:r>
                  <w:r>
                    <w:rPr>
                      <w:rFonts w:hint="eastAsia" w:cs="Times New Roman"/>
                      <w:b w:val="0"/>
                      <w:bCs/>
                      <w:color w:val="auto"/>
                      <w:szCs w:val="21"/>
                      <w:u w:val="none"/>
                      <w:lang w:val="en-US" w:eastAsia="zh-CN"/>
                    </w:rPr>
                    <w:t>机油</w:t>
                  </w:r>
                </w:p>
              </w:tc>
              <w:tc>
                <w:tcPr>
                  <w:tcW w:w="2481"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szCs w:val="21"/>
                      <w:u w:val="none"/>
                    </w:rPr>
                  </w:pPr>
                </w:p>
              </w:tc>
            </w:tr>
          </w:tbl>
          <w:p>
            <w:pPr>
              <w:numPr>
                <w:ilvl w:val="0"/>
                <w:numId w:val="0"/>
              </w:numPr>
              <w:jc w:val="center"/>
              <w:rPr>
                <w:rFonts w:hint="default" w:eastAsia="宋体"/>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pPr>
              <w:pStyle w:val="21"/>
              <w:keepNext w:val="0"/>
              <w:keepLines w:val="0"/>
              <w:pageBreakBefore w:val="0"/>
              <w:widowControl w:val="0"/>
              <w:kinsoku/>
              <w:wordWrap/>
              <w:overflowPunct/>
              <w:topLinePunct w:val="0"/>
              <w:bidi w:val="0"/>
              <w:adjustRightInd w:val="0"/>
              <w:snapToGrid w:val="0"/>
              <w:spacing w:before="0" w:beforeAutospacing="0" w:after="0" w:afterAutospacing="0"/>
              <w:jc w:val="center"/>
              <w:rPr>
                <w:rFonts w:cs="宋体"/>
                <w:b/>
                <w:bCs/>
                <w:sz w:val="24"/>
                <w:szCs w:val="24"/>
              </w:rPr>
            </w:pPr>
            <w:r>
              <w:rPr>
                <w:rFonts w:hint="eastAsia" w:cs="宋体"/>
                <w:b/>
                <w:bCs/>
                <w:kern w:val="2"/>
                <w:sz w:val="24"/>
                <w:szCs w:val="24"/>
              </w:rPr>
              <w:t>与项目有关的原有环境污染问题</w:t>
            </w:r>
          </w:p>
        </w:tc>
        <w:tc>
          <w:tcPr>
            <w:tcW w:w="4749" w:type="pct"/>
            <w:noWrap w:val="0"/>
            <w:vAlign w:val="center"/>
          </w:tcPr>
          <w:p>
            <w:pPr>
              <w:spacing w:line="360" w:lineRule="auto"/>
              <w:ind w:firstLine="480" w:firstLineChars="200"/>
              <w:jc w:val="left"/>
              <w:rPr>
                <w:rFonts w:hint="eastAsia" w:ascii="宋体" w:hAnsi="宋体" w:eastAsia="宋体"/>
                <w:bCs/>
                <w:sz w:val="24"/>
                <w:szCs w:val="24"/>
                <w:lang w:eastAsia="zh-CN"/>
              </w:rPr>
            </w:pPr>
            <w:r>
              <w:rPr>
                <w:rFonts w:hint="eastAsia" w:ascii="宋体" w:hAnsi="宋体" w:eastAsia="宋体"/>
                <w:bCs/>
                <w:sz w:val="24"/>
                <w:szCs w:val="24"/>
                <w:lang w:eastAsia="zh-CN"/>
              </w:rPr>
              <w:t>本项目为新建项目，租用</w:t>
            </w:r>
            <w:r>
              <w:rPr>
                <w:rFonts w:hint="eastAsia" w:ascii="宋体" w:hAnsi="宋体"/>
                <w:bCs/>
                <w:sz w:val="24"/>
                <w:szCs w:val="24"/>
                <w:lang w:val="en-US" w:eastAsia="zh-CN"/>
              </w:rPr>
              <w:t>河南方圆炭素集团</w:t>
            </w:r>
            <w:r>
              <w:rPr>
                <w:rFonts w:hint="eastAsia" w:ascii="宋体" w:hAnsi="宋体" w:eastAsia="宋体"/>
                <w:bCs/>
                <w:sz w:val="24"/>
                <w:szCs w:val="24"/>
                <w:lang w:eastAsia="zh-CN"/>
              </w:rPr>
              <w:t>现有空置标准厂房，不存在与本项目有关的原有污染。</w:t>
            </w:r>
          </w:p>
        </w:tc>
      </w:tr>
    </w:tbl>
    <w:p>
      <w:pPr>
        <w:pStyle w:val="21"/>
        <w:jc w:val="center"/>
        <w:rPr>
          <w:rFonts w:ascii="黑体" w:hAnsi="黑体" w:eastAsia="黑体"/>
          <w:snapToGrid w:val="0"/>
          <w:sz w:val="36"/>
          <w:szCs w:val="36"/>
        </w:rPr>
        <w:sectPr>
          <w:footerReference r:id="rId7" w:type="default"/>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宋体" w:hAnsi="宋体" w:eastAsia="宋体" w:cs="宋体"/>
          <w:b/>
          <w:bCs/>
          <w:snapToGrid w:val="0"/>
          <w:sz w:val="30"/>
          <w:szCs w:val="30"/>
        </w:rPr>
      </w:pPr>
      <w:r>
        <w:rPr>
          <w:rFonts w:hint="eastAsia" w:ascii="宋体" w:hAnsi="宋体" w:eastAsia="宋体" w:cs="宋体"/>
          <w:b/>
          <w:bCs/>
          <w:snapToGrid w:val="0"/>
          <w:sz w:val="30"/>
          <w:szCs w:val="30"/>
        </w:rPr>
        <w:t>三、区域环境质量现状、环境保护目标及评价标准</w:t>
      </w:r>
    </w:p>
    <w:tbl>
      <w:tblPr>
        <w:tblStyle w:val="2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6"/>
        <w:gridCol w:w="93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 w:type="pct"/>
            <w:noWrap w:val="0"/>
            <w:vAlign w:val="center"/>
          </w:tcPr>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区域</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环境</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质量</w:t>
            </w:r>
          </w:p>
          <w:p>
            <w:pPr>
              <w:adjustRightInd w:val="0"/>
              <w:snapToGrid w:val="0"/>
              <w:jc w:val="center"/>
              <w:rPr>
                <w:rFonts w:ascii="宋体" w:hAnsi="宋体" w:cs="宋体"/>
                <w:kern w:val="0"/>
                <w:sz w:val="24"/>
                <w:szCs w:val="24"/>
              </w:rPr>
            </w:pPr>
            <w:r>
              <w:rPr>
                <w:rFonts w:hint="eastAsia" w:ascii="宋体" w:hAnsi="宋体" w:cs="宋体"/>
                <w:b/>
                <w:bCs/>
                <w:kern w:val="0"/>
                <w:sz w:val="24"/>
                <w:szCs w:val="24"/>
              </w:rPr>
              <w:t>现状</w:t>
            </w:r>
          </w:p>
        </w:tc>
        <w:tc>
          <w:tcPr>
            <w:tcW w:w="4710" w:type="pct"/>
            <w:noWrap w:val="0"/>
            <w:vAlign w:val="center"/>
          </w:tcPr>
          <w:p>
            <w:pPr>
              <w:pStyle w:val="10"/>
              <w:spacing w:after="0" w:line="360" w:lineRule="auto"/>
              <w:rPr>
                <w:b/>
                <w:sz w:val="24"/>
              </w:rPr>
            </w:pPr>
            <w:r>
              <w:rPr>
                <w:b/>
                <w:sz w:val="24"/>
              </w:rPr>
              <w:t>建设项目所在地区域环境质量现状及主要环境问题（环境空气、地表水、地下水、声环境、</w:t>
            </w:r>
            <w:r>
              <w:rPr>
                <w:rFonts w:hint="eastAsia"/>
                <w:b/>
                <w:sz w:val="24"/>
                <w:lang w:val="en-US" w:eastAsia="zh-CN"/>
              </w:rPr>
              <w:t>土壤</w:t>
            </w:r>
            <w:r>
              <w:rPr>
                <w:rFonts w:hint="eastAsia"/>
                <w:b/>
                <w:sz w:val="24"/>
                <w:lang w:eastAsia="zh-CN"/>
              </w:rPr>
              <w:t>、</w:t>
            </w:r>
            <w:r>
              <w:rPr>
                <w:b/>
                <w:sz w:val="24"/>
              </w:rPr>
              <w:t>生态环境等）</w:t>
            </w:r>
          </w:p>
          <w:p>
            <w:pPr>
              <w:pStyle w:val="10"/>
              <w:spacing w:after="0" w:line="360" w:lineRule="auto"/>
              <w:jc w:val="left"/>
              <w:rPr>
                <w:b/>
                <w:kern w:val="0"/>
                <w:sz w:val="24"/>
              </w:rPr>
            </w:pPr>
            <w:r>
              <w:rPr>
                <w:b/>
                <w:kern w:val="0"/>
                <w:sz w:val="24"/>
              </w:rPr>
              <w:t>1、环境空气质量现状</w:t>
            </w:r>
          </w:p>
          <w:p>
            <w:pPr>
              <w:adjustRightInd w:val="0"/>
              <w:snapToGrid w:val="0"/>
              <w:spacing w:line="520" w:lineRule="exact"/>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（1）基本污染物环境质量现状</w:t>
            </w:r>
          </w:p>
          <w:p>
            <w:pPr>
              <w:adjustRightInd w:val="0"/>
              <w:snapToGrid w:val="0"/>
              <w:spacing w:line="520" w:lineRule="exact"/>
              <w:ind w:firstLine="480" w:firstLineChars="200"/>
              <w:jc w:val="left"/>
              <w:rPr>
                <w:rFonts w:hint="default" w:ascii="Times New Roman" w:hAnsi="Times New Roman" w:cs="Times New Roman"/>
                <w:color w:val="000000"/>
                <w:sz w:val="24"/>
                <w:szCs w:val="22"/>
                <w:lang w:val="en-US" w:eastAsia="zh-CN"/>
              </w:rPr>
            </w:pPr>
            <w:r>
              <w:rPr>
                <w:rFonts w:hint="default" w:ascii="Times New Roman" w:hAnsi="Times New Roman" w:cs="Times New Roman"/>
                <w:color w:val="000000"/>
                <w:sz w:val="24"/>
                <w:szCs w:val="22"/>
                <w:lang w:val="en-US" w:eastAsia="zh-CN"/>
              </w:rPr>
              <w:t>根据环境空气质量功能区划分，项目所在区域为二类功能区，环境空气质量执行《环境空气质量标准》（GB3095-2012）二级标准。本次环境空气质量引用河南省城市环境空气质量自动监控中心对鲁山县（本项目</w:t>
            </w:r>
            <w:r>
              <w:rPr>
                <w:rFonts w:hint="eastAsia" w:ascii="Times New Roman" w:hAnsi="Times New Roman" w:cs="Times New Roman"/>
                <w:color w:val="000000"/>
                <w:sz w:val="24"/>
                <w:szCs w:val="22"/>
                <w:lang w:val="en-US" w:eastAsia="zh-CN"/>
              </w:rPr>
              <w:t>西南方向</w:t>
            </w:r>
            <w:r>
              <w:rPr>
                <w:rFonts w:hint="default" w:ascii="Times New Roman" w:hAnsi="Times New Roman" w:cs="Times New Roman"/>
                <w:color w:val="000000"/>
                <w:sz w:val="24"/>
                <w:szCs w:val="22"/>
                <w:lang w:val="en-US" w:eastAsia="zh-CN"/>
              </w:rPr>
              <w:t>4.</w:t>
            </w:r>
            <w:r>
              <w:rPr>
                <w:rFonts w:hint="eastAsia" w:cs="Times New Roman"/>
                <w:color w:val="000000"/>
                <w:sz w:val="24"/>
                <w:szCs w:val="22"/>
                <w:lang w:val="en-US" w:eastAsia="zh-CN"/>
              </w:rPr>
              <w:t>7</w:t>
            </w:r>
            <w:r>
              <w:rPr>
                <w:rFonts w:hint="default" w:ascii="Times New Roman" w:hAnsi="Times New Roman" w:cs="Times New Roman"/>
                <w:color w:val="000000"/>
                <w:sz w:val="24"/>
                <w:szCs w:val="22"/>
                <w:lang w:val="en-US" w:eastAsia="zh-CN"/>
              </w:rPr>
              <w:t>km）的监测数据进行区域达标判定。鲁山县2021年SO</w:t>
            </w:r>
            <w:r>
              <w:rPr>
                <w:rFonts w:hint="default" w:ascii="Times New Roman" w:hAnsi="Times New Roman" w:cs="Times New Roman"/>
                <w:color w:val="000000"/>
                <w:sz w:val="24"/>
                <w:szCs w:val="22"/>
                <w:vertAlign w:val="subscript"/>
                <w:lang w:val="en-US" w:eastAsia="zh-CN"/>
              </w:rPr>
              <w:t>2</w:t>
            </w:r>
            <w:r>
              <w:rPr>
                <w:rFonts w:hint="default" w:ascii="Times New Roman" w:hAnsi="Times New Roman" w:cs="Times New Roman"/>
                <w:color w:val="000000"/>
                <w:sz w:val="24"/>
                <w:szCs w:val="22"/>
                <w:lang w:val="en-US" w:eastAsia="zh-CN"/>
              </w:rPr>
              <w:t>、NO</w:t>
            </w:r>
            <w:r>
              <w:rPr>
                <w:rFonts w:hint="default" w:ascii="Times New Roman" w:hAnsi="Times New Roman" w:cs="Times New Roman"/>
                <w:color w:val="000000"/>
                <w:sz w:val="24"/>
                <w:szCs w:val="22"/>
                <w:vertAlign w:val="subscript"/>
                <w:lang w:val="en-US" w:eastAsia="zh-CN"/>
              </w:rPr>
              <w:t>2</w:t>
            </w:r>
            <w:r>
              <w:rPr>
                <w:rFonts w:hint="default" w:ascii="Times New Roman" w:hAnsi="Times New Roman" w:cs="Times New Roman"/>
                <w:color w:val="000000"/>
                <w:sz w:val="24"/>
                <w:szCs w:val="22"/>
                <w:lang w:val="en-US" w:eastAsia="zh-CN"/>
              </w:rPr>
              <w:t>、PM</w:t>
            </w:r>
            <w:r>
              <w:rPr>
                <w:rFonts w:hint="default" w:ascii="Times New Roman" w:hAnsi="Times New Roman" w:cs="Times New Roman"/>
                <w:color w:val="000000"/>
                <w:sz w:val="24"/>
                <w:szCs w:val="22"/>
                <w:vertAlign w:val="subscript"/>
                <w:lang w:val="en-US" w:eastAsia="zh-CN"/>
              </w:rPr>
              <w:t>10</w:t>
            </w:r>
            <w:r>
              <w:rPr>
                <w:rFonts w:hint="default" w:ascii="Times New Roman" w:hAnsi="Times New Roman" w:cs="Times New Roman"/>
                <w:color w:val="000000"/>
                <w:sz w:val="24"/>
                <w:szCs w:val="22"/>
                <w:lang w:val="en-US" w:eastAsia="zh-CN"/>
              </w:rPr>
              <w:t>、PM</w:t>
            </w:r>
            <w:r>
              <w:rPr>
                <w:rFonts w:hint="default" w:ascii="Times New Roman" w:hAnsi="Times New Roman" w:cs="Times New Roman"/>
                <w:color w:val="000000"/>
                <w:sz w:val="24"/>
                <w:szCs w:val="22"/>
                <w:vertAlign w:val="subscript"/>
                <w:lang w:val="en-US" w:eastAsia="zh-CN"/>
              </w:rPr>
              <w:t>2.5</w:t>
            </w:r>
            <w:r>
              <w:rPr>
                <w:rFonts w:hint="default" w:ascii="Times New Roman" w:hAnsi="Times New Roman" w:cs="Times New Roman"/>
                <w:color w:val="000000"/>
                <w:sz w:val="24"/>
                <w:szCs w:val="22"/>
                <w:lang w:val="en-US" w:eastAsia="zh-CN"/>
              </w:rPr>
              <w:t>、CO、O</w:t>
            </w:r>
            <w:r>
              <w:rPr>
                <w:rFonts w:hint="default" w:ascii="Times New Roman" w:hAnsi="Times New Roman" w:cs="Times New Roman"/>
                <w:color w:val="000000"/>
                <w:sz w:val="24"/>
                <w:szCs w:val="22"/>
                <w:vertAlign w:val="subscript"/>
                <w:lang w:val="en-US" w:eastAsia="zh-CN"/>
              </w:rPr>
              <w:t>3</w:t>
            </w:r>
            <w:r>
              <w:rPr>
                <w:rFonts w:hint="default" w:ascii="Times New Roman" w:hAnsi="Times New Roman" w:cs="Times New Roman"/>
                <w:color w:val="000000"/>
                <w:sz w:val="24"/>
                <w:szCs w:val="22"/>
                <w:lang w:val="en-US" w:eastAsia="zh-CN"/>
              </w:rPr>
              <w:t>六项基本污染物环境空气质量现状数据见下表。</w:t>
            </w:r>
          </w:p>
          <w:p>
            <w:pPr>
              <w:adjustRightInd w:val="0"/>
              <w:snapToGrid w:val="0"/>
              <w:spacing w:line="520" w:lineRule="exact"/>
              <w:ind w:firstLine="482" w:firstLineChars="200"/>
              <w:jc w:val="center"/>
              <w:rPr>
                <w:rFonts w:hint="default" w:ascii="Times New Roman" w:hAnsi="Times New Roman" w:cs="Times New Roman"/>
                <w:b/>
                <w:snapToGrid w:val="0"/>
                <w:color w:val="000000"/>
                <w:kern w:val="0"/>
                <w:sz w:val="24"/>
              </w:rPr>
            </w:pPr>
            <w:r>
              <w:rPr>
                <w:rFonts w:hint="default" w:ascii="Times New Roman" w:hAnsi="Times New Roman" w:cs="Times New Roman"/>
                <w:b/>
                <w:snapToGrid w:val="0"/>
                <w:color w:val="000000"/>
                <w:kern w:val="0"/>
                <w:sz w:val="24"/>
              </w:rPr>
              <w:t>表3-1    202</w:t>
            </w:r>
            <w:r>
              <w:rPr>
                <w:rFonts w:hint="eastAsia" w:cs="Times New Roman"/>
                <w:b/>
                <w:snapToGrid w:val="0"/>
                <w:color w:val="000000"/>
                <w:kern w:val="0"/>
                <w:sz w:val="24"/>
                <w:lang w:val="en-US" w:eastAsia="zh-CN"/>
              </w:rPr>
              <w:t>1</w:t>
            </w:r>
            <w:r>
              <w:rPr>
                <w:rFonts w:hint="default" w:ascii="Times New Roman" w:hAnsi="Times New Roman" w:cs="Times New Roman"/>
                <w:b/>
                <w:snapToGrid w:val="0"/>
                <w:color w:val="000000"/>
                <w:kern w:val="0"/>
                <w:sz w:val="24"/>
              </w:rPr>
              <w:t>年</w:t>
            </w:r>
            <w:r>
              <w:rPr>
                <w:rFonts w:hint="eastAsia" w:ascii="Times New Roman" w:hAnsi="Times New Roman" w:cs="Times New Roman"/>
                <w:b/>
                <w:snapToGrid w:val="0"/>
                <w:color w:val="000000"/>
                <w:kern w:val="0"/>
                <w:sz w:val="24"/>
                <w:lang w:eastAsia="zh-CN"/>
              </w:rPr>
              <w:t>鲁山县</w:t>
            </w:r>
            <w:r>
              <w:rPr>
                <w:rFonts w:hint="default" w:ascii="Times New Roman" w:hAnsi="Times New Roman" w:cs="Times New Roman"/>
                <w:b/>
                <w:snapToGrid w:val="0"/>
                <w:color w:val="000000"/>
                <w:kern w:val="0"/>
                <w:sz w:val="24"/>
              </w:rPr>
              <w:t>环境空气质量现状表</w:t>
            </w:r>
          </w:p>
          <w:tbl>
            <w:tblPr>
              <w:tblStyle w:val="24"/>
              <w:tblW w:w="4997"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839"/>
              <w:gridCol w:w="1349"/>
              <w:gridCol w:w="2499"/>
              <w:gridCol w:w="1365"/>
              <w:gridCol w:w="1264"/>
              <w:gridCol w:w="999"/>
              <w:gridCol w:w="842"/>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8"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监测点位</w:t>
                  </w:r>
                </w:p>
              </w:tc>
              <w:tc>
                <w:tcPr>
                  <w:tcW w:w="736"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污染物</w:t>
                  </w:r>
                </w:p>
              </w:tc>
              <w:tc>
                <w:tcPr>
                  <w:tcW w:w="1364"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年评价指标</w:t>
                  </w:r>
                </w:p>
              </w:tc>
              <w:tc>
                <w:tcPr>
                  <w:tcW w:w="7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监测结果</w:t>
                  </w:r>
                </w:p>
              </w:tc>
              <w:tc>
                <w:tcPr>
                  <w:tcW w:w="690"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标准值</w:t>
                  </w:r>
                </w:p>
              </w:tc>
              <w:tc>
                <w:tcPr>
                  <w:tcW w:w="5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占标率</w:t>
                  </w:r>
                </w:p>
              </w:tc>
              <w:tc>
                <w:tcPr>
                  <w:tcW w:w="459"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达标情况</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8" w:type="pct"/>
                  <w:vMerge w:val="restart"/>
                  <w:tcBorders>
                    <w:tl2br w:val="nil"/>
                    <w:tr2bl w:val="nil"/>
                  </w:tcBorders>
                  <w:noWrap w:val="0"/>
                  <w:vAlign w:val="center"/>
                </w:tcPr>
                <w:p>
                  <w:pPr>
                    <w:snapToGrid w:val="0"/>
                    <w:spacing w:line="360" w:lineRule="exact"/>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鲁</w:t>
                  </w:r>
                </w:p>
                <w:p>
                  <w:pPr>
                    <w:snapToGrid w:val="0"/>
                    <w:spacing w:line="360" w:lineRule="exact"/>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山</w:t>
                  </w:r>
                </w:p>
                <w:p>
                  <w:pPr>
                    <w:snapToGrid w:val="0"/>
                    <w:spacing w:line="360" w:lineRule="exact"/>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eastAsia="zh-CN"/>
                    </w:rPr>
                    <w:t>县</w:t>
                  </w:r>
                </w:p>
              </w:tc>
              <w:tc>
                <w:tcPr>
                  <w:tcW w:w="736"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SO</w:t>
                  </w:r>
                  <w:r>
                    <w:rPr>
                      <w:rFonts w:hint="default" w:ascii="Times New Roman" w:hAnsi="Times New Roman" w:cs="Times New Roman"/>
                      <w:color w:val="000000"/>
                      <w:szCs w:val="21"/>
                      <w:vertAlign w:val="subscript"/>
                    </w:rPr>
                    <w:t>2</w:t>
                  </w:r>
                </w:p>
              </w:tc>
              <w:tc>
                <w:tcPr>
                  <w:tcW w:w="1364"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年平均质量浓度</w:t>
                  </w:r>
                </w:p>
              </w:tc>
              <w:tc>
                <w:tcPr>
                  <w:tcW w:w="7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r>
                    <w:rPr>
                      <w:rFonts w:hint="eastAsia" w:ascii="Times New Roman" w:hAnsi="Times New Roman" w:cs="Times New Roman"/>
                      <w:color w:val="000000"/>
                      <w:szCs w:val="21"/>
                      <w:lang w:val="en-US" w:eastAsia="zh-CN"/>
                    </w:rPr>
                    <w:t>0</w:t>
                  </w:r>
                  <w:r>
                    <w:rPr>
                      <w:rFonts w:hint="default" w:ascii="Times New Roman" w:hAnsi="Times New Roman" w:cs="Times New Roman"/>
                      <w:color w:val="000000"/>
                      <w:szCs w:val="21"/>
                    </w:rPr>
                    <w:t>μg/m</w:t>
                  </w:r>
                  <w:r>
                    <w:rPr>
                      <w:rFonts w:hint="default" w:ascii="Times New Roman" w:hAnsi="Times New Roman" w:cs="Times New Roman"/>
                      <w:color w:val="000000"/>
                      <w:szCs w:val="21"/>
                      <w:vertAlign w:val="superscript"/>
                    </w:rPr>
                    <w:t>3</w:t>
                  </w:r>
                </w:p>
              </w:tc>
              <w:tc>
                <w:tcPr>
                  <w:tcW w:w="690"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60μg/m</w:t>
                  </w:r>
                  <w:r>
                    <w:rPr>
                      <w:rFonts w:hint="default" w:ascii="Times New Roman" w:hAnsi="Times New Roman" w:cs="Times New Roman"/>
                      <w:color w:val="000000"/>
                      <w:szCs w:val="21"/>
                      <w:vertAlign w:val="superscript"/>
                    </w:rPr>
                    <w:t>3</w:t>
                  </w:r>
                </w:p>
              </w:tc>
              <w:tc>
                <w:tcPr>
                  <w:tcW w:w="5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16</w:t>
                  </w:r>
                  <w:r>
                    <w:rPr>
                      <w:rFonts w:hint="default" w:ascii="Times New Roman" w:hAnsi="Times New Roman" w:cs="Times New Roman"/>
                      <w:color w:val="000000"/>
                      <w:szCs w:val="21"/>
                    </w:rPr>
                    <w:t>.7%</w:t>
                  </w:r>
                </w:p>
              </w:tc>
              <w:tc>
                <w:tcPr>
                  <w:tcW w:w="459"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8" w:type="pct"/>
                  <w:vMerge w:val="continue"/>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p>
              </w:tc>
              <w:tc>
                <w:tcPr>
                  <w:tcW w:w="736"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NO</w:t>
                  </w:r>
                  <w:r>
                    <w:rPr>
                      <w:rFonts w:hint="default" w:ascii="Times New Roman" w:hAnsi="Times New Roman" w:cs="Times New Roman"/>
                      <w:color w:val="000000"/>
                      <w:szCs w:val="21"/>
                      <w:vertAlign w:val="subscript"/>
                    </w:rPr>
                    <w:t>2</w:t>
                  </w:r>
                </w:p>
              </w:tc>
              <w:tc>
                <w:tcPr>
                  <w:tcW w:w="1364"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年平均质量浓度</w:t>
                  </w:r>
                </w:p>
              </w:tc>
              <w:tc>
                <w:tcPr>
                  <w:tcW w:w="7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22μg/m</w:t>
                  </w:r>
                  <w:r>
                    <w:rPr>
                      <w:rFonts w:hint="default" w:ascii="Times New Roman" w:hAnsi="Times New Roman" w:cs="Times New Roman"/>
                      <w:color w:val="000000"/>
                      <w:szCs w:val="21"/>
                      <w:vertAlign w:val="superscript"/>
                    </w:rPr>
                    <w:t>3</w:t>
                  </w:r>
                </w:p>
              </w:tc>
              <w:tc>
                <w:tcPr>
                  <w:tcW w:w="690"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40μg/m</w:t>
                  </w:r>
                  <w:r>
                    <w:rPr>
                      <w:rFonts w:hint="default" w:ascii="Times New Roman" w:hAnsi="Times New Roman" w:cs="Times New Roman"/>
                      <w:color w:val="000000"/>
                      <w:szCs w:val="21"/>
                      <w:vertAlign w:val="superscript"/>
                    </w:rPr>
                    <w:t>3</w:t>
                  </w:r>
                </w:p>
              </w:tc>
              <w:tc>
                <w:tcPr>
                  <w:tcW w:w="5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55%</w:t>
                  </w:r>
                </w:p>
              </w:tc>
              <w:tc>
                <w:tcPr>
                  <w:tcW w:w="459"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8" w:type="pct"/>
                  <w:vMerge w:val="continue"/>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p>
              </w:tc>
              <w:tc>
                <w:tcPr>
                  <w:tcW w:w="736"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PM</w:t>
                  </w:r>
                  <w:r>
                    <w:rPr>
                      <w:rFonts w:hint="default" w:ascii="Times New Roman" w:hAnsi="Times New Roman" w:cs="Times New Roman"/>
                      <w:color w:val="000000"/>
                      <w:szCs w:val="21"/>
                      <w:vertAlign w:val="subscript"/>
                    </w:rPr>
                    <w:t>10</w:t>
                  </w:r>
                </w:p>
              </w:tc>
              <w:tc>
                <w:tcPr>
                  <w:tcW w:w="1364"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年平均质量浓度</w:t>
                  </w:r>
                </w:p>
              </w:tc>
              <w:tc>
                <w:tcPr>
                  <w:tcW w:w="7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8</w:t>
                  </w:r>
                  <w:r>
                    <w:rPr>
                      <w:rFonts w:hint="eastAsia" w:ascii="Times New Roman" w:hAnsi="Times New Roman" w:cs="Times New Roman"/>
                      <w:color w:val="000000"/>
                      <w:szCs w:val="21"/>
                      <w:lang w:val="en-US" w:eastAsia="zh-CN"/>
                    </w:rPr>
                    <w:t>6</w:t>
                  </w:r>
                  <w:r>
                    <w:rPr>
                      <w:rFonts w:hint="default" w:ascii="Times New Roman" w:hAnsi="Times New Roman" w:cs="Times New Roman"/>
                      <w:color w:val="000000"/>
                      <w:szCs w:val="21"/>
                    </w:rPr>
                    <w:t>μg/m</w:t>
                  </w:r>
                  <w:r>
                    <w:rPr>
                      <w:rFonts w:hint="default" w:ascii="Times New Roman" w:hAnsi="Times New Roman" w:cs="Times New Roman"/>
                      <w:color w:val="000000"/>
                      <w:szCs w:val="21"/>
                      <w:vertAlign w:val="superscript"/>
                    </w:rPr>
                    <w:t>3</w:t>
                  </w:r>
                </w:p>
              </w:tc>
              <w:tc>
                <w:tcPr>
                  <w:tcW w:w="690"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70μg/m</w:t>
                  </w:r>
                  <w:r>
                    <w:rPr>
                      <w:rFonts w:hint="default" w:ascii="Times New Roman" w:hAnsi="Times New Roman" w:cs="Times New Roman"/>
                      <w:color w:val="000000"/>
                      <w:szCs w:val="21"/>
                      <w:vertAlign w:val="superscript"/>
                    </w:rPr>
                    <w:t>3</w:t>
                  </w:r>
                </w:p>
              </w:tc>
              <w:tc>
                <w:tcPr>
                  <w:tcW w:w="5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r>
                    <w:rPr>
                      <w:rFonts w:hint="eastAsia" w:ascii="Times New Roman" w:hAnsi="Times New Roman" w:cs="Times New Roman"/>
                      <w:color w:val="000000"/>
                      <w:szCs w:val="21"/>
                      <w:lang w:val="en-US" w:eastAsia="zh-CN"/>
                    </w:rPr>
                    <w:t>22.8</w:t>
                  </w:r>
                  <w:r>
                    <w:rPr>
                      <w:rFonts w:hint="default" w:ascii="Times New Roman" w:hAnsi="Times New Roman" w:cs="Times New Roman"/>
                      <w:color w:val="000000"/>
                      <w:szCs w:val="21"/>
                    </w:rPr>
                    <w:t>%</w:t>
                  </w:r>
                </w:p>
              </w:tc>
              <w:tc>
                <w:tcPr>
                  <w:tcW w:w="459"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8" w:type="pct"/>
                  <w:vMerge w:val="continue"/>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p>
              </w:tc>
              <w:tc>
                <w:tcPr>
                  <w:tcW w:w="736"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PM</w:t>
                  </w:r>
                  <w:r>
                    <w:rPr>
                      <w:rFonts w:hint="default" w:ascii="Times New Roman" w:hAnsi="Times New Roman" w:cs="Times New Roman"/>
                      <w:color w:val="000000"/>
                      <w:szCs w:val="21"/>
                      <w:vertAlign w:val="subscript"/>
                    </w:rPr>
                    <w:t>2.5</w:t>
                  </w:r>
                </w:p>
              </w:tc>
              <w:tc>
                <w:tcPr>
                  <w:tcW w:w="1364"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年平均质量浓度</w:t>
                  </w:r>
                </w:p>
              </w:tc>
              <w:tc>
                <w:tcPr>
                  <w:tcW w:w="7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35</w:t>
                  </w:r>
                  <w:r>
                    <w:rPr>
                      <w:rFonts w:hint="default" w:ascii="Times New Roman" w:hAnsi="Times New Roman" w:cs="Times New Roman"/>
                      <w:color w:val="000000"/>
                      <w:szCs w:val="21"/>
                    </w:rPr>
                    <w:t>μg/m</w:t>
                  </w:r>
                  <w:r>
                    <w:rPr>
                      <w:rFonts w:hint="default" w:ascii="Times New Roman" w:hAnsi="Times New Roman" w:cs="Times New Roman"/>
                      <w:color w:val="000000"/>
                      <w:szCs w:val="21"/>
                      <w:vertAlign w:val="superscript"/>
                    </w:rPr>
                    <w:t>3</w:t>
                  </w:r>
                </w:p>
              </w:tc>
              <w:tc>
                <w:tcPr>
                  <w:tcW w:w="690"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35μg/m</w:t>
                  </w:r>
                  <w:r>
                    <w:rPr>
                      <w:rFonts w:hint="default" w:ascii="Times New Roman" w:hAnsi="Times New Roman" w:cs="Times New Roman"/>
                      <w:color w:val="000000"/>
                      <w:szCs w:val="21"/>
                      <w:vertAlign w:val="superscript"/>
                    </w:rPr>
                    <w:t>3</w:t>
                  </w:r>
                </w:p>
              </w:tc>
              <w:tc>
                <w:tcPr>
                  <w:tcW w:w="5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r>
                    <w:rPr>
                      <w:rFonts w:hint="eastAsia" w:ascii="Times New Roman" w:hAnsi="Times New Roman" w:cs="Times New Roman"/>
                      <w:color w:val="000000"/>
                      <w:szCs w:val="21"/>
                      <w:lang w:val="en-US" w:eastAsia="zh-CN"/>
                    </w:rPr>
                    <w:t>00</w:t>
                  </w:r>
                  <w:r>
                    <w:rPr>
                      <w:rFonts w:hint="default" w:ascii="Times New Roman" w:hAnsi="Times New Roman" w:cs="Times New Roman"/>
                      <w:color w:val="000000"/>
                      <w:szCs w:val="21"/>
                    </w:rPr>
                    <w:t>%</w:t>
                  </w:r>
                </w:p>
              </w:tc>
              <w:tc>
                <w:tcPr>
                  <w:tcW w:w="459" w:type="pct"/>
                  <w:tcBorders>
                    <w:tl2br w:val="nil"/>
                    <w:tr2bl w:val="nil"/>
                  </w:tcBorders>
                  <w:noWrap w:val="0"/>
                  <w:vAlign w:val="center"/>
                </w:tcPr>
                <w:p>
                  <w:pPr>
                    <w:snapToGrid w:val="0"/>
                    <w:spacing w:line="360" w:lineRule="exact"/>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达标</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8" w:type="pct"/>
                  <w:vMerge w:val="continue"/>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p>
              </w:tc>
              <w:tc>
                <w:tcPr>
                  <w:tcW w:w="736"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O</w:t>
                  </w:r>
                  <w:r>
                    <w:rPr>
                      <w:rFonts w:hint="default" w:ascii="Times New Roman" w:hAnsi="Times New Roman" w:cs="Times New Roman"/>
                      <w:color w:val="000000"/>
                      <w:szCs w:val="21"/>
                      <w:vertAlign w:val="subscript"/>
                    </w:rPr>
                    <w:t>3</w:t>
                  </w:r>
                </w:p>
              </w:tc>
              <w:tc>
                <w:tcPr>
                  <w:tcW w:w="1364" w:type="pct"/>
                  <w:tcBorders>
                    <w:tl2br w:val="nil"/>
                    <w:tr2bl w:val="nil"/>
                  </w:tcBorders>
                  <w:noWrap w:val="0"/>
                  <w:vAlign w:val="center"/>
                </w:tcPr>
                <w:p>
                  <w:pPr>
                    <w:pStyle w:val="38"/>
                    <w:adjustRightInd/>
                    <w:snapToGrid/>
                    <w:spacing w:before="24" w:after="24" w:line="360" w:lineRule="exact"/>
                    <w:rPr>
                      <w:rFonts w:hint="default" w:ascii="Times New Roman" w:hAnsi="Times New Roman" w:cs="Times New Roman"/>
                      <w:color w:val="000000"/>
                      <w:szCs w:val="21"/>
                    </w:rPr>
                  </w:pPr>
                  <w:r>
                    <w:rPr>
                      <w:rFonts w:hint="default" w:ascii="Times New Roman" w:hAnsi="Times New Roman" w:cs="Times New Roman"/>
                      <w:color w:val="000000"/>
                    </w:rPr>
                    <w:t>日最大8h</w:t>
                  </w:r>
                  <w:r>
                    <w:rPr>
                      <w:rFonts w:hint="eastAsia" w:ascii="Times New Roman" w:hAnsi="Times New Roman" w:cs="Times New Roman"/>
                      <w:color w:val="000000"/>
                      <w:lang w:val="en-US" w:eastAsia="zh-CN"/>
                    </w:rPr>
                    <w:t>滑动</w:t>
                  </w:r>
                  <w:r>
                    <w:rPr>
                      <w:rFonts w:hint="default" w:ascii="Times New Roman" w:hAnsi="Times New Roman" w:cs="Times New Roman"/>
                      <w:color w:val="000000"/>
                    </w:rPr>
                    <w:t>平均第90 百分位数质量浓度</w:t>
                  </w:r>
                </w:p>
              </w:tc>
              <w:tc>
                <w:tcPr>
                  <w:tcW w:w="7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16</w:t>
                  </w:r>
                  <w:r>
                    <w:rPr>
                      <w:rFonts w:hint="eastAsia" w:ascii="Times New Roman" w:hAnsi="Times New Roman" w:cs="Times New Roman"/>
                      <w:color w:val="000000"/>
                      <w:szCs w:val="21"/>
                      <w:lang w:val="en-US" w:eastAsia="zh-CN"/>
                    </w:rPr>
                    <w:t>1</w:t>
                  </w:r>
                  <w:r>
                    <w:rPr>
                      <w:rFonts w:hint="default" w:ascii="Times New Roman" w:hAnsi="Times New Roman" w:cs="Times New Roman"/>
                      <w:color w:val="000000"/>
                      <w:szCs w:val="21"/>
                    </w:rPr>
                    <w:t>μg/m</w:t>
                  </w:r>
                  <w:r>
                    <w:rPr>
                      <w:rFonts w:hint="default" w:ascii="Times New Roman" w:hAnsi="Times New Roman" w:cs="Times New Roman"/>
                      <w:color w:val="000000"/>
                      <w:szCs w:val="21"/>
                      <w:vertAlign w:val="superscript"/>
                    </w:rPr>
                    <w:t>3</w:t>
                  </w:r>
                </w:p>
              </w:tc>
              <w:tc>
                <w:tcPr>
                  <w:tcW w:w="690"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160μg/m</w:t>
                  </w:r>
                  <w:r>
                    <w:rPr>
                      <w:rFonts w:hint="default" w:ascii="Times New Roman" w:hAnsi="Times New Roman" w:cs="Times New Roman"/>
                      <w:color w:val="000000"/>
                      <w:szCs w:val="21"/>
                      <w:vertAlign w:val="superscript"/>
                    </w:rPr>
                    <w:t>3</w:t>
                  </w:r>
                </w:p>
              </w:tc>
              <w:tc>
                <w:tcPr>
                  <w:tcW w:w="5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100</w:t>
                  </w:r>
                  <w:r>
                    <w:rPr>
                      <w:rFonts w:hint="eastAsia" w:ascii="Times New Roman" w:hAnsi="Times New Roman" w:cs="Times New Roman"/>
                      <w:color w:val="000000"/>
                      <w:szCs w:val="21"/>
                      <w:lang w:val="en-US" w:eastAsia="zh-CN"/>
                    </w:rPr>
                    <w:t>.6</w:t>
                  </w:r>
                  <w:r>
                    <w:rPr>
                      <w:rFonts w:hint="default" w:ascii="Times New Roman" w:hAnsi="Times New Roman" w:cs="Times New Roman"/>
                      <w:color w:val="000000"/>
                      <w:szCs w:val="21"/>
                    </w:rPr>
                    <w:t>%</w:t>
                  </w:r>
                </w:p>
              </w:tc>
              <w:tc>
                <w:tcPr>
                  <w:tcW w:w="459"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8" w:type="pct"/>
                  <w:vMerge w:val="continue"/>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p>
              </w:tc>
              <w:tc>
                <w:tcPr>
                  <w:tcW w:w="736"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CO</w:t>
                  </w:r>
                </w:p>
              </w:tc>
              <w:tc>
                <w:tcPr>
                  <w:tcW w:w="1364" w:type="pct"/>
                  <w:tcBorders>
                    <w:tl2br w:val="nil"/>
                    <w:tr2bl w:val="nil"/>
                  </w:tcBorders>
                  <w:noWrap w:val="0"/>
                  <w:vAlign w:val="center"/>
                </w:tcPr>
                <w:p>
                  <w:pPr>
                    <w:pStyle w:val="38"/>
                    <w:adjustRightInd/>
                    <w:snapToGrid/>
                    <w:spacing w:before="24" w:after="24" w:line="360" w:lineRule="exact"/>
                    <w:rPr>
                      <w:rFonts w:hint="default" w:ascii="Times New Roman" w:hAnsi="Times New Roman" w:cs="Times New Roman"/>
                      <w:color w:val="000000"/>
                      <w:szCs w:val="21"/>
                    </w:rPr>
                  </w:pPr>
                  <w:r>
                    <w:rPr>
                      <w:rFonts w:hint="eastAsia" w:ascii="Times New Roman" w:hAnsi="Times New Roman" w:cs="Times New Roman"/>
                      <w:color w:val="000000"/>
                      <w:lang w:val="en-US" w:eastAsia="zh-CN"/>
                    </w:rPr>
                    <w:t>24h</w:t>
                  </w:r>
                  <w:r>
                    <w:rPr>
                      <w:rFonts w:hint="default" w:ascii="Times New Roman" w:hAnsi="Times New Roman" w:cs="Times New Roman"/>
                      <w:color w:val="000000"/>
                    </w:rPr>
                    <w:t>平均第95百分位数质量浓度</w:t>
                  </w:r>
                </w:p>
              </w:tc>
              <w:tc>
                <w:tcPr>
                  <w:tcW w:w="7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r>
                    <w:rPr>
                      <w:rFonts w:hint="eastAsia" w:ascii="Times New Roman" w:hAnsi="Times New Roman" w:cs="Times New Roman"/>
                      <w:color w:val="000000"/>
                      <w:szCs w:val="21"/>
                      <w:lang w:val="en-US" w:eastAsia="zh-CN"/>
                    </w:rPr>
                    <w:t>1</w:t>
                  </w:r>
                  <w:r>
                    <w:rPr>
                      <w:rFonts w:hint="default" w:ascii="Times New Roman" w:hAnsi="Times New Roman" w:cs="Times New Roman"/>
                      <w:color w:val="000000"/>
                      <w:szCs w:val="21"/>
                    </w:rPr>
                    <w:t>mg/m</w:t>
                  </w:r>
                  <w:r>
                    <w:rPr>
                      <w:rFonts w:hint="default" w:ascii="Times New Roman" w:hAnsi="Times New Roman" w:cs="Times New Roman"/>
                      <w:color w:val="000000"/>
                      <w:szCs w:val="21"/>
                      <w:vertAlign w:val="superscript"/>
                    </w:rPr>
                    <w:t>3</w:t>
                  </w:r>
                </w:p>
              </w:tc>
              <w:tc>
                <w:tcPr>
                  <w:tcW w:w="690"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4mg/m</w:t>
                  </w:r>
                  <w:r>
                    <w:rPr>
                      <w:rFonts w:hint="default" w:ascii="Times New Roman" w:hAnsi="Times New Roman" w:cs="Times New Roman"/>
                      <w:color w:val="000000"/>
                      <w:szCs w:val="21"/>
                      <w:vertAlign w:val="superscript"/>
                    </w:rPr>
                    <w:t>3</w:t>
                  </w:r>
                </w:p>
              </w:tc>
              <w:tc>
                <w:tcPr>
                  <w:tcW w:w="545"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27.5</w:t>
                  </w:r>
                  <w:r>
                    <w:rPr>
                      <w:rFonts w:hint="default" w:ascii="Times New Roman" w:hAnsi="Times New Roman" w:cs="Times New Roman"/>
                      <w:color w:val="000000"/>
                      <w:szCs w:val="21"/>
                    </w:rPr>
                    <w:t>%</w:t>
                  </w:r>
                </w:p>
              </w:tc>
              <w:tc>
                <w:tcPr>
                  <w:tcW w:w="459" w:type="pct"/>
                  <w:tcBorders>
                    <w:tl2br w:val="nil"/>
                    <w:tr2bl w:val="nil"/>
                  </w:tcBorders>
                  <w:noWrap w:val="0"/>
                  <w:vAlign w:val="center"/>
                </w:tcPr>
                <w:p>
                  <w:pPr>
                    <w:snapToGrid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r>
          </w:tbl>
          <w:p>
            <w:pPr>
              <w:adjustRightInd w:val="0"/>
              <w:snapToGrid w:val="0"/>
              <w:spacing w:line="52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由表3-1可知，区域环境空气质量监测因子除PM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超标外，其余各监测因子均能满足《环境空气质量标准》（GB3095-2012）二级标准要求。</w:t>
            </w:r>
          </w:p>
          <w:p>
            <w:pPr>
              <w:adjustRightInd w:val="0"/>
              <w:snapToGrid w:val="0"/>
              <w:spacing w:line="520" w:lineRule="exact"/>
              <w:ind w:firstLine="480" w:firstLineChars="200"/>
              <w:jc w:val="left"/>
              <w:rPr>
                <w:bCs/>
                <w:color w:val="auto"/>
                <w:sz w:val="24"/>
              </w:rPr>
            </w:pPr>
            <w:r>
              <w:rPr>
                <w:rFonts w:hint="eastAsia"/>
                <w:color w:val="auto"/>
                <w:sz w:val="24"/>
                <w:szCs w:val="22"/>
              </w:rPr>
              <w:t>根据</w:t>
            </w:r>
            <w:r>
              <w:rPr>
                <w:rFonts w:hint="eastAsia"/>
                <w:color w:val="auto"/>
                <w:sz w:val="24"/>
                <w:szCs w:val="22"/>
                <w:lang w:val="en-US" w:eastAsia="zh-CN"/>
              </w:rPr>
              <w:t>《河南省生态环境保护委员会办公室 关于印发《河南省2023年蓝天保卫战实施方案》的通知》</w:t>
            </w:r>
            <w:r>
              <w:rPr>
                <w:rFonts w:hint="eastAsia"/>
                <w:color w:val="auto"/>
                <w:sz w:val="24"/>
                <w:szCs w:val="22"/>
              </w:rPr>
              <w:t>（</w:t>
            </w:r>
            <w:r>
              <w:rPr>
                <w:rFonts w:hint="eastAsia"/>
                <w:color w:val="auto"/>
                <w:sz w:val="24"/>
                <w:szCs w:val="22"/>
                <w:lang w:val="en-US" w:eastAsia="zh-CN"/>
              </w:rPr>
              <w:t>豫</w:t>
            </w:r>
            <w:r>
              <w:rPr>
                <w:rFonts w:hint="eastAsia"/>
                <w:color w:val="auto"/>
                <w:sz w:val="24"/>
                <w:szCs w:val="22"/>
              </w:rPr>
              <w:t>环委办</w:t>
            </w:r>
            <w:r>
              <w:rPr>
                <w:rFonts w:hint="eastAsia"/>
                <w:color w:val="auto"/>
                <w:sz w:val="24"/>
                <w:szCs w:val="22"/>
                <w:lang w:eastAsia="zh-CN"/>
              </w:rPr>
              <w:t>〔</w:t>
            </w:r>
            <w:r>
              <w:rPr>
                <w:rFonts w:hint="eastAsia"/>
                <w:color w:val="auto"/>
                <w:sz w:val="24"/>
                <w:szCs w:val="22"/>
              </w:rPr>
              <w:t>202</w:t>
            </w:r>
            <w:r>
              <w:rPr>
                <w:rFonts w:hint="eastAsia"/>
                <w:color w:val="auto"/>
                <w:sz w:val="24"/>
                <w:szCs w:val="22"/>
                <w:lang w:val="en-US" w:eastAsia="zh-CN"/>
              </w:rPr>
              <w:t>3〕4</w:t>
            </w:r>
            <w:r>
              <w:rPr>
                <w:rFonts w:hint="eastAsia"/>
                <w:color w:val="auto"/>
                <w:sz w:val="24"/>
                <w:szCs w:val="22"/>
              </w:rPr>
              <w:t>号）</w:t>
            </w:r>
            <w:r>
              <w:rPr>
                <w:rFonts w:hint="default" w:ascii="Times New Roman" w:hAnsi="Times New Roman" w:cs="Times New Roman"/>
                <w:snapToGrid w:val="0"/>
                <w:color w:val="auto"/>
                <w:kern w:val="0"/>
                <w:sz w:val="24"/>
              </w:rPr>
              <w:t>、</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平顶山市生态</w:t>
            </w:r>
            <w:r>
              <w:rPr>
                <w:rFonts w:hint="default" w:ascii="Times New Roman" w:hAnsi="Times New Roman" w:cs="Times New Roman"/>
                <w:color w:val="auto"/>
                <w:sz w:val="24"/>
              </w:rPr>
              <w:t>环境</w:t>
            </w:r>
            <w:r>
              <w:rPr>
                <w:rFonts w:hint="eastAsia" w:ascii="Times New Roman" w:hAnsi="Times New Roman" w:cs="Times New Roman"/>
                <w:color w:val="auto"/>
                <w:sz w:val="24"/>
                <w:lang w:val="en-US" w:eastAsia="zh-CN"/>
              </w:rPr>
              <w:t>保护委员会</w:t>
            </w:r>
            <w:r>
              <w:rPr>
                <w:rFonts w:hint="default" w:ascii="Times New Roman" w:hAnsi="Times New Roman" w:cs="Times New Roman"/>
                <w:color w:val="auto"/>
                <w:sz w:val="24"/>
              </w:rPr>
              <w:t>办公室关于印发</w:t>
            </w:r>
            <w:r>
              <w:rPr>
                <w:rFonts w:hint="eastAsia" w:ascii="Times New Roman" w:hAnsi="Times New Roman" w:cs="Times New Roman"/>
                <w:color w:val="auto"/>
                <w:sz w:val="24"/>
                <w:lang w:val="en-US" w:eastAsia="zh-CN"/>
              </w:rPr>
              <w:t>平顶山市</w:t>
            </w:r>
            <w:r>
              <w:rPr>
                <w:rFonts w:hint="default" w:ascii="Times New Roman" w:hAnsi="Times New Roman" w:cs="Times New Roman"/>
                <w:color w:val="auto"/>
                <w:sz w:val="24"/>
              </w:rPr>
              <w:t>202</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年大气、水、土壤污染防治攻坚战</w:t>
            </w:r>
            <w:r>
              <w:rPr>
                <w:rFonts w:hint="eastAsia" w:ascii="Times New Roman" w:hAnsi="Times New Roman" w:cs="Times New Roman"/>
                <w:color w:val="auto"/>
                <w:sz w:val="24"/>
                <w:lang w:val="en-US" w:eastAsia="zh-CN"/>
              </w:rPr>
              <w:t>及</w:t>
            </w:r>
            <w:r>
              <w:rPr>
                <w:rFonts w:hint="default" w:ascii="Times New Roman" w:hAnsi="Times New Roman" w:cs="Times New Roman"/>
                <w:color w:val="auto"/>
                <w:sz w:val="24"/>
              </w:rPr>
              <w:t>农</w:t>
            </w:r>
            <w:r>
              <w:rPr>
                <w:rFonts w:hint="eastAsia" w:ascii="Times New Roman" w:hAnsi="Times New Roman" w:cs="Times New Roman"/>
                <w:color w:val="auto"/>
                <w:sz w:val="24"/>
                <w:lang w:val="en-US" w:eastAsia="zh-CN"/>
              </w:rPr>
              <w:t>业</w:t>
            </w:r>
            <w:r>
              <w:rPr>
                <w:rFonts w:hint="default" w:ascii="Times New Roman" w:hAnsi="Times New Roman" w:cs="Times New Roman"/>
                <w:color w:val="auto"/>
                <w:sz w:val="24"/>
              </w:rPr>
              <w:t>农</w:t>
            </w:r>
            <w:r>
              <w:rPr>
                <w:rFonts w:hint="eastAsia" w:ascii="Times New Roman" w:hAnsi="Times New Roman" w:cs="Times New Roman"/>
                <w:color w:val="auto"/>
                <w:sz w:val="24"/>
                <w:lang w:val="en-US" w:eastAsia="zh-CN"/>
              </w:rPr>
              <w:t>村</w:t>
            </w:r>
            <w:r>
              <w:rPr>
                <w:rFonts w:hint="default" w:ascii="Times New Roman" w:hAnsi="Times New Roman" w:cs="Times New Roman"/>
                <w:color w:val="auto"/>
                <w:sz w:val="24"/>
              </w:rPr>
              <w:t>污染治理攻坚战实施方案的通知》（</w:t>
            </w:r>
            <w:r>
              <w:rPr>
                <w:rFonts w:hint="eastAsia" w:ascii="Times New Roman" w:hAnsi="Times New Roman" w:cs="Times New Roman"/>
                <w:color w:val="auto"/>
                <w:sz w:val="24"/>
                <w:lang w:val="en-US" w:eastAsia="zh-CN"/>
              </w:rPr>
              <w:t>平环委</w:t>
            </w:r>
            <w:r>
              <w:rPr>
                <w:rFonts w:hint="default" w:ascii="Times New Roman" w:hAnsi="Times New Roman" w:cs="Times New Roman"/>
                <w:color w:val="auto"/>
                <w:sz w:val="24"/>
              </w:rPr>
              <w:t>办</w:t>
            </w:r>
            <w:r>
              <w:rPr>
                <w:rFonts w:hint="eastAsia" w:cs="Times New Roman"/>
                <w:color w:val="auto"/>
                <w:sz w:val="24"/>
                <w:lang w:eastAsia="zh-CN"/>
              </w:rPr>
              <w:t>〔</w:t>
            </w:r>
            <w:r>
              <w:rPr>
                <w:rFonts w:hint="default" w:ascii="Times New Roman" w:hAnsi="Times New Roman" w:cs="Times New Roman"/>
                <w:color w:val="auto"/>
                <w:sz w:val="24"/>
              </w:rPr>
              <w:t>202</w:t>
            </w:r>
            <w:r>
              <w:rPr>
                <w:rFonts w:hint="eastAsia" w:ascii="Times New Roman" w:hAnsi="Times New Roman" w:cs="Times New Roman"/>
                <w:color w:val="auto"/>
                <w:sz w:val="24"/>
                <w:lang w:val="en-US" w:eastAsia="zh-CN"/>
              </w:rPr>
              <w:t>2</w:t>
            </w:r>
            <w:r>
              <w:rPr>
                <w:rFonts w:hint="eastAsia" w:cs="Times New Roman"/>
                <w:color w:val="auto"/>
                <w:sz w:val="24"/>
                <w:lang w:val="en-US" w:eastAsia="zh-CN"/>
              </w:rPr>
              <w:t>〕</w:t>
            </w:r>
            <w:r>
              <w:rPr>
                <w:rFonts w:hint="default" w:ascii="Times New Roman" w:hAnsi="Times New Roman" w:cs="Times New Roman"/>
                <w:color w:val="auto"/>
                <w:sz w:val="24"/>
              </w:rPr>
              <w:t>1</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号）等文件要求</w:t>
            </w:r>
            <w:r>
              <w:rPr>
                <w:color w:val="auto"/>
                <w:sz w:val="24"/>
              </w:rPr>
              <w:t>，</w:t>
            </w:r>
            <w:r>
              <w:rPr>
                <w:rFonts w:hint="eastAsia" w:ascii="Times New Roman" w:hAnsi="Times New Roman"/>
                <w:snapToGrid w:val="0"/>
                <w:color w:val="auto"/>
                <w:kern w:val="0"/>
                <w:sz w:val="24"/>
                <w:szCs w:val="24"/>
              </w:rPr>
              <w:t>通过</w:t>
            </w:r>
            <w:r>
              <w:rPr>
                <w:rFonts w:hint="eastAsia" w:ascii="Times New Roman" w:hAnsi="Times New Roman"/>
                <w:snapToGrid w:val="0"/>
                <w:color w:val="auto"/>
                <w:kern w:val="0"/>
                <w:sz w:val="24"/>
                <w:szCs w:val="24"/>
                <w:lang w:eastAsia="zh-CN"/>
              </w:rPr>
              <w:t>大力提升有组织排放治理水平，督促相关企业因厂制宜选择成熟可靠的环保治理技术，工业锅炉、工业炉窑应采用低氮燃烧技术等；</w:t>
            </w:r>
            <w:r>
              <w:rPr>
                <w:rFonts w:hint="eastAsia" w:ascii="Times New Roman" w:hAnsi="Times New Roman"/>
                <w:snapToGrid w:val="0"/>
                <w:color w:val="auto"/>
                <w:kern w:val="0"/>
                <w:sz w:val="24"/>
                <w:szCs w:val="24"/>
              </w:rPr>
              <w:t>强化重点工业企业无组织排放治理，</w:t>
            </w:r>
            <w:r>
              <w:rPr>
                <w:rFonts w:hint="eastAsia" w:ascii="Times New Roman" w:hAnsi="Times New Roman"/>
                <w:snapToGrid w:val="0"/>
                <w:color w:val="auto"/>
                <w:kern w:val="0"/>
                <w:sz w:val="24"/>
                <w:szCs w:val="24"/>
                <w:lang w:eastAsia="zh-CN"/>
              </w:rPr>
              <w:t>全面实现“五到位、一密闭”</w:t>
            </w:r>
            <w:r>
              <w:rPr>
                <w:rFonts w:hint="eastAsia" w:ascii="Times New Roman" w:hAnsi="Times New Roman"/>
                <w:snapToGrid w:val="0"/>
                <w:color w:val="auto"/>
                <w:kern w:val="0"/>
                <w:sz w:val="24"/>
                <w:szCs w:val="24"/>
              </w:rPr>
              <w:t>，切实减少细颗粒物产生和排放，强化挥发性有机物（VOCs）污染防治等措施，改善当地环境质量，空气质量将逐渐转好。</w:t>
            </w:r>
          </w:p>
          <w:p>
            <w:pPr>
              <w:adjustRightInd w:val="0"/>
              <w:snapToGrid w:val="0"/>
              <w:spacing w:line="500" w:lineRule="exact"/>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（2）其他污染物环境质量现状</w:t>
            </w:r>
          </w:p>
          <w:p>
            <w:pPr>
              <w:spacing w:line="520" w:lineRule="exact"/>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按照《建设项目环境影响报告表编制技术指南（污染影响类）》（试行）要求，本项目需补充非甲烷总烃污染因子的监测数据，因此建设单位委托河南</w:t>
            </w:r>
            <w:r>
              <w:rPr>
                <w:rFonts w:hint="eastAsia" w:ascii="Times New Roman" w:hAnsi="Times New Roman" w:cs="Times New Roman"/>
                <w:color w:val="000000"/>
                <w:sz w:val="24"/>
                <w:lang w:val="en-US" w:eastAsia="zh-CN"/>
              </w:rPr>
              <w:t>鼎晟</w:t>
            </w:r>
            <w:r>
              <w:rPr>
                <w:rFonts w:hint="default" w:ascii="Times New Roman" w:hAnsi="Times New Roman" w:cs="Times New Roman"/>
                <w:color w:val="000000"/>
                <w:sz w:val="24"/>
              </w:rPr>
              <w:t>检测技术有限公司对非甲烷总烃进行了现状监测，本次监测点位布置在</w:t>
            </w:r>
            <w:r>
              <w:rPr>
                <w:rFonts w:hint="eastAsia" w:ascii="Times New Roman" w:hAnsi="Times New Roman" w:eastAsia="宋体" w:cs="Times New Roman"/>
                <w:sz w:val="24"/>
                <w:szCs w:val="24"/>
                <w:lang w:eastAsia="zh-CN"/>
              </w:rPr>
              <w:t>河南巨典游乐设备有限公司</w:t>
            </w:r>
            <w:r>
              <w:rPr>
                <w:rFonts w:hint="eastAsia" w:cs="Times New Roman"/>
                <w:sz w:val="24"/>
                <w:szCs w:val="24"/>
                <w:lang w:val="en-US" w:eastAsia="zh-CN"/>
              </w:rPr>
              <w:t>厂区</w:t>
            </w:r>
            <w:r>
              <w:rPr>
                <w:rFonts w:hint="default" w:ascii="Times New Roman" w:hAnsi="Times New Roman" w:cs="Times New Roman"/>
                <w:color w:val="000000"/>
                <w:sz w:val="24"/>
              </w:rPr>
              <w:t>，本</w:t>
            </w:r>
            <w:r>
              <w:rPr>
                <w:rFonts w:hint="default" w:ascii="Times New Roman" w:hAnsi="Times New Roman" w:cs="Times New Roman"/>
                <w:color w:val="auto"/>
                <w:sz w:val="24"/>
              </w:rPr>
              <w:t>次监测连续进行三天（202</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月</w:t>
            </w:r>
            <w:r>
              <w:rPr>
                <w:rFonts w:hint="eastAsia" w:cs="Times New Roman"/>
                <w:color w:val="auto"/>
                <w:sz w:val="24"/>
                <w:lang w:val="en-US" w:eastAsia="zh-CN"/>
              </w:rPr>
              <w:t>24</w:t>
            </w:r>
            <w:r>
              <w:rPr>
                <w:rFonts w:hint="default" w:ascii="Times New Roman" w:hAnsi="Times New Roman" w:cs="Times New Roman"/>
                <w:color w:val="auto"/>
                <w:sz w:val="24"/>
              </w:rPr>
              <w:t>日—</w:t>
            </w:r>
            <w:r>
              <w:rPr>
                <w:rFonts w:hint="eastAsia" w:cs="Times New Roman"/>
                <w:color w:val="auto"/>
                <w:sz w:val="24"/>
                <w:lang w:val="en-US" w:eastAsia="zh-CN"/>
              </w:rPr>
              <w:t>26</w:t>
            </w:r>
            <w:r>
              <w:rPr>
                <w:rFonts w:hint="default" w:ascii="Times New Roman" w:hAnsi="Times New Roman" w:cs="Times New Roman"/>
                <w:color w:val="auto"/>
                <w:sz w:val="24"/>
              </w:rPr>
              <w:t>日）</w:t>
            </w:r>
            <w:r>
              <w:rPr>
                <w:rFonts w:hint="default" w:ascii="Times New Roman" w:hAnsi="Times New Roman" w:cs="Times New Roman"/>
                <w:color w:val="000000"/>
                <w:sz w:val="24"/>
              </w:rPr>
              <w:t>。环境空气质量现状监测结果见下表所示，</w:t>
            </w:r>
            <w:r>
              <w:rPr>
                <w:rFonts w:hint="eastAsia" w:cs="Times New Roman"/>
                <w:color w:val="000000"/>
                <w:sz w:val="24"/>
                <w:lang w:eastAsia="zh-CN"/>
              </w:rPr>
              <w:t>监测</w:t>
            </w:r>
            <w:r>
              <w:rPr>
                <w:rFonts w:hint="default" w:ascii="Times New Roman" w:hAnsi="Times New Roman" w:cs="Times New Roman"/>
                <w:color w:val="auto"/>
                <w:sz w:val="24"/>
              </w:rPr>
              <w:t>报告见附件</w:t>
            </w:r>
            <w:r>
              <w:rPr>
                <w:rFonts w:hint="eastAsia" w:cs="Times New Roman"/>
                <w:color w:val="auto"/>
                <w:sz w:val="24"/>
                <w:lang w:val="en-US" w:eastAsia="zh-CN"/>
              </w:rPr>
              <w:t>六</w:t>
            </w:r>
            <w:r>
              <w:rPr>
                <w:rFonts w:hint="default" w:ascii="Times New Roman" w:hAnsi="Times New Roman" w:cs="Times New Roman"/>
                <w:color w:val="auto"/>
                <w:sz w:val="24"/>
              </w:rPr>
              <w:t>。</w:t>
            </w:r>
          </w:p>
          <w:p>
            <w:pPr>
              <w:widowControl/>
              <w:adjustRightInd w:val="0"/>
              <w:snapToGrid w:val="0"/>
              <w:spacing w:line="520" w:lineRule="exact"/>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表3-2   特征污染物环境质量现状检测结果   单位：mg/m</w:t>
            </w:r>
            <w:r>
              <w:rPr>
                <w:rFonts w:hint="default" w:ascii="Times New Roman" w:hAnsi="Times New Roman" w:cs="Times New Roman"/>
                <w:b/>
                <w:bCs/>
                <w:color w:val="000000"/>
                <w:sz w:val="24"/>
                <w:vertAlign w:val="superscript"/>
              </w:rPr>
              <w:t>3</w:t>
            </w:r>
          </w:p>
          <w:tbl>
            <w:tblPr>
              <w:tblStyle w:val="24"/>
              <w:tblW w:w="499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2149"/>
              <w:gridCol w:w="1864"/>
              <w:gridCol w:w="1528"/>
              <w:gridCol w:w="186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57" w:type="pct"/>
                  <w:tcBorders>
                    <w:tl2br w:val="nil"/>
                    <w:tr2bl w:val="nil"/>
                  </w:tcBorders>
                  <w:noWrap w:val="0"/>
                  <w:vAlign w:val="center"/>
                </w:tcPr>
                <w:p>
                  <w:pPr>
                    <w:wordWrap w:val="0"/>
                    <w:spacing w:line="360" w:lineRule="exact"/>
                    <w:jc w:val="center"/>
                    <w:rPr>
                      <w:rFonts w:hint="default" w:ascii="Times New Roman" w:hAnsi="Times New Roman" w:cs="Times New Roman"/>
                      <w:color w:val="000000"/>
                      <w:szCs w:val="21"/>
                    </w:rPr>
                  </w:pPr>
                  <w:r>
                    <w:rPr>
                      <w:rFonts w:hint="eastAsia" w:cs="Times New Roman"/>
                      <w:color w:val="000000"/>
                      <w:szCs w:val="21"/>
                      <w:lang w:eastAsia="zh-CN"/>
                    </w:rPr>
                    <w:t>监测点位</w:t>
                  </w:r>
                </w:p>
              </w:tc>
              <w:tc>
                <w:tcPr>
                  <w:tcW w:w="1173" w:type="pct"/>
                  <w:tcBorders>
                    <w:tl2br w:val="nil"/>
                    <w:tr2bl w:val="nil"/>
                  </w:tcBorders>
                  <w:noWrap w:val="0"/>
                  <w:vAlign w:val="center"/>
                </w:tcPr>
                <w:p>
                  <w:pPr>
                    <w:wordWrap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检测项目</w:t>
                  </w:r>
                </w:p>
              </w:tc>
              <w:tc>
                <w:tcPr>
                  <w:tcW w:w="1017" w:type="pct"/>
                  <w:tcBorders>
                    <w:tl2br w:val="nil"/>
                    <w:tr2bl w:val="nil"/>
                  </w:tcBorders>
                  <w:noWrap w:val="0"/>
                  <w:vAlign w:val="center"/>
                </w:tcPr>
                <w:p>
                  <w:pPr>
                    <w:wordWrap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检测结果</w:t>
                  </w:r>
                </w:p>
              </w:tc>
              <w:tc>
                <w:tcPr>
                  <w:tcW w:w="834" w:type="pct"/>
                  <w:tcBorders>
                    <w:tl2br w:val="nil"/>
                    <w:tr2bl w:val="nil"/>
                  </w:tcBorders>
                  <w:noWrap w:val="0"/>
                  <w:vAlign w:val="center"/>
                </w:tcPr>
                <w:p>
                  <w:pPr>
                    <w:wordWrap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标准值</w:t>
                  </w:r>
                </w:p>
              </w:tc>
              <w:tc>
                <w:tcPr>
                  <w:tcW w:w="1017" w:type="pct"/>
                  <w:tcBorders>
                    <w:tl2br w:val="nil"/>
                    <w:tr2bl w:val="nil"/>
                  </w:tcBorders>
                  <w:noWrap w:val="0"/>
                  <w:vAlign w:val="center"/>
                </w:tcPr>
                <w:p>
                  <w:pPr>
                    <w:wordWrap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7" w:type="pct"/>
                  <w:tcBorders>
                    <w:tl2br w:val="nil"/>
                    <w:tr2bl w:val="nil"/>
                  </w:tcBorders>
                  <w:noWrap w:val="0"/>
                  <w:vAlign w:val="center"/>
                </w:tcPr>
                <w:p>
                  <w:pPr>
                    <w:spacing w:line="360" w:lineRule="exact"/>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szCs w:val="21"/>
                    </w:rPr>
                    <w:t>下风向</w:t>
                  </w:r>
                </w:p>
              </w:tc>
              <w:tc>
                <w:tcPr>
                  <w:tcW w:w="1173" w:type="pct"/>
                  <w:tcBorders>
                    <w:tl2br w:val="nil"/>
                    <w:tr2bl w:val="nil"/>
                  </w:tcBorders>
                  <w:noWrap w:val="0"/>
                  <w:vAlign w:val="center"/>
                </w:tcPr>
                <w:p>
                  <w:pPr>
                    <w:wordWrap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rPr>
                    <w:t>非甲烷总烃</w:t>
                  </w:r>
                </w:p>
              </w:tc>
              <w:tc>
                <w:tcPr>
                  <w:tcW w:w="1017" w:type="pct"/>
                  <w:tcBorders>
                    <w:tl2br w:val="nil"/>
                    <w:tr2bl w:val="nil"/>
                  </w:tcBorders>
                  <w:noWrap w:val="0"/>
                  <w:vAlign w:val="center"/>
                </w:tcPr>
                <w:p>
                  <w:pPr>
                    <w:wordWrap w:val="0"/>
                    <w:spacing w:line="360" w:lineRule="exact"/>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0.33-0.48</w:t>
                  </w:r>
                </w:p>
              </w:tc>
              <w:tc>
                <w:tcPr>
                  <w:tcW w:w="834" w:type="pct"/>
                  <w:tcBorders>
                    <w:tl2br w:val="nil"/>
                    <w:tr2bl w:val="nil"/>
                  </w:tcBorders>
                  <w:noWrap w:val="0"/>
                  <w:vAlign w:val="center"/>
                </w:tcPr>
                <w:p>
                  <w:pPr>
                    <w:wordWrap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2.0</w:t>
                  </w:r>
                </w:p>
              </w:tc>
              <w:tc>
                <w:tcPr>
                  <w:tcW w:w="1017" w:type="pct"/>
                  <w:tcBorders>
                    <w:tl2br w:val="nil"/>
                    <w:tr2bl w:val="nil"/>
                  </w:tcBorders>
                  <w:noWrap w:val="0"/>
                  <w:vAlign w:val="center"/>
                </w:tcPr>
                <w:p>
                  <w:pPr>
                    <w:wordWrap w:val="0"/>
                    <w:spacing w:line="36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r>
          </w:tbl>
          <w:p>
            <w:pPr>
              <w:spacing w:line="520" w:lineRule="exact"/>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由上表可知：非甲烷总烃环境质量现状浓度满足《大气污染物综合排放标准详解》中2.0mg/m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标准的要求。</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sz w:val="24"/>
              </w:rPr>
            </w:pPr>
            <w:r>
              <w:rPr>
                <w:rFonts w:hint="eastAsia"/>
                <w:b/>
                <w:sz w:val="24"/>
              </w:rPr>
              <w:t>2</w:t>
            </w:r>
            <w:r>
              <w:rPr>
                <w:b/>
                <w:sz w:val="24"/>
              </w:rPr>
              <w:t>、</w:t>
            </w:r>
            <w:r>
              <w:rPr>
                <w:rFonts w:hint="eastAsia"/>
                <w:b/>
                <w:sz w:val="24"/>
              </w:rPr>
              <w:t>地表水</w:t>
            </w:r>
            <w:r>
              <w:rPr>
                <w:b/>
                <w:sz w:val="24"/>
              </w:rPr>
              <w:t>环境质量现状</w:t>
            </w:r>
          </w:p>
          <w:p>
            <w:pPr>
              <w:adjustRightInd w:val="0"/>
              <w:snapToGrid w:val="0"/>
              <w:spacing w:line="360" w:lineRule="auto"/>
              <w:ind w:firstLine="480" w:firstLineChars="200"/>
              <w:rPr>
                <w:rFonts w:hint="eastAsia" w:cs="Times New Roman"/>
                <w:b w:val="0"/>
                <w:bCs/>
                <w:color w:val="auto"/>
                <w:sz w:val="24"/>
                <w:u w:val="none"/>
                <w:lang w:val="en-US" w:eastAsia="zh-CN"/>
              </w:rPr>
            </w:pPr>
            <w:r>
              <w:rPr>
                <w:rFonts w:hint="default" w:ascii="Times New Roman" w:hAnsi="Times New Roman" w:cs="Times New Roman"/>
                <w:color w:val="000000"/>
                <w:sz w:val="24"/>
                <w:lang w:val="en-US" w:eastAsia="zh-CN"/>
              </w:rPr>
              <w:t>本项目生产废水不外排，距离本项目最近的地表水体为项目</w:t>
            </w:r>
            <w:r>
              <w:rPr>
                <w:rFonts w:hint="eastAsia" w:ascii="Times New Roman" w:hAnsi="Times New Roman" w:cs="Times New Roman"/>
                <w:color w:val="000000"/>
                <w:sz w:val="24"/>
                <w:lang w:val="en-US" w:eastAsia="zh-CN"/>
              </w:rPr>
              <w:t>西</w:t>
            </w:r>
            <w:r>
              <w:rPr>
                <w:rFonts w:hint="eastAsia" w:cs="Times New Roman"/>
                <w:color w:val="000000"/>
                <w:sz w:val="24"/>
                <w:lang w:val="en-US" w:eastAsia="zh-CN"/>
              </w:rPr>
              <w:t>南</w:t>
            </w:r>
            <w:r>
              <w:rPr>
                <w:rFonts w:hint="default" w:ascii="Times New Roman" w:hAnsi="Times New Roman" w:cs="Times New Roman"/>
                <w:color w:val="000000"/>
                <w:sz w:val="24"/>
                <w:lang w:val="en-US" w:eastAsia="zh-CN"/>
              </w:rPr>
              <w:t>侧</w:t>
            </w:r>
            <w:r>
              <w:rPr>
                <w:rFonts w:hint="eastAsia" w:cs="Times New Roman"/>
                <w:color w:val="000000"/>
                <w:sz w:val="24"/>
                <w:lang w:val="en-US" w:eastAsia="zh-CN"/>
              </w:rPr>
              <w:t>1306</w:t>
            </w:r>
            <w:r>
              <w:rPr>
                <w:rFonts w:hint="eastAsia" w:ascii="Times New Roman" w:hAnsi="Times New Roman" w:cs="Times New Roman"/>
                <w:color w:val="000000"/>
                <w:sz w:val="24"/>
                <w:lang w:val="en-US" w:eastAsia="zh-CN"/>
              </w:rPr>
              <w:t>m</w:t>
            </w:r>
            <w:r>
              <w:rPr>
                <w:rFonts w:hint="default" w:ascii="Times New Roman" w:hAnsi="Times New Roman" w:cs="Times New Roman"/>
                <w:color w:val="000000"/>
                <w:sz w:val="24"/>
                <w:lang w:val="en-US" w:eastAsia="zh-CN"/>
              </w:rPr>
              <w:t>大浪河，大浪河向东南最终汇入沙河。根据水体功能区划，沙河应执行《地表水环境质量标准》（GB3838-2002）Ⅲ类标准。本次评价引用2021年12月15日平顶山市地表水环境质量考核断面：沙河关庙杜断面监测数据，其监测结果见下表。</w:t>
            </w:r>
          </w:p>
          <w:p>
            <w:pPr>
              <w:adjustRightInd w:val="0"/>
              <w:snapToGrid w:val="0"/>
              <w:spacing w:line="240" w:lineRule="auto"/>
              <w:jc w:val="center"/>
              <w:rPr>
                <w:rFonts w:hint="eastAsia" w:cs="Times New Roman"/>
                <w:b/>
                <w:bCs w:val="0"/>
                <w:color w:val="auto"/>
                <w:sz w:val="24"/>
                <w:u w:val="none"/>
                <w:lang w:val="en-US" w:eastAsia="zh-CN"/>
              </w:rPr>
            </w:pPr>
            <w:r>
              <w:rPr>
                <w:rFonts w:hint="eastAsia" w:cs="Times New Roman"/>
                <w:b/>
                <w:bCs w:val="0"/>
                <w:color w:val="auto"/>
                <w:sz w:val="24"/>
                <w:u w:val="none"/>
                <w:lang w:val="en-US" w:eastAsia="zh-CN"/>
              </w:rPr>
              <w:t xml:space="preserve">            表3-3   地表水监测结果           统计单位：mg/L（</w:t>
            </w:r>
            <w:r>
              <w:rPr>
                <w:rFonts w:hint="default" w:ascii="Times New Roman" w:hAnsi="Times New Roman" w:cs="Times New Roman"/>
                <w:b/>
                <w:snapToGrid w:val="0"/>
                <w:color w:val="000000"/>
                <w:kern w:val="0"/>
                <w:sz w:val="24"/>
              </w:rPr>
              <w:t>pH值、另注除外</w:t>
            </w:r>
            <w:r>
              <w:rPr>
                <w:rFonts w:hint="eastAsia" w:cs="Times New Roman"/>
                <w:b/>
                <w:bCs w:val="0"/>
                <w:color w:val="auto"/>
                <w:sz w:val="24"/>
                <w:u w:val="none"/>
                <w:lang w:val="en-US" w:eastAsia="zh-CN"/>
              </w:rPr>
              <w:t>）</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520"/>
              <w:gridCol w:w="1588"/>
              <w:gridCol w:w="1236"/>
              <w:gridCol w:w="1379"/>
              <w:gridCol w:w="1410"/>
              <w:gridCol w:w="201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830"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监测断面</w:t>
                  </w:r>
                </w:p>
              </w:tc>
              <w:tc>
                <w:tcPr>
                  <w:tcW w:w="86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评价指标</w:t>
                  </w:r>
                </w:p>
              </w:tc>
              <w:tc>
                <w:tcPr>
                  <w:tcW w:w="67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pH</w:t>
                  </w:r>
                </w:p>
              </w:tc>
              <w:tc>
                <w:tcPr>
                  <w:tcW w:w="753"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COD</w:t>
                  </w:r>
                </w:p>
              </w:tc>
              <w:tc>
                <w:tcPr>
                  <w:tcW w:w="770"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b w:val="0"/>
                      <w:bCs w:val="0"/>
                      <w:color w:val="auto"/>
                      <w:sz w:val="21"/>
                      <w:szCs w:val="21"/>
                      <w:highlight w:val="none"/>
                      <w:u w:val="none"/>
                      <w:lang w:eastAsia="zh-CN"/>
                    </w:rPr>
                  </w:pPr>
                  <w:r>
                    <w:rPr>
                      <w:rFonts w:hint="eastAsia" w:ascii="Times New Roman" w:hAnsi="Times New Roman"/>
                      <w:b w:val="0"/>
                      <w:bCs w:val="0"/>
                      <w:color w:val="auto"/>
                      <w:sz w:val="21"/>
                      <w:szCs w:val="21"/>
                      <w:highlight w:val="none"/>
                      <w:u w:val="none"/>
                      <w:lang w:eastAsia="zh-CN"/>
                    </w:rPr>
                    <w:t>总磷</w:t>
                  </w:r>
                </w:p>
              </w:tc>
              <w:tc>
                <w:tcPr>
                  <w:tcW w:w="110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NH</w:t>
                  </w:r>
                  <w:r>
                    <w:rPr>
                      <w:rFonts w:ascii="Times New Roman" w:hAnsi="Times New Roman"/>
                      <w:b w:val="0"/>
                      <w:bCs w:val="0"/>
                      <w:color w:val="auto"/>
                      <w:sz w:val="21"/>
                      <w:szCs w:val="21"/>
                      <w:highlight w:val="none"/>
                      <w:u w:val="none"/>
                      <w:vertAlign w:val="subscript"/>
                    </w:rPr>
                    <w:t>3</w:t>
                  </w:r>
                  <w:r>
                    <w:rPr>
                      <w:rFonts w:ascii="Times New Roman" w:hAnsi="Times New Roman"/>
                      <w:b w:val="0"/>
                      <w:bCs w:val="0"/>
                      <w:color w:val="auto"/>
                      <w:sz w:val="21"/>
                      <w:szCs w:val="21"/>
                      <w:highlight w:val="none"/>
                      <w:u w:val="none"/>
                    </w:rPr>
                    <w:t>-N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830"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b w:val="0"/>
                      <w:bCs w:val="0"/>
                      <w:color w:val="auto"/>
                      <w:sz w:val="21"/>
                      <w:szCs w:val="21"/>
                      <w:highlight w:val="none"/>
                      <w:u w:val="none"/>
                      <w:lang w:eastAsia="zh-CN"/>
                    </w:rPr>
                  </w:pPr>
                  <w:r>
                    <w:rPr>
                      <w:rFonts w:hint="eastAsia" w:ascii="Times New Roman" w:hAnsi="Times New Roman"/>
                      <w:b w:val="0"/>
                      <w:bCs w:val="0"/>
                      <w:color w:val="000000"/>
                      <w:sz w:val="21"/>
                      <w:szCs w:val="21"/>
                      <w:highlight w:val="none"/>
                      <w:u w:val="none"/>
                    </w:rPr>
                    <w:t>沙河</w:t>
                  </w:r>
                  <w:r>
                    <w:rPr>
                      <w:rFonts w:hint="eastAsia" w:ascii="Times New Roman" w:hAnsi="Times New Roman"/>
                      <w:b w:val="0"/>
                      <w:bCs w:val="0"/>
                      <w:color w:val="000000"/>
                      <w:sz w:val="21"/>
                      <w:szCs w:val="21"/>
                      <w:highlight w:val="none"/>
                      <w:u w:val="none"/>
                      <w:lang w:eastAsia="zh-CN"/>
                    </w:rPr>
                    <w:t>关庙杜</w:t>
                  </w:r>
                  <w:r>
                    <w:rPr>
                      <w:rFonts w:hint="eastAsia" w:ascii="Times New Roman" w:hAnsi="Times New Roman"/>
                      <w:b w:val="0"/>
                      <w:bCs w:val="0"/>
                      <w:color w:val="000000"/>
                      <w:sz w:val="21"/>
                      <w:szCs w:val="21"/>
                      <w:highlight w:val="none"/>
                      <w:u w:val="none"/>
                    </w:rPr>
                    <w:t>断面</w:t>
                  </w:r>
                  <w:r>
                    <w:rPr>
                      <w:rFonts w:hint="eastAsia"/>
                      <w:b w:val="0"/>
                      <w:bCs w:val="0"/>
                      <w:color w:val="000000"/>
                      <w:sz w:val="21"/>
                      <w:szCs w:val="21"/>
                      <w:highlight w:val="none"/>
                      <w:u w:val="none"/>
                      <w:lang w:eastAsia="zh-CN"/>
                    </w:rPr>
                    <w:t>（</w:t>
                  </w:r>
                  <w:r>
                    <w:rPr>
                      <w:rFonts w:hint="eastAsia"/>
                      <w:b w:val="0"/>
                      <w:bCs w:val="0"/>
                      <w:color w:val="000000"/>
                      <w:sz w:val="21"/>
                      <w:szCs w:val="21"/>
                      <w:highlight w:val="none"/>
                      <w:u w:val="none"/>
                      <w:lang w:val="en-US" w:eastAsia="zh-CN"/>
                    </w:rPr>
                    <w:t>2021.12.15</w:t>
                  </w:r>
                  <w:r>
                    <w:rPr>
                      <w:rFonts w:hint="eastAsia"/>
                      <w:b w:val="0"/>
                      <w:bCs w:val="0"/>
                      <w:color w:val="000000"/>
                      <w:sz w:val="21"/>
                      <w:szCs w:val="21"/>
                      <w:highlight w:val="none"/>
                      <w:u w:val="none"/>
                      <w:lang w:eastAsia="zh-CN"/>
                    </w:rPr>
                    <w:t>）</w:t>
                  </w:r>
                </w:p>
              </w:tc>
              <w:tc>
                <w:tcPr>
                  <w:tcW w:w="86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b w:val="0"/>
                      <w:bCs w:val="0"/>
                      <w:color w:val="auto"/>
                      <w:sz w:val="21"/>
                      <w:szCs w:val="21"/>
                      <w:highlight w:val="none"/>
                      <w:u w:val="none"/>
                      <w:lang w:eastAsia="zh-CN"/>
                    </w:rPr>
                  </w:pPr>
                  <w:r>
                    <w:rPr>
                      <w:rFonts w:hint="eastAsia"/>
                      <w:b w:val="0"/>
                      <w:bCs w:val="0"/>
                      <w:color w:val="auto"/>
                      <w:sz w:val="21"/>
                      <w:szCs w:val="21"/>
                      <w:highlight w:val="none"/>
                      <w:u w:val="none"/>
                      <w:lang w:eastAsia="zh-CN"/>
                    </w:rPr>
                    <w:t>检测值</w:t>
                  </w:r>
                </w:p>
              </w:tc>
              <w:tc>
                <w:tcPr>
                  <w:tcW w:w="67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b w:val="0"/>
                      <w:bCs w:val="0"/>
                      <w:color w:val="auto"/>
                      <w:sz w:val="21"/>
                      <w:szCs w:val="21"/>
                      <w:highlight w:val="none"/>
                      <w:u w:val="none"/>
                      <w:lang w:val="en-US" w:eastAsia="zh-CN"/>
                    </w:rPr>
                  </w:pPr>
                  <w:r>
                    <w:rPr>
                      <w:rFonts w:hint="eastAsia"/>
                      <w:b w:val="0"/>
                      <w:bCs w:val="0"/>
                      <w:color w:val="auto"/>
                      <w:sz w:val="21"/>
                      <w:szCs w:val="21"/>
                      <w:highlight w:val="none"/>
                      <w:u w:val="none"/>
                      <w:lang w:val="en-US" w:eastAsia="zh-CN"/>
                    </w:rPr>
                    <w:t>8.3</w:t>
                  </w:r>
                </w:p>
              </w:tc>
              <w:tc>
                <w:tcPr>
                  <w:tcW w:w="753"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b w:val="0"/>
                      <w:bCs w:val="0"/>
                      <w:color w:val="auto"/>
                      <w:sz w:val="21"/>
                      <w:szCs w:val="21"/>
                      <w:highlight w:val="none"/>
                      <w:u w:val="none"/>
                      <w:lang w:val="en-US" w:eastAsia="zh-CN"/>
                    </w:rPr>
                  </w:pPr>
                  <w:r>
                    <w:rPr>
                      <w:rFonts w:hint="eastAsia"/>
                      <w:b w:val="0"/>
                      <w:bCs w:val="0"/>
                      <w:color w:val="auto"/>
                      <w:sz w:val="21"/>
                      <w:szCs w:val="21"/>
                      <w:highlight w:val="none"/>
                      <w:u w:val="none"/>
                      <w:lang w:val="en-US" w:eastAsia="zh-CN"/>
                    </w:rPr>
                    <w:t>12</w:t>
                  </w:r>
                </w:p>
              </w:tc>
              <w:tc>
                <w:tcPr>
                  <w:tcW w:w="770"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b w:val="0"/>
                      <w:bCs w:val="0"/>
                      <w:color w:val="auto"/>
                      <w:sz w:val="21"/>
                      <w:szCs w:val="21"/>
                      <w:highlight w:val="none"/>
                      <w:u w:val="none"/>
                      <w:lang w:val="en-US" w:eastAsia="zh-CN"/>
                    </w:rPr>
                  </w:pPr>
                  <w:r>
                    <w:rPr>
                      <w:rFonts w:hint="eastAsia"/>
                      <w:b w:val="0"/>
                      <w:bCs w:val="0"/>
                      <w:color w:val="auto"/>
                      <w:sz w:val="21"/>
                      <w:szCs w:val="21"/>
                      <w:highlight w:val="none"/>
                      <w:u w:val="none"/>
                      <w:lang w:val="en-US" w:eastAsia="zh-CN"/>
                    </w:rPr>
                    <w:t>0.03</w:t>
                  </w:r>
                </w:p>
              </w:tc>
              <w:tc>
                <w:tcPr>
                  <w:tcW w:w="110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b w:val="0"/>
                      <w:bCs w:val="0"/>
                      <w:color w:val="auto"/>
                      <w:sz w:val="21"/>
                      <w:szCs w:val="21"/>
                      <w:highlight w:val="none"/>
                      <w:u w:val="none"/>
                      <w:lang w:val="en-US" w:eastAsia="zh-CN"/>
                    </w:rPr>
                  </w:pPr>
                  <w:r>
                    <w:rPr>
                      <w:rFonts w:hint="eastAsia"/>
                      <w:b w:val="0"/>
                      <w:bCs w:val="0"/>
                      <w:color w:val="auto"/>
                      <w:sz w:val="21"/>
                      <w:szCs w:val="21"/>
                      <w:highlight w:val="none"/>
                      <w:u w:val="none"/>
                      <w:lang w:val="en-US" w:eastAsia="zh-CN"/>
                    </w:rPr>
                    <w:t>0.245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83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p>
              </w:tc>
              <w:tc>
                <w:tcPr>
                  <w:tcW w:w="86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标准值</w:t>
                  </w:r>
                </w:p>
              </w:tc>
              <w:tc>
                <w:tcPr>
                  <w:tcW w:w="67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6~9</w:t>
                  </w:r>
                </w:p>
              </w:tc>
              <w:tc>
                <w:tcPr>
                  <w:tcW w:w="753"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hint="eastAsia" w:ascii="Times New Roman" w:hAnsi="Times New Roman"/>
                      <w:b w:val="0"/>
                      <w:bCs w:val="0"/>
                      <w:color w:val="auto"/>
                      <w:sz w:val="21"/>
                      <w:szCs w:val="21"/>
                      <w:highlight w:val="none"/>
                      <w:u w:val="none"/>
                    </w:rPr>
                    <w:t>20</w:t>
                  </w:r>
                </w:p>
              </w:tc>
              <w:tc>
                <w:tcPr>
                  <w:tcW w:w="770"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b w:val="0"/>
                      <w:bCs w:val="0"/>
                      <w:color w:val="auto"/>
                      <w:sz w:val="21"/>
                      <w:szCs w:val="21"/>
                      <w:highlight w:val="none"/>
                      <w:u w:val="none"/>
                      <w:lang w:val="en-US" w:eastAsia="zh-CN"/>
                    </w:rPr>
                  </w:pPr>
                  <w:r>
                    <w:rPr>
                      <w:rFonts w:hint="eastAsia" w:ascii="Times New Roman" w:hAnsi="Times New Roman"/>
                      <w:b w:val="0"/>
                      <w:bCs w:val="0"/>
                      <w:color w:val="auto"/>
                      <w:sz w:val="21"/>
                      <w:szCs w:val="21"/>
                      <w:highlight w:val="none"/>
                      <w:u w:val="none"/>
                      <w:lang w:val="en-US" w:eastAsia="zh-CN"/>
                    </w:rPr>
                    <w:t>0.2</w:t>
                  </w:r>
                </w:p>
              </w:tc>
              <w:tc>
                <w:tcPr>
                  <w:tcW w:w="110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hint="eastAsia" w:ascii="Times New Roman" w:hAnsi="Times New Roman"/>
                      <w:b w:val="0"/>
                      <w:bCs w:val="0"/>
                      <w:color w:val="auto"/>
                      <w:sz w:val="21"/>
                      <w:szCs w:val="21"/>
                      <w:highlight w:val="none"/>
                      <w:u w:val="none"/>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83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p>
              </w:tc>
              <w:tc>
                <w:tcPr>
                  <w:tcW w:w="86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hint="default" w:ascii="Times New Roman" w:hAnsi="Times New Roman" w:cs="Times New Roman"/>
                      <w:color w:val="000000"/>
                      <w:szCs w:val="21"/>
                    </w:rPr>
                    <w:t>标准指数</w:t>
                  </w:r>
                </w:p>
              </w:tc>
              <w:tc>
                <w:tcPr>
                  <w:tcW w:w="67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b w:val="0"/>
                      <w:bCs w:val="0"/>
                      <w:color w:val="auto"/>
                      <w:sz w:val="21"/>
                      <w:szCs w:val="21"/>
                      <w:highlight w:val="none"/>
                      <w:u w:val="none"/>
                      <w:lang w:val="en-US" w:eastAsia="zh-CN"/>
                    </w:rPr>
                  </w:pPr>
                  <w:r>
                    <w:rPr>
                      <w:rFonts w:hint="eastAsia" w:ascii="Times New Roman" w:hAnsi="Times New Roman"/>
                      <w:b w:val="0"/>
                      <w:bCs w:val="0"/>
                      <w:color w:val="auto"/>
                      <w:sz w:val="21"/>
                      <w:szCs w:val="21"/>
                      <w:highlight w:val="none"/>
                      <w:u w:val="none"/>
                      <w:lang w:val="en-US" w:eastAsia="zh-CN"/>
                    </w:rPr>
                    <w:t>0.35</w:t>
                  </w:r>
                </w:p>
              </w:tc>
              <w:tc>
                <w:tcPr>
                  <w:tcW w:w="753"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b w:val="0"/>
                      <w:bCs w:val="0"/>
                      <w:color w:val="auto"/>
                      <w:sz w:val="21"/>
                      <w:szCs w:val="21"/>
                      <w:highlight w:val="none"/>
                      <w:u w:val="none"/>
                      <w:lang w:val="en-US" w:eastAsia="zh-CN"/>
                    </w:rPr>
                  </w:pPr>
                  <w:r>
                    <w:rPr>
                      <w:rFonts w:hint="eastAsia" w:ascii="Times New Roman" w:hAnsi="Times New Roman"/>
                      <w:b w:val="0"/>
                      <w:bCs w:val="0"/>
                      <w:color w:val="auto"/>
                      <w:sz w:val="21"/>
                      <w:szCs w:val="21"/>
                      <w:highlight w:val="none"/>
                      <w:u w:val="none"/>
                      <w:lang w:val="en-US" w:eastAsia="zh-CN"/>
                    </w:rPr>
                    <w:t>0.6</w:t>
                  </w:r>
                </w:p>
              </w:tc>
              <w:tc>
                <w:tcPr>
                  <w:tcW w:w="770"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val="0"/>
                      <w:bCs w:val="0"/>
                      <w:color w:val="auto"/>
                      <w:sz w:val="21"/>
                      <w:szCs w:val="21"/>
                      <w:highlight w:val="none"/>
                      <w:u w:val="none"/>
                      <w:lang w:val="en-US" w:eastAsia="zh-CN"/>
                    </w:rPr>
                  </w:pPr>
                  <w:r>
                    <w:rPr>
                      <w:rFonts w:hint="eastAsia" w:ascii="Times New Roman" w:hAnsi="Times New Roman"/>
                      <w:b w:val="0"/>
                      <w:bCs w:val="0"/>
                      <w:color w:val="auto"/>
                      <w:sz w:val="21"/>
                      <w:szCs w:val="21"/>
                      <w:highlight w:val="none"/>
                      <w:u w:val="none"/>
                      <w:lang w:val="en-US" w:eastAsia="zh-CN"/>
                    </w:rPr>
                    <w:t>0.15</w:t>
                  </w:r>
                </w:p>
              </w:tc>
              <w:tc>
                <w:tcPr>
                  <w:tcW w:w="110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b w:val="0"/>
                      <w:bCs w:val="0"/>
                      <w:color w:val="auto"/>
                      <w:sz w:val="21"/>
                      <w:szCs w:val="21"/>
                      <w:highlight w:val="none"/>
                      <w:u w:val="none"/>
                      <w:lang w:val="en-US" w:eastAsia="zh-CN"/>
                    </w:rPr>
                  </w:pPr>
                  <w:r>
                    <w:rPr>
                      <w:rFonts w:hint="eastAsia" w:ascii="Times New Roman" w:hAnsi="Times New Roman"/>
                      <w:b w:val="0"/>
                      <w:bCs w:val="0"/>
                      <w:color w:val="auto"/>
                      <w:sz w:val="21"/>
                      <w:szCs w:val="21"/>
                      <w:highlight w:val="none"/>
                      <w:u w:val="none"/>
                      <w:lang w:val="en-US" w:eastAsia="zh-CN"/>
                    </w:rPr>
                    <w:t>0.245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83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p>
              </w:tc>
              <w:tc>
                <w:tcPr>
                  <w:tcW w:w="86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b w:val="0"/>
                      <w:bCs w:val="0"/>
                      <w:color w:val="auto"/>
                      <w:sz w:val="21"/>
                      <w:szCs w:val="21"/>
                      <w:highlight w:val="none"/>
                      <w:u w:val="none"/>
                      <w:lang w:eastAsia="zh-CN"/>
                    </w:rPr>
                  </w:pPr>
                  <w:r>
                    <w:rPr>
                      <w:rFonts w:hint="eastAsia"/>
                      <w:b w:val="0"/>
                      <w:bCs w:val="0"/>
                      <w:color w:val="auto"/>
                      <w:sz w:val="21"/>
                      <w:szCs w:val="21"/>
                      <w:highlight w:val="none"/>
                      <w:u w:val="none"/>
                      <w:lang w:eastAsia="zh-CN"/>
                    </w:rPr>
                    <w:t>达标情况</w:t>
                  </w:r>
                </w:p>
              </w:tc>
              <w:tc>
                <w:tcPr>
                  <w:tcW w:w="67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b w:val="0"/>
                      <w:bCs w:val="0"/>
                      <w:color w:val="auto"/>
                      <w:sz w:val="21"/>
                      <w:szCs w:val="21"/>
                      <w:highlight w:val="none"/>
                      <w:u w:val="none"/>
                      <w:lang w:eastAsia="zh-CN"/>
                    </w:rPr>
                  </w:pPr>
                  <w:r>
                    <w:rPr>
                      <w:rFonts w:hint="eastAsia"/>
                      <w:b w:val="0"/>
                      <w:bCs w:val="0"/>
                      <w:color w:val="auto"/>
                      <w:sz w:val="21"/>
                      <w:szCs w:val="21"/>
                      <w:highlight w:val="none"/>
                      <w:u w:val="none"/>
                      <w:lang w:eastAsia="zh-CN"/>
                    </w:rPr>
                    <w:t>达标</w:t>
                  </w:r>
                </w:p>
              </w:tc>
              <w:tc>
                <w:tcPr>
                  <w:tcW w:w="753"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hint="eastAsia"/>
                      <w:b w:val="0"/>
                      <w:bCs w:val="0"/>
                      <w:color w:val="auto"/>
                      <w:sz w:val="21"/>
                      <w:szCs w:val="21"/>
                      <w:highlight w:val="none"/>
                      <w:u w:val="none"/>
                      <w:lang w:eastAsia="zh-CN"/>
                    </w:rPr>
                    <w:t>达标</w:t>
                  </w:r>
                </w:p>
              </w:tc>
              <w:tc>
                <w:tcPr>
                  <w:tcW w:w="770"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hint="eastAsia"/>
                      <w:b w:val="0"/>
                      <w:bCs w:val="0"/>
                      <w:color w:val="auto"/>
                      <w:sz w:val="21"/>
                      <w:szCs w:val="21"/>
                      <w:highlight w:val="none"/>
                      <w:u w:val="none"/>
                      <w:lang w:eastAsia="zh-CN"/>
                    </w:rPr>
                    <w:t>达标</w:t>
                  </w:r>
                </w:p>
              </w:tc>
              <w:tc>
                <w:tcPr>
                  <w:tcW w:w="110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hint="eastAsia"/>
                      <w:b w:val="0"/>
                      <w:bCs w:val="0"/>
                      <w:color w:val="auto"/>
                      <w:sz w:val="21"/>
                      <w:szCs w:val="21"/>
                      <w:highlight w:val="none"/>
                      <w:u w:val="none"/>
                      <w:lang w:eastAsia="zh-CN"/>
                    </w:rPr>
                    <w:t>达标</w:t>
                  </w:r>
                </w:p>
              </w:tc>
            </w:tr>
          </w:tbl>
          <w:p>
            <w:pPr>
              <w:adjustRightInd w:val="0"/>
              <w:snapToGrid w:val="0"/>
              <w:spacing w:line="360" w:lineRule="auto"/>
              <w:ind w:firstLine="480" w:firstLineChars="200"/>
              <w:rPr>
                <w:rFonts w:hint="eastAsia" w:cs="Times New Roman"/>
                <w:b w:val="0"/>
                <w:bCs/>
                <w:color w:val="auto"/>
                <w:sz w:val="24"/>
                <w:u w:val="none"/>
                <w:lang w:val="en-US" w:eastAsia="zh-CN"/>
              </w:rPr>
            </w:pPr>
            <w:r>
              <w:rPr>
                <w:rFonts w:hint="default" w:ascii="Times New Roman" w:hAnsi="Times New Roman" w:cs="Times New Roman"/>
                <w:color w:val="000000"/>
                <w:sz w:val="24"/>
              </w:rPr>
              <w:t>由监测结果可知，监测断面各监测因子均满足《地表水环境质量标准》（GB3838-2002）III类标准，说明区域地表水环境质量状况较好。</w:t>
            </w:r>
          </w:p>
          <w:p>
            <w:pPr>
              <w:adjustRightInd w:val="0"/>
              <w:snapToGrid w:val="0"/>
              <w:spacing w:line="360" w:lineRule="auto"/>
              <w:rPr>
                <w:b/>
                <w:sz w:val="24"/>
              </w:rPr>
            </w:pPr>
            <w:r>
              <w:rPr>
                <w:rFonts w:hint="eastAsia"/>
                <w:b/>
                <w:sz w:val="24"/>
                <w:lang w:val="en-US" w:eastAsia="zh-CN"/>
              </w:rPr>
              <w:t>3</w:t>
            </w:r>
            <w:r>
              <w:rPr>
                <w:b/>
                <w:sz w:val="24"/>
              </w:rPr>
              <w:t>、声环境质量现状</w:t>
            </w:r>
          </w:p>
          <w:p>
            <w:pPr>
              <w:spacing w:line="360" w:lineRule="auto"/>
              <w:ind w:firstLine="448" w:firstLineChars="187"/>
              <w:rPr>
                <w:b w:val="0"/>
                <w:bCs w:val="0"/>
                <w:color w:val="auto"/>
                <w:sz w:val="24"/>
                <w:u w:val="none"/>
              </w:rPr>
            </w:pPr>
            <w:r>
              <w:rPr>
                <w:rFonts w:hint="eastAsia"/>
                <w:b w:val="0"/>
                <w:bCs w:val="0"/>
                <w:color w:val="auto"/>
                <w:sz w:val="24"/>
                <w:u w:val="none"/>
              </w:rPr>
              <w:t>根据现场勘查，距离项目较近的敏感点为项目</w:t>
            </w:r>
            <w:r>
              <w:rPr>
                <w:rFonts w:hint="eastAsia"/>
                <w:b w:val="0"/>
                <w:bCs w:val="0"/>
                <w:color w:val="auto"/>
                <w:sz w:val="24"/>
                <w:u w:val="none"/>
                <w:lang w:val="en-US" w:eastAsia="zh-CN"/>
              </w:rPr>
              <w:t>西</w:t>
            </w:r>
            <w:r>
              <w:rPr>
                <w:rFonts w:hint="eastAsia"/>
                <w:b w:val="0"/>
                <w:bCs w:val="0"/>
                <w:color w:val="auto"/>
                <w:sz w:val="24"/>
                <w:u w:val="none"/>
              </w:rPr>
              <w:t>北侧</w:t>
            </w:r>
            <w:r>
              <w:rPr>
                <w:rFonts w:hint="eastAsia"/>
                <w:b w:val="0"/>
                <w:bCs w:val="0"/>
                <w:color w:val="auto"/>
                <w:sz w:val="24"/>
                <w:u w:val="none"/>
                <w:lang w:val="en-US" w:eastAsia="zh-CN"/>
              </w:rPr>
              <w:t>290</w:t>
            </w:r>
            <w:r>
              <w:rPr>
                <w:rFonts w:hint="eastAsia"/>
                <w:b w:val="0"/>
                <w:bCs w:val="0"/>
                <w:color w:val="auto"/>
                <w:sz w:val="24"/>
                <w:u w:val="none"/>
              </w:rPr>
              <w:t>m处的井沟村，项目厂界周围50m范围内无敏感目标。根据《建设项目环境影响报告表编制技术指南（污染影响类）》，项目厂界周围50m范围内无声环境保护目标，可不进行现状监测。</w:t>
            </w:r>
          </w:p>
          <w:p>
            <w:pPr>
              <w:adjustRightInd w:val="0"/>
              <w:snapToGrid w:val="0"/>
              <w:spacing w:line="360" w:lineRule="auto"/>
              <w:rPr>
                <w:b/>
                <w:sz w:val="24"/>
              </w:rPr>
            </w:pPr>
            <w:r>
              <w:rPr>
                <w:rFonts w:hint="eastAsia"/>
                <w:b/>
                <w:sz w:val="24"/>
                <w:lang w:val="en-US" w:eastAsia="zh-CN"/>
              </w:rPr>
              <w:t>4</w:t>
            </w:r>
            <w:r>
              <w:rPr>
                <w:b/>
                <w:sz w:val="24"/>
              </w:rPr>
              <w:t>、</w:t>
            </w:r>
            <w:r>
              <w:rPr>
                <w:rFonts w:hint="eastAsia"/>
                <w:b/>
                <w:sz w:val="24"/>
              </w:rPr>
              <w:t>生态</w:t>
            </w:r>
            <w:r>
              <w:rPr>
                <w:b/>
                <w:sz w:val="24"/>
              </w:rPr>
              <w:t>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rPr>
            </w:pPr>
            <w:r>
              <w:rPr>
                <w:rFonts w:hint="eastAsia"/>
                <w:sz w:val="24"/>
                <w:szCs w:val="24"/>
              </w:rPr>
              <w:t>本项目位于平顶山市鲁山县先进制造业开发区北区兴工路路北河南方圆炭素集团院内8号厂房，周围500m范围内无野生植被、大型野生动物及受国家保护的动植物种类。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kern w:val="0"/>
                <w:sz w:val="24"/>
                <w:szCs w:val="24"/>
              </w:rPr>
            </w:pPr>
            <w:r>
              <w:rPr>
                <w:rFonts w:hint="eastAsia"/>
                <w:sz w:val="24"/>
                <w:szCs w:val="24"/>
                <w:lang w:val="en-US" w:eastAsia="zh-CN"/>
              </w:rPr>
              <w:t>同时</w:t>
            </w:r>
            <w:r>
              <w:rPr>
                <w:rFonts w:hint="eastAsia"/>
                <w:sz w:val="24"/>
                <w:szCs w:val="24"/>
              </w:rPr>
              <w:t>本项目场址所在地区的生态系统已经演化为以人工生态系统为主，生态系统结构和功能比较单一。天然植被已经被人工植被取代，生态敏感性低。本项目厂址所在地区及周边无自然生态保护区和风景名胜区。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55" w:hRule="atLeast"/>
          <w:jc w:val="center"/>
        </w:trPr>
        <w:tc>
          <w:tcPr>
            <w:tcW w:w="289" w:type="pct"/>
            <w:noWrap w:val="0"/>
            <w:vAlign w:val="center"/>
          </w:tcPr>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环境</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保护</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目标</w:t>
            </w:r>
          </w:p>
        </w:tc>
        <w:tc>
          <w:tcPr>
            <w:tcW w:w="47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bCs/>
                <w:sz w:val="24"/>
              </w:rPr>
            </w:pPr>
            <w:r>
              <w:rPr>
                <w:b/>
                <w:bCs/>
                <w:sz w:val="24"/>
              </w:rPr>
              <w:t>主要环境保护目标</w:t>
            </w:r>
            <w:r>
              <w:rPr>
                <w:rFonts w:hint="eastAsia"/>
                <w:b/>
                <w:bCs/>
                <w:sz w:val="24"/>
              </w:rPr>
              <w:t>（</w:t>
            </w:r>
            <w:r>
              <w:rPr>
                <w:b/>
                <w:bCs/>
                <w:sz w:val="24"/>
              </w:rPr>
              <w:t>列出名单及保护级别</w:t>
            </w:r>
            <w:r>
              <w:rPr>
                <w:rFonts w:hint="eastAsia"/>
                <w:b/>
                <w:bCs/>
                <w:sz w:val="24"/>
              </w:rPr>
              <w:t>）</w:t>
            </w:r>
            <w:r>
              <w:rPr>
                <w:b/>
                <w:bCs/>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sz w:val="24"/>
              </w:rPr>
            </w:pPr>
            <w:r>
              <w:rPr>
                <w:rFonts w:hint="eastAsia"/>
                <w:sz w:val="24"/>
              </w:rPr>
              <w:t>通过对厂址周围区域自然、社会环境状况的详细调查了解，根据本项目的排污特征，确定本项目主要环境保护目标为厂界外500米范围内的自然保护区、风景名胜区、居住区、文化区和农村地区中人群较集中的区域等大气环境保护目标；厂界外50米范围内声环境保护目标；厂界外500米范围内的地下水集中式饮用水水源和热水、矿泉水、温泉等特殊地下水资源等地下水环境保护目标。项目主要环境保护目标见下表：</w:t>
            </w: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表</w:t>
            </w:r>
            <w:r>
              <w:rPr>
                <w:rFonts w:hint="eastAsia" w:ascii="Times New Roman" w:hAnsi="Times New Roman" w:eastAsia="宋体" w:cs="Times New Roman"/>
                <w:b/>
                <w:bCs/>
                <w:sz w:val="24"/>
                <w:szCs w:val="24"/>
                <w:lang w:val="en-US" w:eastAsia="zh-CN" w:bidi="ar-SA"/>
              </w:rPr>
              <w:t>3-</w:t>
            </w:r>
            <w:r>
              <w:rPr>
                <w:rFonts w:hint="eastAsia" w:cs="Times New Roman"/>
                <w:b/>
                <w:bCs/>
                <w:sz w:val="24"/>
                <w:szCs w:val="24"/>
                <w:lang w:val="en-US" w:eastAsia="zh-CN" w:bidi="ar-SA"/>
              </w:rPr>
              <w:t>5</w:t>
            </w:r>
            <w:r>
              <w:rPr>
                <w:rFonts w:hint="eastAsia" w:ascii="Times New Roman" w:hAnsi="Times New Roman" w:eastAsia="宋体" w:cs="Times New Roman"/>
                <w:b/>
                <w:bCs/>
                <w:sz w:val="24"/>
                <w:szCs w:val="24"/>
                <w:lang w:val="en-US" w:eastAsia="zh-CN" w:bidi="ar-SA"/>
              </w:rPr>
              <w:t>环境空气</w:t>
            </w:r>
            <w:r>
              <w:rPr>
                <w:rFonts w:hint="default" w:ascii="Times New Roman" w:hAnsi="Times New Roman" w:eastAsia="宋体" w:cs="Times New Roman"/>
                <w:b/>
                <w:bCs/>
                <w:sz w:val="24"/>
                <w:szCs w:val="24"/>
                <w:lang w:val="en-US" w:eastAsia="zh-CN" w:bidi="ar-SA"/>
              </w:rPr>
              <w:t>保护目标</w:t>
            </w:r>
          </w:p>
          <w:tbl>
            <w:tblPr>
              <w:tblStyle w:val="24"/>
              <w:tblW w:w="4995"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731"/>
              <w:gridCol w:w="1740"/>
              <w:gridCol w:w="1219"/>
              <w:gridCol w:w="770"/>
              <w:gridCol w:w="719"/>
              <w:gridCol w:w="653"/>
              <w:gridCol w:w="80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6" w:type="pct"/>
                  <w:vMerge w:val="restart"/>
                  <w:tcBorders>
                    <w:tl2br w:val="nil"/>
                    <w:tr2bl w:val="nil"/>
                  </w:tcBorders>
                  <w:vAlign w:val="center"/>
                </w:tcPr>
                <w:p>
                  <w:pPr>
                    <w:jc w:val="center"/>
                  </w:pPr>
                  <w:r>
                    <w:t>名称</w:t>
                  </w:r>
                </w:p>
              </w:tc>
              <w:tc>
                <w:tcPr>
                  <w:tcW w:w="1897" w:type="pct"/>
                  <w:gridSpan w:val="2"/>
                  <w:tcBorders>
                    <w:tl2br w:val="nil"/>
                    <w:tr2bl w:val="nil"/>
                  </w:tcBorders>
                  <w:vAlign w:val="center"/>
                </w:tcPr>
                <w:p>
                  <w:pPr>
                    <w:jc w:val="center"/>
                  </w:pPr>
                  <w:r>
                    <w:t>坐标</w:t>
                  </w:r>
                </w:p>
              </w:tc>
              <w:tc>
                <w:tcPr>
                  <w:tcW w:w="666" w:type="pct"/>
                  <w:vMerge w:val="restart"/>
                  <w:tcBorders>
                    <w:tl2br w:val="nil"/>
                    <w:tr2bl w:val="nil"/>
                  </w:tcBorders>
                  <w:vAlign w:val="center"/>
                </w:tcPr>
                <w:p>
                  <w:pPr>
                    <w:jc w:val="center"/>
                  </w:pPr>
                  <w:r>
                    <w:t>保护</w:t>
                  </w:r>
                </w:p>
                <w:p>
                  <w:pPr>
                    <w:jc w:val="center"/>
                  </w:pPr>
                  <w:r>
                    <w:t>对象</w:t>
                  </w:r>
                </w:p>
              </w:tc>
              <w:tc>
                <w:tcPr>
                  <w:tcW w:w="421" w:type="pct"/>
                  <w:vMerge w:val="restart"/>
                  <w:tcBorders>
                    <w:tl2br w:val="nil"/>
                    <w:tr2bl w:val="nil"/>
                  </w:tcBorders>
                  <w:vAlign w:val="center"/>
                </w:tcPr>
                <w:p>
                  <w:pPr>
                    <w:jc w:val="center"/>
                  </w:pPr>
                  <w:r>
                    <w:t>保护内容</w:t>
                  </w:r>
                </w:p>
              </w:tc>
              <w:tc>
                <w:tcPr>
                  <w:tcW w:w="393" w:type="pct"/>
                  <w:vMerge w:val="restart"/>
                  <w:tcBorders>
                    <w:tl2br w:val="nil"/>
                    <w:tr2bl w:val="nil"/>
                  </w:tcBorders>
                  <w:vAlign w:val="center"/>
                </w:tcPr>
                <w:p>
                  <w:pPr>
                    <w:jc w:val="center"/>
                  </w:pPr>
                  <w:r>
                    <w:t>环境功能区</w:t>
                  </w:r>
                </w:p>
              </w:tc>
              <w:tc>
                <w:tcPr>
                  <w:tcW w:w="357" w:type="pct"/>
                  <w:vMerge w:val="restart"/>
                  <w:tcBorders>
                    <w:tl2br w:val="nil"/>
                    <w:tr2bl w:val="nil"/>
                  </w:tcBorders>
                  <w:vAlign w:val="center"/>
                </w:tcPr>
                <w:p>
                  <w:pPr>
                    <w:jc w:val="center"/>
                  </w:pPr>
                  <w:r>
                    <w:t>相对厂址方位</w:t>
                  </w:r>
                </w:p>
              </w:tc>
              <w:tc>
                <w:tcPr>
                  <w:tcW w:w="437" w:type="pct"/>
                  <w:vMerge w:val="restart"/>
                  <w:tcBorders>
                    <w:tl2br w:val="nil"/>
                    <w:tr2bl w:val="nil"/>
                  </w:tcBorders>
                  <w:vAlign w:val="center"/>
                </w:tcPr>
                <w:p>
                  <w:pPr>
                    <w:jc w:val="center"/>
                  </w:pPr>
                  <w:r>
                    <w:t>相对厂界距离（m）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6" w:type="pct"/>
                  <w:vMerge w:val="continue"/>
                  <w:tcBorders>
                    <w:tl2br w:val="nil"/>
                    <w:tr2bl w:val="nil"/>
                  </w:tcBorders>
                  <w:vAlign w:val="center"/>
                </w:tcPr>
                <w:p>
                  <w:pPr>
                    <w:jc w:val="center"/>
                  </w:pPr>
                </w:p>
              </w:tc>
              <w:tc>
                <w:tcPr>
                  <w:tcW w:w="946" w:type="pct"/>
                  <w:tcBorders>
                    <w:tl2br w:val="nil"/>
                    <w:tr2bl w:val="nil"/>
                  </w:tcBorders>
                  <w:vAlign w:val="center"/>
                </w:tcPr>
                <w:p>
                  <w:pPr>
                    <w:jc w:val="center"/>
                  </w:pPr>
                  <w:r>
                    <w:t>X</w:t>
                  </w:r>
                </w:p>
              </w:tc>
              <w:tc>
                <w:tcPr>
                  <w:tcW w:w="951" w:type="pct"/>
                  <w:tcBorders>
                    <w:tl2br w:val="nil"/>
                    <w:tr2bl w:val="nil"/>
                  </w:tcBorders>
                  <w:vAlign w:val="center"/>
                </w:tcPr>
                <w:p>
                  <w:pPr>
                    <w:jc w:val="center"/>
                  </w:pPr>
                  <w:r>
                    <w:t>Y</w:t>
                  </w:r>
                </w:p>
              </w:tc>
              <w:tc>
                <w:tcPr>
                  <w:tcW w:w="666" w:type="pct"/>
                  <w:vMerge w:val="continue"/>
                  <w:tcBorders>
                    <w:tl2br w:val="nil"/>
                    <w:tr2bl w:val="nil"/>
                  </w:tcBorders>
                  <w:vAlign w:val="center"/>
                </w:tcPr>
                <w:p>
                  <w:pPr>
                    <w:jc w:val="center"/>
                  </w:pPr>
                </w:p>
              </w:tc>
              <w:tc>
                <w:tcPr>
                  <w:tcW w:w="421" w:type="pct"/>
                  <w:vMerge w:val="continue"/>
                  <w:tcBorders>
                    <w:tl2br w:val="nil"/>
                    <w:tr2bl w:val="nil"/>
                  </w:tcBorders>
                  <w:vAlign w:val="center"/>
                </w:tcPr>
                <w:p>
                  <w:pPr>
                    <w:jc w:val="center"/>
                  </w:pPr>
                </w:p>
              </w:tc>
              <w:tc>
                <w:tcPr>
                  <w:tcW w:w="393" w:type="pct"/>
                  <w:vMerge w:val="continue"/>
                  <w:tcBorders>
                    <w:tl2br w:val="nil"/>
                    <w:tr2bl w:val="nil"/>
                  </w:tcBorders>
                  <w:vAlign w:val="center"/>
                </w:tcPr>
                <w:p>
                  <w:pPr>
                    <w:jc w:val="center"/>
                  </w:pPr>
                </w:p>
              </w:tc>
              <w:tc>
                <w:tcPr>
                  <w:tcW w:w="357" w:type="pct"/>
                  <w:vMerge w:val="continue"/>
                  <w:tcBorders>
                    <w:tl2br w:val="nil"/>
                    <w:tr2bl w:val="nil"/>
                  </w:tcBorders>
                  <w:vAlign w:val="center"/>
                </w:tcPr>
                <w:p>
                  <w:pPr>
                    <w:jc w:val="center"/>
                  </w:pPr>
                </w:p>
              </w:tc>
              <w:tc>
                <w:tcPr>
                  <w:tcW w:w="437" w:type="pct"/>
                  <w:vMerge w:val="continue"/>
                  <w:tcBorders>
                    <w:tl2br w:val="nil"/>
                    <w:tr2bl w:val="nil"/>
                  </w:tcBorders>
                  <w:vAlign w:val="center"/>
                </w:tcPr>
                <w:p>
                  <w:pPr>
                    <w:jc w:val="cente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6" w:type="pct"/>
                  <w:tcBorders>
                    <w:tl2br w:val="nil"/>
                    <w:tr2bl w:val="nil"/>
                  </w:tcBorders>
                  <w:vAlign w:val="center"/>
                </w:tcPr>
                <w:p>
                  <w:pPr>
                    <w:jc w:val="center"/>
                    <w:rPr>
                      <w:rFonts w:hint="default"/>
                      <w:lang w:val="en-US" w:eastAsia="zh-CN"/>
                    </w:rPr>
                  </w:pPr>
                  <w:r>
                    <w:rPr>
                      <w:rFonts w:hint="eastAsia"/>
                      <w:lang w:val="en-US" w:eastAsia="zh-CN"/>
                    </w:rPr>
                    <w:t>井沟村</w:t>
                  </w:r>
                </w:p>
              </w:tc>
              <w:tc>
                <w:tcPr>
                  <w:tcW w:w="946" w:type="pct"/>
                  <w:tcBorders>
                    <w:tl2br w:val="nil"/>
                    <w:tr2bl w:val="nil"/>
                  </w:tcBorders>
                  <w:vAlign w:val="center"/>
                </w:tcPr>
                <w:p>
                  <w:pPr>
                    <w:jc w:val="center"/>
                  </w:pPr>
                  <w:r>
                    <w:rPr>
                      <w:rFonts w:hint="eastAsia"/>
                    </w:rPr>
                    <w:t>112°56′6.73″</w:t>
                  </w:r>
                </w:p>
              </w:tc>
              <w:tc>
                <w:tcPr>
                  <w:tcW w:w="951" w:type="pct"/>
                  <w:tcBorders>
                    <w:tl2br w:val="nil"/>
                    <w:tr2bl w:val="nil"/>
                  </w:tcBorders>
                  <w:vAlign w:val="center"/>
                </w:tcPr>
                <w:p>
                  <w:pPr>
                    <w:jc w:val="center"/>
                  </w:pPr>
                  <w:r>
                    <w:rPr>
                      <w:rFonts w:hint="eastAsia"/>
                    </w:rPr>
                    <w:t>33°47′46.04″</w:t>
                  </w:r>
                </w:p>
              </w:tc>
              <w:tc>
                <w:tcPr>
                  <w:tcW w:w="666" w:type="pct"/>
                  <w:tcBorders>
                    <w:tl2br w:val="nil"/>
                    <w:tr2bl w:val="nil"/>
                  </w:tcBorders>
                  <w:vAlign w:val="center"/>
                </w:tcPr>
                <w:p>
                  <w:pPr>
                    <w:jc w:val="center"/>
                  </w:pPr>
                  <w:r>
                    <w:t>居民</w:t>
                  </w:r>
                </w:p>
              </w:tc>
              <w:tc>
                <w:tcPr>
                  <w:tcW w:w="421" w:type="pct"/>
                  <w:tcBorders>
                    <w:tl2br w:val="nil"/>
                    <w:tr2bl w:val="nil"/>
                  </w:tcBorders>
                  <w:vAlign w:val="center"/>
                </w:tcPr>
                <w:p>
                  <w:pPr>
                    <w:jc w:val="center"/>
                  </w:pPr>
                  <w:r>
                    <w:t>环境空气</w:t>
                  </w:r>
                </w:p>
              </w:tc>
              <w:tc>
                <w:tcPr>
                  <w:tcW w:w="393" w:type="pct"/>
                  <w:tcBorders>
                    <w:tl2br w:val="nil"/>
                    <w:tr2bl w:val="nil"/>
                  </w:tcBorders>
                  <w:vAlign w:val="center"/>
                </w:tcPr>
                <w:p>
                  <w:pPr>
                    <w:jc w:val="center"/>
                  </w:pPr>
                  <w:r>
                    <w:t>2类区</w:t>
                  </w:r>
                </w:p>
              </w:tc>
              <w:tc>
                <w:tcPr>
                  <w:tcW w:w="357" w:type="pct"/>
                  <w:tcBorders>
                    <w:tl2br w:val="nil"/>
                    <w:tr2bl w:val="nil"/>
                  </w:tcBorders>
                  <w:vAlign w:val="center"/>
                </w:tcPr>
                <w:p>
                  <w:pPr>
                    <w:jc w:val="center"/>
                    <w:rPr>
                      <w:rFonts w:hint="default"/>
                      <w:lang w:val="en-US" w:eastAsia="zh-CN"/>
                    </w:rPr>
                  </w:pPr>
                  <w:r>
                    <w:rPr>
                      <w:rFonts w:hint="eastAsia"/>
                      <w:lang w:val="en-US" w:eastAsia="zh-CN"/>
                    </w:rPr>
                    <w:t>WN</w:t>
                  </w:r>
                </w:p>
              </w:tc>
              <w:tc>
                <w:tcPr>
                  <w:tcW w:w="437" w:type="pct"/>
                  <w:tcBorders>
                    <w:tl2br w:val="nil"/>
                    <w:tr2bl w:val="nil"/>
                  </w:tcBorders>
                  <w:vAlign w:val="center"/>
                </w:tcPr>
                <w:p>
                  <w:pPr>
                    <w:jc w:val="center"/>
                    <w:rPr>
                      <w:rFonts w:hint="default"/>
                      <w:lang w:val="en-US" w:eastAsia="zh-CN"/>
                    </w:rPr>
                  </w:pPr>
                  <w:r>
                    <w:rPr>
                      <w:rFonts w:hint="eastAsia"/>
                      <w:lang w:val="en-US" w:eastAsia="zh-CN"/>
                    </w:rPr>
                    <w:t>290</w:t>
                  </w:r>
                </w:p>
              </w:tc>
            </w:tr>
          </w:tbl>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表</w:t>
            </w:r>
            <w:r>
              <w:rPr>
                <w:rFonts w:hint="eastAsia" w:ascii="Times New Roman" w:hAnsi="Times New Roman" w:eastAsia="宋体" w:cs="Times New Roman"/>
                <w:b/>
                <w:bCs/>
                <w:sz w:val="24"/>
                <w:szCs w:val="24"/>
                <w:lang w:val="en-US" w:eastAsia="zh-CN" w:bidi="ar-SA"/>
              </w:rPr>
              <w:t>3-</w:t>
            </w:r>
            <w:r>
              <w:rPr>
                <w:rFonts w:hint="eastAsia" w:cs="Times New Roman"/>
                <w:b/>
                <w:bCs/>
                <w:sz w:val="24"/>
                <w:szCs w:val="24"/>
                <w:lang w:val="en-US" w:eastAsia="zh-CN" w:bidi="ar-SA"/>
              </w:rPr>
              <w:t>6</w:t>
            </w:r>
            <w:r>
              <w:rPr>
                <w:rFonts w:hint="eastAsia" w:ascii="Times New Roman" w:hAnsi="Times New Roman" w:eastAsia="宋体" w:cs="Times New Roman"/>
                <w:b/>
                <w:bCs/>
                <w:sz w:val="24"/>
                <w:szCs w:val="24"/>
                <w:lang w:val="en-US" w:eastAsia="zh-CN" w:bidi="ar-SA"/>
              </w:rPr>
              <w:t>水</w:t>
            </w:r>
            <w:r>
              <w:rPr>
                <w:rFonts w:hint="default" w:ascii="Times New Roman" w:hAnsi="Times New Roman" w:eastAsia="宋体" w:cs="Times New Roman"/>
                <w:b/>
                <w:bCs/>
                <w:sz w:val="24"/>
                <w:szCs w:val="24"/>
                <w:lang w:val="en-US" w:eastAsia="zh-CN" w:bidi="ar-SA"/>
              </w:rPr>
              <w:t>环境</w:t>
            </w:r>
            <w:r>
              <w:rPr>
                <w:rFonts w:hint="eastAsia" w:ascii="Times New Roman" w:hAnsi="Times New Roman" w:eastAsia="宋体" w:cs="Times New Roman"/>
                <w:b/>
                <w:bCs/>
                <w:sz w:val="24"/>
                <w:szCs w:val="24"/>
                <w:lang w:val="en-US" w:eastAsia="zh-CN" w:bidi="ar-SA"/>
              </w:rPr>
              <w:t>、声环境</w:t>
            </w:r>
            <w:r>
              <w:rPr>
                <w:rFonts w:hint="default" w:ascii="Times New Roman" w:hAnsi="Times New Roman" w:eastAsia="宋体" w:cs="Times New Roman"/>
                <w:b/>
                <w:bCs/>
                <w:sz w:val="24"/>
                <w:szCs w:val="24"/>
                <w:lang w:val="en-US" w:eastAsia="zh-CN" w:bidi="ar-SA"/>
              </w:rPr>
              <w:t>保护目标</w:t>
            </w:r>
          </w:p>
          <w:tbl>
            <w:tblPr>
              <w:tblStyle w:val="25"/>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1777"/>
              <w:gridCol w:w="1105"/>
              <w:gridCol w:w="1500"/>
              <w:gridCol w:w="299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970" w:type="pct"/>
                  <w:tcBorders>
                    <w:tl2br w:val="nil"/>
                    <w:tr2bl w:val="nil"/>
                  </w:tcBorders>
                  <w:vAlign w:val="center"/>
                </w:tcPr>
                <w:p>
                  <w:pPr>
                    <w:adjustRightInd w:val="0"/>
                    <w:snapToGrid w:val="0"/>
                    <w:spacing w:line="360" w:lineRule="exact"/>
                    <w:jc w:val="center"/>
                    <w:rPr>
                      <w:szCs w:val="21"/>
                    </w:rPr>
                  </w:pPr>
                  <w:r>
                    <w:rPr>
                      <w:rFonts w:hint="eastAsia"/>
                      <w:szCs w:val="21"/>
                    </w:rPr>
                    <w:t>环境要素</w:t>
                  </w:r>
                </w:p>
              </w:tc>
              <w:tc>
                <w:tcPr>
                  <w:tcW w:w="971" w:type="pct"/>
                  <w:tcBorders>
                    <w:tl2br w:val="nil"/>
                    <w:tr2bl w:val="nil"/>
                  </w:tcBorders>
                  <w:vAlign w:val="center"/>
                </w:tcPr>
                <w:p>
                  <w:pPr>
                    <w:adjustRightInd w:val="0"/>
                    <w:snapToGrid w:val="0"/>
                    <w:spacing w:line="360" w:lineRule="exact"/>
                    <w:jc w:val="center"/>
                    <w:rPr>
                      <w:szCs w:val="21"/>
                    </w:rPr>
                  </w:pPr>
                  <w:r>
                    <w:rPr>
                      <w:rFonts w:hint="eastAsia"/>
                      <w:szCs w:val="21"/>
                    </w:rPr>
                    <w:t>保护目标</w:t>
                  </w:r>
                </w:p>
              </w:tc>
              <w:tc>
                <w:tcPr>
                  <w:tcW w:w="604" w:type="pct"/>
                  <w:tcBorders>
                    <w:tl2br w:val="nil"/>
                    <w:tr2bl w:val="nil"/>
                  </w:tcBorders>
                  <w:vAlign w:val="center"/>
                </w:tcPr>
                <w:p>
                  <w:pPr>
                    <w:adjustRightInd w:val="0"/>
                    <w:snapToGrid w:val="0"/>
                    <w:spacing w:line="360" w:lineRule="exact"/>
                    <w:jc w:val="center"/>
                    <w:rPr>
                      <w:szCs w:val="21"/>
                    </w:rPr>
                  </w:pPr>
                  <w:r>
                    <w:rPr>
                      <w:rFonts w:hint="eastAsia"/>
                      <w:szCs w:val="21"/>
                    </w:rPr>
                    <w:t>方位</w:t>
                  </w:r>
                </w:p>
              </w:tc>
              <w:tc>
                <w:tcPr>
                  <w:tcW w:w="819" w:type="pct"/>
                  <w:tcBorders>
                    <w:tl2br w:val="nil"/>
                    <w:tr2bl w:val="nil"/>
                  </w:tcBorders>
                  <w:vAlign w:val="center"/>
                </w:tcPr>
                <w:p>
                  <w:pPr>
                    <w:adjustRightInd w:val="0"/>
                    <w:snapToGrid w:val="0"/>
                    <w:spacing w:line="360" w:lineRule="exact"/>
                    <w:jc w:val="center"/>
                    <w:rPr>
                      <w:szCs w:val="21"/>
                    </w:rPr>
                  </w:pPr>
                  <w:r>
                    <w:rPr>
                      <w:rFonts w:hint="eastAsia"/>
                      <w:szCs w:val="21"/>
                    </w:rPr>
                    <w:t>距离（m）</w:t>
                  </w:r>
                </w:p>
              </w:tc>
              <w:tc>
                <w:tcPr>
                  <w:tcW w:w="1634" w:type="pct"/>
                  <w:tcBorders>
                    <w:tl2br w:val="nil"/>
                    <w:tr2bl w:val="nil"/>
                  </w:tcBorders>
                  <w:vAlign w:val="center"/>
                </w:tcPr>
                <w:p>
                  <w:pPr>
                    <w:adjustRightInd w:val="0"/>
                    <w:snapToGrid w:val="0"/>
                    <w:spacing w:line="360" w:lineRule="exact"/>
                    <w:jc w:val="center"/>
                    <w:rPr>
                      <w:szCs w:val="21"/>
                    </w:rPr>
                  </w:pPr>
                  <w:r>
                    <w:rPr>
                      <w:rFonts w:hint="eastAsia"/>
                      <w:szCs w:val="21"/>
                    </w:rPr>
                    <w:t>保护级别</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970" w:type="pct"/>
                  <w:tcBorders>
                    <w:tl2br w:val="nil"/>
                    <w:tr2bl w:val="nil"/>
                  </w:tcBorders>
                  <w:vAlign w:val="center"/>
                </w:tcPr>
                <w:p>
                  <w:pPr>
                    <w:adjustRightInd w:val="0"/>
                    <w:snapToGrid w:val="0"/>
                    <w:spacing w:line="360" w:lineRule="exact"/>
                    <w:jc w:val="center"/>
                    <w:rPr>
                      <w:szCs w:val="21"/>
                    </w:rPr>
                  </w:pPr>
                  <w:r>
                    <w:rPr>
                      <w:rFonts w:hint="eastAsia"/>
                      <w:szCs w:val="21"/>
                    </w:rPr>
                    <w:t>水环境</w:t>
                  </w:r>
                </w:p>
              </w:tc>
              <w:tc>
                <w:tcPr>
                  <w:tcW w:w="971" w:type="pct"/>
                  <w:tcBorders>
                    <w:tl2br w:val="nil"/>
                    <w:tr2bl w:val="nil"/>
                  </w:tcBorders>
                  <w:vAlign w:val="center"/>
                </w:tcPr>
                <w:p>
                  <w:pPr>
                    <w:adjustRightInd w:val="0"/>
                    <w:snapToGrid w:val="0"/>
                    <w:spacing w:line="360" w:lineRule="exact"/>
                    <w:jc w:val="center"/>
                    <w:rPr>
                      <w:rFonts w:hint="eastAsia" w:eastAsia="宋体"/>
                      <w:szCs w:val="21"/>
                      <w:lang w:eastAsia="zh-CN"/>
                    </w:rPr>
                  </w:pPr>
                  <w:r>
                    <w:rPr>
                      <w:rFonts w:hint="eastAsia"/>
                      <w:szCs w:val="21"/>
                      <w:lang w:val="en-US" w:eastAsia="zh-CN"/>
                    </w:rPr>
                    <w:t>大浪河</w:t>
                  </w:r>
                </w:p>
              </w:tc>
              <w:tc>
                <w:tcPr>
                  <w:tcW w:w="604" w:type="pct"/>
                  <w:tcBorders>
                    <w:tl2br w:val="nil"/>
                    <w:tr2bl w:val="nil"/>
                  </w:tcBorders>
                  <w:vAlign w:val="center"/>
                </w:tcPr>
                <w:p>
                  <w:pPr>
                    <w:adjustRightInd w:val="0"/>
                    <w:snapToGrid w:val="0"/>
                    <w:spacing w:line="360" w:lineRule="exact"/>
                    <w:jc w:val="center"/>
                    <w:rPr>
                      <w:rFonts w:hint="default" w:eastAsia="宋体"/>
                      <w:szCs w:val="21"/>
                      <w:lang w:val="en-US" w:eastAsia="zh-CN"/>
                    </w:rPr>
                  </w:pPr>
                  <w:r>
                    <w:rPr>
                      <w:rFonts w:hint="eastAsia"/>
                      <w:szCs w:val="21"/>
                      <w:lang w:val="en-US" w:eastAsia="zh-CN"/>
                    </w:rPr>
                    <w:t>WS</w:t>
                  </w:r>
                </w:p>
              </w:tc>
              <w:tc>
                <w:tcPr>
                  <w:tcW w:w="819" w:type="pct"/>
                  <w:tcBorders>
                    <w:tl2br w:val="nil"/>
                    <w:tr2bl w:val="nil"/>
                  </w:tcBorders>
                  <w:vAlign w:val="center"/>
                </w:tcPr>
                <w:p>
                  <w:pPr>
                    <w:adjustRightInd w:val="0"/>
                    <w:snapToGrid w:val="0"/>
                    <w:spacing w:line="360" w:lineRule="exact"/>
                    <w:jc w:val="center"/>
                    <w:rPr>
                      <w:rFonts w:hint="default" w:eastAsia="宋体"/>
                      <w:szCs w:val="21"/>
                      <w:lang w:val="en-US" w:eastAsia="zh-CN"/>
                    </w:rPr>
                  </w:pPr>
                  <w:r>
                    <w:rPr>
                      <w:rFonts w:hint="eastAsia"/>
                      <w:szCs w:val="21"/>
                      <w:lang w:val="en-US" w:eastAsia="zh-CN"/>
                    </w:rPr>
                    <w:t>1306</w:t>
                  </w:r>
                </w:p>
              </w:tc>
              <w:tc>
                <w:tcPr>
                  <w:tcW w:w="1634" w:type="pct"/>
                  <w:tcBorders>
                    <w:tl2br w:val="nil"/>
                    <w:tr2bl w:val="nil"/>
                  </w:tcBorders>
                  <w:vAlign w:val="center"/>
                </w:tcPr>
                <w:p>
                  <w:pPr>
                    <w:adjustRightInd w:val="0"/>
                    <w:snapToGrid w:val="0"/>
                    <w:spacing w:line="360" w:lineRule="exact"/>
                    <w:jc w:val="center"/>
                    <w:rPr>
                      <w:szCs w:val="21"/>
                    </w:rPr>
                  </w:pPr>
                  <w:r>
                    <w:rPr>
                      <w:rFonts w:hint="eastAsia"/>
                      <w:szCs w:val="21"/>
                    </w:rPr>
                    <w:t>《地表水环境质量标准》（GB3838-2002）Ⅲ类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970" w:type="pct"/>
                  <w:tcBorders>
                    <w:tl2br w:val="nil"/>
                    <w:tr2bl w:val="nil"/>
                  </w:tcBorders>
                  <w:vAlign w:val="center"/>
                </w:tcPr>
                <w:p>
                  <w:pPr>
                    <w:adjustRightInd w:val="0"/>
                    <w:snapToGrid w:val="0"/>
                    <w:spacing w:line="360" w:lineRule="exact"/>
                    <w:jc w:val="center"/>
                    <w:rPr>
                      <w:szCs w:val="21"/>
                    </w:rPr>
                  </w:pPr>
                  <w:r>
                    <w:rPr>
                      <w:rFonts w:hint="eastAsia"/>
                      <w:szCs w:val="21"/>
                    </w:rPr>
                    <w:t>声环境</w:t>
                  </w:r>
                </w:p>
              </w:tc>
              <w:tc>
                <w:tcPr>
                  <w:tcW w:w="2395" w:type="pct"/>
                  <w:gridSpan w:val="3"/>
                  <w:tcBorders>
                    <w:tl2br w:val="nil"/>
                    <w:tr2bl w:val="nil"/>
                  </w:tcBorders>
                  <w:vAlign w:val="center"/>
                </w:tcPr>
                <w:p>
                  <w:pPr>
                    <w:jc w:val="center"/>
                    <w:rPr>
                      <w:rFonts w:hint="default" w:eastAsia="宋体"/>
                      <w:lang w:val="en-US" w:eastAsia="zh-CN"/>
                    </w:rPr>
                  </w:pPr>
                  <w:r>
                    <w:rPr>
                      <w:rFonts w:hint="eastAsia"/>
                      <w:lang w:val="en-US" w:eastAsia="zh-CN"/>
                    </w:rPr>
                    <w:t>本项目所在位置周围50m范围内并无环境敏感目标</w:t>
                  </w:r>
                </w:p>
              </w:tc>
              <w:tc>
                <w:tcPr>
                  <w:tcW w:w="1634" w:type="pct"/>
                  <w:tcBorders>
                    <w:tl2br w:val="nil"/>
                    <w:tr2bl w:val="nil"/>
                  </w:tcBorders>
                  <w:vAlign w:val="center"/>
                </w:tcPr>
                <w:p>
                  <w:pPr>
                    <w:jc w:val="center"/>
                  </w:pPr>
                  <w:r>
                    <w:t>《声环境质量标准》（GB3096-2008）</w:t>
                  </w:r>
                  <w:r>
                    <w:rPr>
                      <w:rFonts w:hint="eastAsia"/>
                      <w:lang w:val="en-US" w:eastAsia="zh-CN"/>
                    </w:rPr>
                    <w:t>3</w:t>
                  </w:r>
                  <w:r>
                    <w:t>类</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289" w:type="pct"/>
            <w:noWrap w:val="0"/>
            <w:tcMar>
              <w:left w:w="28" w:type="dxa"/>
              <w:right w:w="28" w:type="dxa"/>
            </w:tcMar>
            <w:vAlign w:val="center"/>
          </w:tcPr>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污</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染</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物</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排</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放</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控</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制</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标</w:t>
            </w:r>
          </w:p>
          <w:p>
            <w:pPr>
              <w:adjustRightInd w:val="0"/>
              <w:snapToGrid w:val="0"/>
              <w:jc w:val="center"/>
              <w:rPr>
                <w:rFonts w:ascii="宋体" w:hAnsi="宋体" w:cs="宋体"/>
                <w:kern w:val="0"/>
                <w:sz w:val="24"/>
                <w:szCs w:val="24"/>
              </w:rPr>
            </w:pPr>
            <w:r>
              <w:rPr>
                <w:rFonts w:hint="eastAsia" w:ascii="宋体" w:hAnsi="宋体" w:cs="宋体"/>
                <w:b/>
                <w:bCs/>
                <w:kern w:val="0"/>
                <w:sz w:val="24"/>
                <w:szCs w:val="24"/>
              </w:rPr>
              <w:t>准</w:t>
            </w:r>
          </w:p>
        </w:tc>
        <w:tc>
          <w:tcPr>
            <w:tcW w:w="4710" w:type="pct"/>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b/>
                <w:sz w:val="24"/>
                <w:szCs w:val="24"/>
              </w:rPr>
            </w:pPr>
            <w:r>
              <w:rPr>
                <w:rFonts w:hint="eastAsia"/>
                <w:b/>
                <w:sz w:val="24"/>
                <w:szCs w:val="24"/>
              </w:rPr>
              <w:t>1、废气</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①有组织</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u w:val="none"/>
              </w:rPr>
            </w:pPr>
            <w:r>
              <w:rPr>
                <w:rFonts w:hint="eastAsia"/>
                <w:sz w:val="24"/>
                <w:u w:val="none"/>
              </w:rPr>
              <w:t>运营期</w:t>
            </w:r>
            <w:r>
              <w:rPr>
                <w:rFonts w:hint="eastAsia"/>
                <w:sz w:val="24"/>
                <w:u w:val="none"/>
                <w:lang w:val="en-US" w:eastAsia="zh-CN"/>
              </w:rPr>
              <w:t>中项目废气排放需</w:t>
            </w:r>
            <w:r>
              <w:rPr>
                <w:rFonts w:hint="eastAsia"/>
                <w:sz w:val="24"/>
                <w:u w:val="none"/>
              </w:rPr>
              <w:t>满足《大气污染物综合排放标准》（GB16297-1996）</w:t>
            </w:r>
            <w:r>
              <w:rPr>
                <w:rFonts w:hint="eastAsia"/>
                <w:sz w:val="24"/>
                <w:u w:val="none"/>
                <w:lang w:eastAsia="zh-CN"/>
              </w:rPr>
              <w:t>、</w:t>
            </w:r>
            <w:r>
              <w:rPr>
                <w:rFonts w:hint="eastAsia"/>
                <w:b w:val="0"/>
                <w:bCs w:val="0"/>
                <w:color w:val="auto"/>
                <w:sz w:val="24"/>
                <w:szCs w:val="24"/>
                <w:u w:val="none"/>
                <w:lang w:val="en-US" w:eastAsia="zh-CN"/>
              </w:rPr>
              <w:t>《河南省重污染天气通用行业应急减排措施制定技术指南》（2021年修订版）中“涉锅炉/炉窑企业”相关绩效分级指标要求、</w:t>
            </w:r>
            <w:r>
              <w:rPr>
                <w:rFonts w:hint="eastAsia"/>
                <w:b w:val="0"/>
                <w:bCs w:val="0"/>
                <w:sz w:val="24"/>
                <w:u w:val="none"/>
              </w:rPr>
              <w:t>河南省环境污染防治攻坚战领导小组办公室文件《关于全省开展工业企业挥发性有机物专项治理工作中排放建议值的通知》（豫环攻坚办</w:t>
            </w:r>
            <w:r>
              <w:rPr>
                <w:rFonts w:hint="eastAsia"/>
                <w:b w:val="0"/>
                <w:bCs w:val="0"/>
                <w:sz w:val="24"/>
                <w:u w:val="none"/>
                <w:lang w:eastAsia="zh-CN"/>
              </w:rPr>
              <w:t>〔</w:t>
            </w:r>
            <w:r>
              <w:rPr>
                <w:rFonts w:hint="eastAsia"/>
                <w:b w:val="0"/>
                <w:bCs w:val="0"/>
                <w:sz w:val="24"/>
                <w:u w:val="none"/>
              </w:rPr>
              <w:t>2017</w:t>
            </w:r>
            <w:r>
              <w:rPr>
                <w:rFonts w:hint="eastAsia"/>
                <w:b w:val="0"/>
                <w:bCs w:val="0"/>
                <w:sz w:val="24"/>
                <w:u w:val="none"/>
                <w:lang w:eastAsia="zh-CN"/>
              </w:rPr>
              <w:t>〕</w:t>
            </w:r>
            <w:r>
              <w:rPr>
                <w:rFonts w:hint="eastAsia"/>
                <w:b w:val="0"/>
                <w:bCs w:val="0"/>
                <w:sz w:val="24"/>
                <w:u w:val="none"/>
              </w:rPr>
              <w:t>162号）</w:t>
            </w:r>
            <w:r>
              <w:rPr>
                <w:rFonts w:hint="eastAsia"/>
                <w:b w:val="0"/>
                <w:bCs w:val="0"/>
                <w:sz w:val="24"/>
                <w:u w:val="none"/>
                <w:lang w:eastAsia="zh-CN"/>
              </w:rPr>
              <w:t>、《工业涂装工序挥发性有机物排放标准》（DB41/1951-2020）</w:t>
            </w:r>
            <w:r>
              <w:rPr>
                <w:rFonts w:hint="eastAsia"/>
                <w:b w:val="0"/>
                <w:bCs w:val="0"/>
                <w:sz w:val="24"/>
                <w:u w:val="none"/>
                <w:lang w:val="en-US" w:eastAsia="zh-CN"/>
              </w:rPr>
              <w:t>以及《工业炉窑大气污染物排放标准》（DB411066-2020）</w:t>
            </w:r>
            <w:r>
              <w:rPr>
                <w:rFonts w:hint="eastAsia"/>
                <w:b w:val="0"/>
                <w:bCs w:val="0"/>
                <w:sz w:val="24"/>
                <w:u w:val="none"/>
              </w:rPr>
              <w:t>中</w:t>
            </w:r>
            <w:r>
              <w:rPr>
                <w:rFonts w:hint="eastAsia"/>
                <w:b w:val="0"/>
                <w:bCs w:val="0"/>
                <w:sz w:val="24"/>
                <w:u w:val="none"/>
                <w:lang w:val="en-US" w:eastAsia="zh-CN"/>
              </w:rPr>
              <w:t>相关要求和限值</w:t>
            </w:r>
            <w:r>
              <w:rPr>
                <w:rFonts w:hint="eastAsia"/>
                <w:sz w:val="24"/>
                <w:u w:val="none"/>
              </w:rPr>
              <w:t>。</w:t>
            </w:r>
            <w:r>
              <w:rPr>
                <w:rFonts w:hint="eastAsia"/>
                <w:sz w:val="24"/>
                <w:u w:val="none"/>
                <w:lang w:val="en-US" w:eastAsia="zh-CN"/>
              </w:rPr>
              <w:t>以上各</w:t>
            </w:r>
            <w:r>
              <w:rPr>
                <w:rFonts w:hint="eastAsia"/>
                <w:sz w:val="24"/>
                <w:u w:val="none"/>
              </w:rPr>
              <w:t>标准限值取严格值。</w:t>
            </w:r>
            <w:r>
              <w:rPr>
                <w:rFonts w:hint="eastAsia"/>
                <w:sz w:val="24"/>
                <w:szCs w:val="24"/>
                <w:u w:val="none"/>
              </w:rPr>
              <w:t>具体标准值见</w:t>
            </w:r>
            <w:r>
              <w:rPr>
                <w:rFonts w:hint="eastAsia"/>
                <w:sz w:val="24"/>
                <w:szCs w:val="24"/>
                <w:u w:val="none"/>
                <w:lang w:eastAsia="zh-CN"/>
              </w:rPr>
              <w:t>下</w:t>
            </w:r>
            <w:r>
              <w:rPr>
                <w:rFonts w:hint="eastAsia"/>
                <w:sz w:val="24"/>
                <w:szCs w:val="24"/>
                <w:u w:val="none"/>
              </w:rPr>
              <w:t>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kern w:val="2"/>
                <w:sz w:val="24"/>
                <w:szCs w:val="24"/>
                <w:lang w:val="en-US" w:eastAsia="zh-CN" w:bidi="ar-SA"/>
              </w:rPr>
            </w:pPr>
            <w:r>
              <w:rPr>
                <w:rFonts w:hint="default" w:ascii="Times New Roman" w:hAnsi="Times New Roman" w:eastAsia="宋体" w:cs="Times New Roman"/>
                <w:b/>
                <w:bCs w:val="0"/>
                <w:kern w:val="2"/>
                <w:sz w:val="24"/>
                <w:szCs w:val="24"/>
                <w:lang w:val="en-US" w:eastAsia="zh-CN" w:bidi="ar-SA"/>
              </w:rPr>
              <w:t>表</w:t>
            </w:r>
            <w:r>
              <w:rPr>
                <w:rFonts w:hint="eastAsia" w:cs="Times New Roman"/>
                <w:b/>
                <w:bCs w:val="0"/>
                <w:kern w:val="2"/>
                <w:sz w:val="24"/>
                <w:szCs w:val="24"/>
                <w:lang w:val="en-US" w:eastAsia="zh-CN" w:bidi="ar-SA"/>
              </w:rPr>
              <w:t>3</w:t>
            </w:r>
            <w:r>
              <w:rPr>
                <w:rFonts w:hint="eastAsia" w:eastAsia="宋体" w:cs="Times New Roman"/>
                <w:b/>
                <w:bCs w:val="0"/>
                <w:kern w:val="2"/>
                <w:sz w:val="24"/>
                <w:szCs w:val="24"/>
                <w:lang w:val="en-US" w:eastAsia="zh-CN" w:bidi="ar-SA"/>
              </w:rPr>
              <w:t>-</w:t>
            </w:r>
            <w:r>
              <w:rPr>
                <w:rFonts w:hint="eastAsia" w:cs="Times New Roman"/>
                <w:b/>
                <w:bCs w:val="0"/>
                <w:kern w:val="2"/>
                <w:sz w:val="24"/>
                <w:szCs w:val="24"/>
                <w:lang w:val="en-US" w:eastAsia="zh-CN" w:bidi="ar-SA"/>
              </w:rPr>
              <w:t xml:space="preserve">7  </w:t>
            </w:r>
            <w:r>
              <w:rPr>
                <w:rFonts w:hint="default" w:ascii="Times New Roman" w:hAnsi="Times New Roman" w:eastAsia="宋体" w:cs="Times New Roman"/>
                <w:b/>
                <w:bCs w:val="0"/>
                <w:kern w:val="2"/>
                <w:sz w:val="24"/>
                <w:szCs w:val="24"/>
                <w:lang w:val="en-US" w:eastAsia="zh-CN" w:bidi="ar-SA"/>
              </w:rPr>
              <w:t>大气污染物排放</w:t>
            </w:r>
            <w:r>
              <w:rPr>
                <w:rFonts w:hint="eastAsia" w:ascii="Times New Roman" w:hAnsi="Times New Roman" w:eastAsia="宋体" w:cs="Times New Roman"/>
                <w:b/>
                <w:bCs w:val="0"/>
                <w:kern w:val="2"/>
                <w:sz w:val="24"/>
                <w:szCs w:val="24"/>
                <w:lang w:val="en-US" w:eastAsia="zh-CN" w:bidi="ar-SA"/>
              </w:rPr>
              <w:t>限值</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765"/>
              <w:gridCol w:w="825"/>
              <w:gridCol w:w="1755"/>
              <w:gridCol w:w="1442"/>
              <w:gridCol w:w="1176"/>
              <w:gridCol w:w="967"/>
              <w:gridCol w:w="591"/>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0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r>
                    <w:rPr>
                      <w:rFonts w:hint="default"/>
                      <w:u w:val="none"/>
                    </w:rPr>
                    <w:t>污染因子</w:t>
                  </w:r>
                </w:p>
              </w:tc>
              <w:tc>
                <w:tcPr>
                  <w:tcW w:w="3783"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r>
                    <w:rPr>
                      <w:rFonts w:hint="default"/>
                      <w:u w:val="none"/>
                    </w:rPr>
                    <w:t>标准名称与级（类）别</w:t>
                  </w:r>
                </w:p>
              </w:tc>
              <w:tc>
                <w:tcPr>
                  <w:tcW w:w="712"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u w:val="none"/>
                      <w:lang w:val="en-US" w:eastAsia="zh-CN"/>
                    </w:rPr>
                  </w:pPr>
                  <w:r>
                    <w:rPr>
                      <w:rFonts w:hint="eastAsia"/>
                      <w:u w:val="none"/>
                      <w:lang w:eastAsia="zh-CN"/>
                    </w:rPr>
                    <w:t>本项目执行标准（</w:t>
                  </w:r>
                  <w:r>
                    <w:rPr>
                      <w:rFonts w:hint="eastAsia"/>
                      <w:u w:val="none"/>
                      <w:lang w:val="en-US" w:eastAsia="zh-CN"/>
                    </w:rPr>
                    <w:t>四</w:t>
                  </w:r>
                  <w:r>
                    <w:rPr>
                      <w:rFonts w:hint="eastAsia"/>
                      <w:u w:val="none"/>
                      <w:lang w:eastAsia="zh-CN"/>
                    </w:rPr>
                    <w:t>者按严格值）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blHeader/>
                <w:jc w:val="center"/>
              </w:trPr>
              <w:tc>
                <w:tcPr>
                  <w:tcW w:w="50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p>
              </w:tc>
              <w:tc>
                <w:tcPr>
                  <w:tcW w:w="86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default"/>
                      <w:u w:val="none"/>
                    </w:rPr>
                    <w:t>《大气污染物综合排放标准》（GB16297-1996）表2标准</w:t>
                  </w:r>
                  <w:r>
                    <w:rPr>
                      <w:rFonts w:hint="eastAsia"/>
                      <w:u w:val="none"/>
                      <w:lang w:eastAsia="zh-CN"/>
                    </w:rPr>
                    <w:t>（</w:t>
                  </w:r>
                  <w:r>
                    <w:rPr>
                      <w:rFonts w:hint="eastAsia"/>
                      <w:u w:val="none"/>
                      <w:lang w:val="en-US" w:eastAsia="zh-CN"/>
                    </w:rPr>
                    <w:t>15m高排气筒</w:t>
                  </w:r>
                  <w:r>
                    <w:rPr>
                      <w:rFonts w:hint="eastAsia"/>
                      <w:u w:val="none"/>
                      <w:lang w:eastAsia="zh-CN"/>
                    </w:rPr>
                    <w:t>）</w:t>
                  </w:r>
                </w:p>
              </w:tc>
              <w:tc>
                <w:tcPr>
                  <w:tcW w:w="9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r>
                    <w:rPr>
                      <w:rFonts w:hint="default"/>
                      <w:u w:val="none"/>
                    </w:rPr>
                    <w:t>《关于全省开展工业企业挥发性有机物专项治理工作中排放建议值的通知》（豫环攻坚办</w:t>
                  </w:r>
                  <w:r>
                    <w:rPr>
                      <w:rFonts w:hint="eastAsia"/>
                      <w:u w:val="none"/>
                      <w:lang w:eastAsia="zh-CN"/>
                    </w:rPr>
                    <w:t>〔</w:t>
                  </w:r>
                  <w:r>
                    <w:rPr>
                      <w:rFonts w:hint="default"/>
                      <w:u w:val="none"/>
                    </w:rPr>
                    <w:t>2017</w:t>
                  </w:r>
                  <w:r>
                    <w:rPr>
                      <w:rFonts w:hint="eastAsia"/>
                      <w:u w:val="none"/>
                      <w:lang w:eastAsia="zh-CN"/>
                    </w:rPr>
                    <w:t>〕</w:t>
                  </w:r>
                  <w:r>
                    <w:rPr>
                      <w:rFonts w:hint="default"/>
                      <w:u w:val="none"/>
                    </w:rPr>
                    <w:t>162号）</w:t>
                  </w:r>
                </w:p>
              </w:tc>
              <w:tc>
                <w:tcPr>
                  <w:tcW w:w="7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r>
                    <w:rPr>
                      <w:rFonts w:hint="eastAsia"/>
                      <w:u w:val="none"/>
                      <w:lang w:eastAsia="zh-CN"/>
                    </w:rPr>
                    <w:t>《</w:t>
                  </w:r>
                  <w:r>
                    <w:rPr>
                      <w:rFonts w:hint="default"/>
                      <w:u w:val="none"/>
                    </w:rPr>
                    <w:t>工业涂装工序挥发性有机物排放标准</w:t>
                  </w:r>
                  <w:r>
                    <w:rPr>
                      <w:rFonts w:hint="eastAsia"/>
                      <w:u w:val="none"/>
                      <w:lang w:eastAsia="zh-CN"/>
                    </w:rPr>
                    <w:t>》</w:t>
                  </w:r>
                  <w:r>
                    <w:rPr>
                      <w:rFonts w:hint="default"/>
                      <w:u w:val="none"/>
                    </w:rPr>
                    <w:t>（DB41/1951-2020）</w:t>
                  </w:r>
                </w:p>
              </w:tc>
              <w:tc>
                <w:tcPr>
                  <w:tcW w:w="6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r>
                    <w:rPr>
                      <w:rFonts w:hint="default"/>
                      <w:u w:val="none"/>
                    </w:rPr>
                    <w:t>《工业炉窑大气污染物排放标准》（DB411066-2020）</w:t>
                  </w:r>
                </w:p>
              </w:tc>
              <w:tc>
                <w:tcPr>
                  <w:tcW w:w="5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r>
                    <w:rPr>
                      <w:rFonts w:hint="default"/>
                      <w:u w:val="none"/>
                    </w:rPr>
                    <w:t>涉锅炉/炉窑企业绩效分级指标</w:t>
                  </w:r>
                  <w:r>
                    <w:rPr>
                      <w:rFonts w:hint="eastAsia"/>
                      <w:u w:val="none"/>
                      <w:lang w:val="en-US" w:eastAsia="zh-CN"/>
                    </w:rPr>
                    <w:t>要求</w:t>
                  </w:r>
                </w:p>
              </w:tc>
              <w:tc>
                <w:tcPr>
                  <w:tcW w:w="712"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0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p>
              </w:tc>
              <w:tc>
                <w:tcPr>
                  <w:tcW w:w="4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eastAsia"/>
                      <w:u w:val="none"/>
                      <w:lang w:val="en-US" w:eastAsia="zh-CN"/>
                    </w:rPr>
                    <w:t>kg/h</w:t>
                  </w:r>
                </w:p>
              </w:tc>
              <w:tc>
                <w:tcPr>
                  <w:tcW w:w="4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default"/>
                      <w:u w:val="none"/>
                    </w:rPr>
                    <w:t>mg/m</w:t>
                  </w:r>
                  <w:r>
                    <w:rPr>
                      <w:rFonts w:hint="default"/>
                      <w:u w:val="none"/>
                      <w:vertAlign w:val="superscript"/>
                    </w:rPr>
                    <w:t>3</w:t>
                  </w:r>
                </w:p>
              </w:tc>
              <w:tc>
                <w:tcPr>
                  <w:tcW w:w="9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default"/>
                      <w:u w:val="none"/>
                    </w:rPr>
                    <w:t>mg/m</w:t>
                  </w:r>
                  <w:r>
                    <w:rPr>
                      <w:rFonts w:hint="default"/>
                      <w:u w:val="none"/>
                      <w:vertAlign w:val="superscript"/>
                    </w:rPr>
                    <w:t>3</w:t>
                  </w:r>
                </w:p>
              </w:tc>
              <w:tc>
                <w:tcPr>
                  <w:tcW w:w="7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default"/>
                      <w:u w:val="none"/>
                    </w:rPr>
                    <w:t>mg/m</w:t>
                  </w:r>
                  <w:r>
                    <w:rPr>
                      <w:rFonts w:hint="default"/>
                      <w:u w:val="none"/>
                      <w:vertAlign w:val="superscript"/>
                    </w:rPr>
                    <w:t>3</w:t>
                  </w:r>
                </w:p>
              </w:tc>
              <w:tc>
                <w:tcPr>
                  <w:tcW w:w="6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default"/>
                      <w:u w:val="none"/>
                    </w:rPr>
                    <w:t>mg/m</w:t>
                  </w:r>
                  <w:r>
                    <w:rPr>
                      <w:rFonts w:hint="default"/>
                      <w:u w:val="none"/>
                      <w:vertAlign w:val="superscript"/>
                    </w:rPr>
                    <w:t>3</w:t>
                  </w:r>
                </w:p>
              </w:tc>
              <w:tc>
                <w:tcPr>
                  <w:tcW w:w="5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default"/>
                      <w:u w:val="none"/>
                    </w:rPr>
                    <w:t>mg/m</w:t>
                  </w:r>
                  <w:r>
                    <w:rPr>
                      <w:rFonts w:hint="default"/>
                      <w:u w:val="none"/>
                      <w:vertAlign w:val="superscript"/>
                    </w:rPr>
                    <w:t>3</w:t>
                  </w:r>
                </w:p>
              </w:tc>
              <w:tc>
                <w:tcPr>
                  <w:tcW w:w="3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r>
                    <w:rPr>
                      <w:rFonts w:hint="eastAsia"/>
                      <w:u w:val="none"/>
                      <w:lang w:val="en-US" w:eastAsia="zh-CN"/>
                    </w:rPr>
                    <w:t>kg/h</w:t>
                  </w:r>
                </w:p>
              </w:tc>
              <w:tc>
                <w:tcPr>
                  <w:tcW w:w="3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r>
                    <w:rPr>
                      <w:rFonts w:hint="default"/>
                      <w:u w:val="none"/>
                    </w:rPr>
                    <w:t>mg/m</w:t>
                  </w:r>
                  <w:r>
                    <w:rPr>
                      <w:rFonts w:hint="default"/>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eastAsia"/>
                      <w:u w:val="none"/>
                      <w:lang w:eastAsia="zh-CN"/>
                    </w:rPr>
                    <w:t>颗粒物</w:t>
                  </w:r>
                </w:p>
              </w:tc>
              <w:tc>
                <w:tcPr>
                  <w:tcW w:w="4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3.5</w:t>
                  </w:r>
                </w:p>
              </w:tc>
              <w:tc>
                <w:tcPr>
                  <w:tcW w:w="4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120</w:t>
                  </w:r>
                </w:p>
              </w:tc>
              <w:tc>
                <w:tcPr>
                  <w:tcW w:w="9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w:t>
                  </w:r>
                </w:p>
              </w:tc>
              <w:tc>
                <w:tcPr>
                  <w:tcW w:w="7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w:t>
                  </w:r>
                </w:p>
              </w:tc>
              <w:tc>
                <w:tcPr>
                  <w:tcW w:w="6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w:t>
                  </w:r>
                </w:p>
              </w:tc>
              <w:tc>
                <w:tcPr>
                  <w:tcW w:w="5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10</w:t>
                  </w:r>
                </w:p>
              </w:tc>
              <w:tc>
                <w:tcPr>
                  <w:tcW w:w="3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3.5</w:t>
                  </w:r>
                </w:p>
              </w:tc>
              <w:tc>
                <w:tcPr>
                  <w:tcW w:w="3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val="en-US" w:eastAsia="zh-CN"/>
                    </w:rPr>
                  </w:pPr>
                  <w:r>
                    <w:rPr>
                      <w:rFonts w:hint="eastAsia"/>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eastAsia"/>
                      <w:u w:val="none"/>
                      <w:lang w:val="en-US" w:eastAsia="zh-CN"/>
                    </w:rPr>
                    <w:t>有机废气（</w:t>
                  </w:r>
                  <w:r>
                    <w:rPr>
                      <w:rFonts w:hint="eastAsia"/>
                      <w:u w:val="none"/>
                      <w:lang w:eastAsia="zh-CN"/>
                    </w:rPr>
                    <w:t>非甲烷总烃</w:t>
                  </w:r>
                  <w:r>
                    <w:rPr>
                      <w:rFonts w:hint="eastAsia"/>
                      <w:u w:val="none"/>
                      <w:lang w:val="en-US" w:eastAsia="zh-CN"/>
                    </w:rPr>
                    <w:t>）</w:t>
                  </w:r>
                </w:p>
              </w:tc>
              <w:tc>
                <w:tcPr>
                  <w:tcW w:w="4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10</w:t>
                  </w:r>
                </w:p>
              </w:tc>
              <w:tc>
                <w:tcPr>
                  <w:tcW w:w="4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120</w:t>
                  </w:r>
                </w:p>
              </w:tc>
              <w:tc>
                <w:tcPr>
                  <w:tcW w:w="9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default"/>
                      <w:u w:val="none"/>
                      <w:lang w:val="en-US" w:eastAsia="zh-CN"/>
                    </w:rPr>
                    <w:t>非甲烷总烃建议排放浓度60mg/m</w:t>
                  </w:r>
                  <w:r>
                    <w:rPr>
                      <w:rFonts w:hint="default"/>
                      <w:u w:val="none"/>
                      <w:vertAlign w:val="superscript"/>
                      <w:lang w:val="en-US" w:eastAsia="zh-CN"/>
                    </w:rPr>
                    <w:t>3</w:t>
                  </w:r>
                  <w:r>
                    <w:rPr>
                      <w:rFonts w:hint="default"/>
                      <w:u w:val="none"/>
                      <w:lang w:val="en-US" w:eastAsia="zh-CN"/>
                    </w:rPr>
                    <w:t>，处理效率70%</w:t>
                  </w:r>
                </w:p>
              </w:tc>
              <w:tc>
                <w:tcPr>
                  <w:tcW w:w="7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val="en-US" w:eastAsia="zh-CN"/>
                    </w:rPr>
                  </w:pPr>
                  <w:r>
                    <w:rPr>
                      <w:rFonts w:hint="default" w:ascii="Times New Roman" w:hAnsi="Times New Roman" w:eastAsia="宋体" w:cs="Times New Roman"/>
                      <w:color w:val="auto"/>
                      <w:sz w:val="21"/>
                      <w:szCs w:val="21"/>
                      <w:highlight w:val="none"/>
                      <w:lang w:val="en-US"/>
                    </w:rPr>
                    <w:t>非甲烷总烃</w:t>
                  </w:r>
                  <w:r>
                    <w:rPr>
                      <w:rFonts w:hint="eastAsia" w:ascii="Times New Roman" w:hAnsi="Times New Roman" w:eastAsia="宋体" w:cs="Times New Roman"/>
                      <w:color w:val="auto"/>
                      <w:sz w:val="21"/>
                      <w:szCs w:val="21"/>
                      <w:highlight w:val="none"/>
                      <w:lang w:val="en-US" w:eastAsia="zh-CN"/>
                    </w:rPr>
                    <w:t>有组织排放限值50</w:t>
                  </w:r>
                  <w:r>
                    <w:rPr>
                      <w:rFonts w:ascii="Times New Roman" w:hAnsi="Times New Roman"/>
                      <w:bCs/>
                      <w:color w:val="auto"/>
                      <w:szCs w:val="21"/>
                      <w:highlight w:val="none"/>
                    </w:rPr>
                    <w:t>mg/m</w:t>
                  </w:r>
                  <w:r>
                    <w:rPr>
                      <w:rFonts w:ascii="Times New Roman" w:hAnsi="Times New Roman"/>
                      <w:bCs/>
                      <w:color w:val="auto"/>
                      <w:szCs w:val="21"/>
                      <w:highlight w:val="none"/>
                      <w:vertAlign w:val="superscript"/>
                    </w:rPr>
                    <w:t>3</w:t>
                  </w:r>
                </w:p>
              </w:tc>
              <w:tc>
                <w:tcPr>
                  <w:tcW w:w="6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w:t>
                  </w:r>
                </w:p>
              </w:tc>
              <w:tc>
                <w:tcPr>
                  <w:tcW w:w="5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w:t>
                  </w:r>
                </w:p>
              </w:tc>
              <w:tc>
                <w:tcPr>
                  <w:tcW w:w="3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10</w:t>
                  </w:r>
                </w:p>
              </w:tc>
              <w:tc>
                <w:tcPr>
                  <w:tcW w:w="3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SO</w:t>
                  </w:r>
                  <w:r>
                    <w:rPr>
                      <w:rFonts w:hint="eastAsia"/>
                      <w:u w:val="none"/>
                      <w:vertAlign w:val="subscript"/>
                      <w:lang w:val="en-US" w:eastAsia="zh-CN"/>
                    </w:rPr>
                    <w:t>2</w:t>
                  </w:r>
                </w:p>
              </w:tc>
              <w:tc>
                <w:tcPr>
                  <w:tcW w:w="4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w:t>
                  </w:r>
                </w:p>
              </w:tc>
              <w:tc>
                <w:tcPr>
                  <w:tcW w:w="4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w:t>
                  </w:r>
                </w:p>
              </w:tc>
              <w:tc>
                <w:tcPr>
                  <w:tcW w:w="9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w:t>
                  </w:r>
                </w:p>
              </w:tc>
              <w:tc>
                <w:tcPr>
                  <w:tcW w:w="7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w:t>
                  </w:r>
                </w:p>
              </w:tc>
              <w:tc>
                <w:tcPr>
                  <w:tcW w:w="6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200</w:t>
                  </w:r>
                </w:p>
              </w:tc>
              <w:tc>
                <w:tcPr>
                  <w:tcW w:w="5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35</w:t>
                  </w:r>
                </w:p>
              </w:tc>
              <w:tc>
                <w:tcPr>
                  <w:tcW w:w="3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w:t>
                  </w:r>
                </w:p>
              </w:tc>
              <w:tc>
                <w:tcPr>
                  <w:tcW w:w="3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blHeader/>
                <w:jc w:val="center"/>
              </w:trPr>
              <w:tc>
                <w:tcPr>
                  <w:tcW w:w="5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NOx</w:t>
                  </w:r>
                </w:p>
              </w:tc>
              <w:tc>
                <w:tcPr>
                  <w:tcW w:w="4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w:t>
                  </w:r>
                </w:p>
              </w:tc>
              <w:tc>
                <w:tcPr>
                  <w:tcW w:w="4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w:t>
                  </w:r>
                </w:p>
              </w:tc>
              <w:tc>
                <w:tcPr>
                  <w:tcW w:w="9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w:t>
                  </w:r>
                </w:p>
              </w:tc>
              <w:tc>
                <w:tcPr>
                  <w:tcW w:w="7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w:t>
                  </w:r>
                </w:p>
              </w:tc>
              <w:tc>
                <w:tcPr>
                  <w:tcW w:w="6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300</w:t>
                  </w:r>
                </w:p>
              </w:tc>
              <w:tc>
                <w:tcPr>
                  <w:tcW w:w="5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50</w:t>
                  </w:r>
                </w:p>
              </w:tc>
              <w:tc>
                <w:tcPr>
                  <w:tcW w:w="3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w:t>
                  </w:r>
                </w:p>
              </w:tc>
              <w:tc>
                <w:tcPr>
                  <w:tcW w:w="3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50</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②无组织</w:t>
            </w:r>
          </w:p>
          <w:p>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baseline"/>
              <w:rPr>
                <w:rFonts w:hint="eastAsia"/>
                <w:b w:val="0"/>
                <w:bCs w:val="0"/>
                <w:spacing w:val="5"/>
                <w:sz w:val="24"/>
                <w:szCs w:val="24"/>
                <w:u w:val="none"/>
                <w:lang w:val="en-US" w:eastAsia="zh-CN"/>
              </w:rPr>
            </w:pPr>
            <w:r>
              <w:rPr>
                <w:rFonts w:hint="eastAsia"/>
                <w:b w:val="0"/>
                <w:bCs w:val="0"/>
                <w:spacing w:val="5"/>
                <w:sz w:val="24"/>
                <w:szCs w:val="24"/>
                <w:u w:val="none"/>
              </w:rPr>
              <w:t>厂区内无组织</w:t>
            </w:r>
            <w:r>
              <w:rPr>
                <w:rFonts w:hint="eastAsia"/>
                <w:b w:val="0"/>
                <w:bCs w:val="0"/>
                <w:spacing w:val="5"/>
                <w:sz w:val="24"/>
                <w:szCs w:val="24"/>
                <w:u w:val="none"/>
                <w:lang w:val="en-US" w:eastAsia="zh-CN"/>
              </w:rPr>
              <w:t>废气</w:t>
            </w:r>
            <w:r>
              <w:rPr>
                <w:rFonts w:hint="eastAsia"/>
                <w:b w:val="0"/>
                <w:bCs w:val="0"/>
                <w:spacing w:val="5"/>
                <w:sz w:val="24"/>
                <w:szCs w:val="24"/>
                <w:u w:val="none"/>
              </w:rPr>
              <w:t>排放执行《挥发性有机物无组织排放控制标准》（GB37822-2019）相关要求</w:t>
            </w:r>
            <w:r>
              <w:rPr>
                <w:rFonts w:hint="eastAsia"/>
                <w:b w:val="0"/>
                <w:bCs w:val="0"/>
                <w:spacing w:val="5"/>
                <w:sz w:val="24"/>
                <w:szCs w:val="24"/>
                <w:u w:val="none"/>
                <w:lang w:eastAsia="zh-CN"/>
              </w:rPr>
              <w:t>、《大气污染物综合排放标准》（GB16297-1996）</w:t>
            </w:r>
            <w:r>
              <w:rPr>
                <w:rFonts w:hint="eastAsia"/>
                <w:b w:val="0"/>
                <w:bCs w:val="0"/>
                <w:spacing w:val="5"/>
                <w:sz w:val="24"/>
                <w:szCs w:val="24"/>
                <w:u w:val="none"/>
                <w:lang w:val="en-US" w:eastAsia="zh-CN"/>
              </w:rPr>
              <w:t>相关限值、《关于全省开展工业企业挥发性有机物专项治理工作中排放建议值的通知》（豫环攻坚办〔2017〕162号）相关限值以及《工业涂装工序挥发性有机物排放标准》（DB41/1951-2020）相关限值</w:t>
            </w:r>
            <w:r>
              <w:rPr>
                <w:rFonts w:hint="eastAsia"/>
                <w:b w:val="0"/>
                <w:bCs w:val="0"/>
                <w:spacing w:val="5"/>
                <w:sz w:val="24"/>
                <w:szCs w:val="24"/>
                <w:u w:val="none"/>
              </w:rPr>
              <w:t>，</w:t>
            </w:r>
            <w:r>
              <w:rPr>
                <w:rFonts w:hint="eastAsia"/>
                <w:b w:val="0"/>
                <w:bCs w:val="0"/>
                <w:spacing w:val="5"/>
                <w:sz w:val="24"/>
                <w:szCs w:val="24"/>
                <w:u w:val="none"/>
                <w:lang w:eastAsia="zh-CN"/>
              </w:rPr>
              <w:t>具体见表</w:t>
            </w:r>
            <w:r>
              <w:rPr>
                <w:rFonts w:hint="eastAsia"/>
                <w:b w:val="0"/>
                <w:bCs w:val="0"/>
                <w:spacing w:val="5"/>
                <w:sz w:val="24"/>
                <w:szCs w:val="24"/>
                <w:u w:val="none"/>
                <w:lang w:val="en-US" w:eastAsia="zh-CN"/>
              </w:rPr>
              <w:t>3-8。</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kern w:val="2"/>
                <w:sz w:val="24"/>
                <w:szCs w:val="24"/>
                <w:lang w:val="en-US" w:eastAsia="zh-CN" w:bidi="ar-SA"/>
              </w:rPr>
            </w:pPr>
            <w:r>
              <w:rPr>
                <w:rFonts w:hint="default" w:ascii="Times New Roman" w:hAnsi="Times New Roman" w:eastAsia="宋体" w:cs="Times New Roman"/>
                <w:b/>
                <w:bCs w:val="0"/>
                <w:kern w:val="2"/>
                <w:sz w:val="24"/>
                <w:szCs w:val="24"/>
                <w:lang w:val="en-US" w:eastAsia="zh-CN" w:bidi="ar-SA"/>
              </w:rPr>
              <w:t>表</w:t>
            </w:r>
            <w:r>
              <w:rPr>
                <w:rFonts w:hint="eastAsia" w:cs="Times New Roman"/>
                <w:b/>
                <w:bCs w:val="0"/>
                <w:kern w:val="2"/>
                <w:sz w:val="24"/>
                <w:szCs w:val="24"/>
                <w:lang w:val="en-US" w:eastAsia="zh-CN" w:bidi="ar-SA"/>
              </w:rPr>
              <w:t>3-8 无组织废气</w:t>
            </w:r>
            <w:r>
              <w:rPr>
                <w:rFonts w:hint="eastAsia" w:ascii="Times New Roman" w:hAnsi="Times New Roman" w:eastAsia="宋体" w:cs="Times New Roman"/>
                <w:b/>
                <w:bCs w:val="0"/>
                <w:kern w:val="2"/>
                <w:sz w:val="24"/>
                <w:szCs w:val="24"/>
                <w:lang w:val="en-US" w:eastAsia="zh-CN" w:bidi="ar-SA"/>
              </w:rPr>
              <w:t>排放限值</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666"/>
              <w:gridCol w:w="1645"/>
              <w:gridCol w:w="1457"/>
              <w:gridCol w:w="1545"/>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r>
                    <w:rPr>
                      <w:rFonts w:hint="default"/>
                      <w:u w:val="none"/>
                    </w:rPr>
                    <w:t>污染因子</w:t>
                  </w:r>
                </w:p>
              </w:tc>
              <w:tc>
                <w:tcPr>
                  <w:tcW w:w="3448"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r>
                    <w:rPr>
                      <w:rFonts w:hint="default"/>
                      <w:u w:val="none"/>
                    </w:rPr>
                    <w:t>标准名称与级（类）别</w:t>
                  </w:r>
                </w:p>
              </w:tc>
              <w:tc>
                <w:tcPr>
                  <w:tcW w:w="109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u w:val="none"/>
                      <w:lang w:val="en-US" w:eastAsia="zh-CN"/>
                    </w:rPr>
                  </w:pPr>
                  <w:r>
                    <w:rPr>
                      <w:rFonts w:hint="eastAsia"/>
                      <w:u w:val="none"/>
                      <w:lang w:eastAsia="zh-CN"/>
                    </w:rPr>
                    <w:t>本项目执行标准（</w:t>
                  </w:r>
                  <w:r>
                    <w:rPr>
                      <w:rFonts w:hint="eastAsia"/>
                      <w:u w:val="none"/>
                      <w:lang w:val="en-US" w:eastAsia="zh-CN"/>
                    </w:rPr>
                    <w:t>四</w:t>
                  </w:r>
                  <w:r>
                    <w:rPr>
                      <w:rFonts w:hint="eastAsia"/>
                      <w:u w:val="none"/>
                      <w:lang w:eastAsia="zh-CN"/>
                    </w:rPr>
                    <w:t>者按严格值）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p>
              </w:tc>
              <w:tc>
                <w:tcPr>
                  <w:tcW w:w="9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default"/>
                      <w:u w:val="none"/>
                    </w:rPr>
                    <w:t>《大气污染物综合排放标准》（GB16297-1996）表2标准</w:t>
                  </w:r>
                  <w:r>
                    <w:rPr>
                      <w:rFonts w:hint="eastAsia"/>
                      <w:u w:val="none"/>
                      <w:lang w:eastAsia="zh-CN"/>
                    </w:rPr>
                    <w:t>（</w:t>
                  </w:r>
                  <w:r>
                    <w:rPr>
                      <w:rFonts w:hint="eastAsia"/>
                      <w:u w:val="none"/>
                      <w:lang w:val="en-US" w:eastAsia="zh-CN"/>
                    </w:rPr>
                    <w:t>15m高排气筒</w:t>
                  </w:r>
                  <w:r>
                    <w:rPr>
                      <w:rFonts w:hint="eastAsia"/>
                      <w:u w:val="none"/>
                      <w:lang w:eastAsia="zh-CN"/>
                    </w:rPr>
                    <w:t>）</w:t>
                  </w:r>
                </w:p>
              </w:tc>
              <w:tc>
                <w:tcPr>
                  <w:tcW w:w="8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r>
                    <w:rPr>
                      <w:rFonts w:hint="default"/>
                      <w:u w:val="none"/>
                    </w:rPr>
                    <w:t>《关于全省开展工业企业挥发性有机物专项治理工作中排放建议值的通知》（豫环攻坚办</w:t>
                  </w:r>
                  <w:r>
                    <w:rPr>
                      <w:rFonts w:hint="eastAsia"/>
                      <w:u w:val="none"/>
                      <w:lang w:eastAsia="zh-CN"/>
                    </w:rPr>
                    <w:t>〔</w:t>
                  </w:r>
                  <w:r>
                    <w:rPr>
                      <w:rFonts w:hint="default"/>
                      <w:u w:val="none"/>
                    </w:rPr>
                    <w:t>2017</w:t>
                  </w:r>
                  <w:r>
                    <w:rPr>
                      <w:rFonts w:hint="eastAsia"/>
                      <w:u w:val="none"/>
                      <w:lang w:eastAsia="zh-CN"/>
                    </w:rPr>
                    <w:t>〕</w:t>
                  </w:r>
                  <w:r>
                    <w:rPr>
                      <w:rFonts w:hint="default"/>
                      <w:u w:val="none"/>
                    </w:rPr>
                    <w:t>162号）</w:t>
                  </w:r>
                </w:p>
              </w:tc>
              <w:tc>
                <w:tcPr>
                  <w:tcW w:w="7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u w:val="none"/>
                      <w:lang w:val="en-US" w:eastAsia="zh-CN"/>
                    </w:rPr>
                  </w:pPr>
                  <w:r>
                    <w:rPr>
                      <w:rFonts w:hint="eastAsia"/>
                      <w:u w:val="none"/>
                      <w:lang w:eastAsia="zh-CN"/>
                    </w:rPr>
                    <w:t>《</w:t>
                  </w:r>
                  <w:r>
                    <w:rPr>
                      <w:rFonts w:hint="default"/>
                      <w:u w:val="none"/>
                    </w:rPr>
                    <w:t>工业涂装工序挥发性有机物排放标准</w:t>
                  </w:r>
                  <w:r>
                    <w:rPr>
                      <w:rFonts w:hint="eastAsia"/>
                      <w:u w:val="none"/>
                      <w:lang w:eastAsia="zh-CN"/>
                    </w:rPr>
                    <w:t>》</w:t>
                  </w:r>
                  <w:r>
                    <w:rPr>
                      <w:rFonts w:hint="default"/>
                      <w:u w:val="none"/>
                    </w:rPr>
                    <w:t>（DB41/1951-2020）</w:t>
                  </w:r>
                </w:p>
              </w:tc>
              <w:tc>
                <w:tcPr>
                  <w:tcW w:w="8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r>
                    <w:rPr>
                      <w:rFonts w:hint="eastAsia"/>
                      <w:u w:val="none"/>
                      <w:lang w:val="en-US" w:eastAsia="zh-CN"/>
                    </w:rPr>
                    <w:t>《挥发性有机物无组织排放控制标准》（GB37822-2019）</w:t>
                  </w:r>
                </w:p>
              </w:tc>
              <w:tc>
                <w:tcPr>
                  <w:tcW w:w="10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p>
              </w:tc>
              <w:tc>
                <w:tcPr>
                  <w:tcW w:w="9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default"/>
                      <w:u w:val="none"/>
                    </w:rPr>
                    <w:t>mg/m</w:t>
                  </w:r>
                  <w:r>
                    <w:rPr>
                      <w:rFonts w:hint="default"/>
                      <w:u w:val="none"/>
                      <w:vertAlign w:val="superscript"/>
                    </w:rPr>
                    <w:t>3</w:t>
                  </w:r>
                </w:p>
              </w:tc>
              <w:tc>
                <w:tcPr>
                  <w:tcW w:w="8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default"/>
                      <w:u w:val="none"/>
                    </w:rPr>
                    <w:t>mg/m</w:t>
                  </w:r>
                  <w:r>
                    <w:rPr>
                      <w:rFonts w:hint="default"/>
                      <w:u w:val="none"/>
                      <w:vertAlign w:val="superscript"/>
                    </w:rPr>
                    <w:t>3</w:t>
                  </w:r>
                </w:p>
              </w:tc>
              <w:tc>
                <w:tcPr>
                  <w:tcW w:w="7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default"/>
                      <w:u w:val="none"/>
                    </w:rPr>
                    <w:t>mg/m</w:t>
                  </w:r>
                  <w:r>
                    <w:rPr>
                      <w:rFonts w:hint="default"/>
                      <w:u w:val="none"/>
                      <w:vertAlign w:val="superscript"/>
                    </w:rPr>
                    <w:t>3</w:t>
                  </w:r>
                </w:p>
              </w:tc>
              <w:tc>
                <w:tcPr>
                  <w:tcW w:w="8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default"/>
                      <w:u w:val="none"/>
                    </w:rPr>
                    <w:t>mg/m</w:t>
                  </w:r>
                  <w:r>
                    <w:rPr>
                      <w:rFonts w:hint="default"/>
                      <w:u w:val="none"/>
                      <w:vertAlign w:val="superscript"/>
                    </w:rPr>
                    <w:t>3</w:t>
                  </w:r>
                </w:p>
              </w:tc>
              <w:tc>
                <w:tcPr>
                  <w:tcW w:w="10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rPr>
                  </w:pPr>
                  <w:r>
                    <w:rPr>
                      <w:rFonts w:hint="default"/>
                      <w:u w:val="none"/>
                    </w:rPr>
                    <w:t>mg/m</w:t>
                  </w:r>
                  <w:r>
                    <w:rPr>
                      <w:rFonts w:hint="default"/>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eastAsia"/>
                      <w:u w:val="none"/>
                      <w:lang w:eastAsia="zh-CN"/>
                    </w:rPr>
                    <w:t>颗粒物</w:t>
                  </w:r>
                </w:p>
              </w:tc>
              <w:tc>
                <w:tcPr>
                  <w:tcW w:w="9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default"/>
                      <w:u w:val="none"/>
                      <w:lang w:val="en-US" w:eastAsia="zh-CN"/>
                    </w:rPr>
                    <w:t>周界外最高允许浓度</w:t>
                  </w:r>
                  <w:r>
                    <w:rPr>
                      <w:rFonts w:hint="eastAsia"/>
                      <w:u w:val="none"/>
                      <w:lang w:val="en-US" w:eastAsia="zh-CN"/>
                    </w:rPr>
                    <w:t>1.0</w:t>
                  </w:r>
                  <w:r>
                    <w:rPr>
                      <w:rFonts w:hint="default" w:ascii="Times New Roman" w:hAnsi="Times New Roman" w:eastAsia="宋体" w:cs="Times New Roman"/>
                      <w:color w:val="auto"/>
                      <w:kern w:val="2"/>
                      <w:sz w:val="21"/>
                      <w:szCs w:val="21"/>
                      <w:lang w:val="en-US" w:eastAsia="zh-CN" w:bidi="ar-SA"/>
                    </w:rPr>
                    <w:t>mg/m</w:t>
                  </w:r>
                  <w:r>
                    <w:rPr>
                      <w:rFonts w:hint="default" w:ascii="Times New Roman" w:hAnsi="Times New Roman" w:eastAsia="宋体" w:cs="Times New Roman"/>
                      <w:color w:val="auto"/>
                      <w:kern w:val="2"/>
                      <w:sz w:val="21"/>
                      <w:szCs w:val="21"/>
                      <w:vertAlign w:val="superscript"/>
                      <w:lang w:val="en-US" w:eastAsia="zh-CN" w:bidi="ar-SA"/>
                    </w:rPr>
                    <w:t>3</w:t>
                  </w:r>
                </w:p>
              </w:tc>
              <w:tc>
                <w:tcPr>
                  <w:tcW w:w="8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w:t>
                  </w:r>
                </w:p>
              </w:tc>
              <w:tc>
                <w:tcPr>
                  <w:tcW w:w="7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w:t>
                  </w:r>
                </w:p>
              </w:tc>
              <w:tc>
                <w:tcPr>
                  <w:tcW w:w="8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u w:val="none"/>
                      <w:lang w:val="en-US" w:eastAsia="zh-CN"/>
                    </w:rPr>
                    <w:t>/</w:t>
                  </w:r>
                </w:p>
              </w:tc>
              <w:tc>
                <w:tcPr>
                  <w:tcW w:w="10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val="en-US" w:eastAsia="zh-CN"/>
                    </w:rPr>
                  </w:pPr>
                  <w:r>
                    <w:rPr>
                      <w:rFonts w:hint="default"/>
                      <w:u w:val="none"/>
                      <w:lang w:val="en-US" w:eastAsia="zh-CN"/>
                    </w:rPr>
                    <w:t>周界外最高允许浓度</w:t>
                  </w:r>
                  <w:r>
                    <w:rPr>
                      <w:rFonts w:hint="eastAsia"/>
                      <w:u w:val="none"/>
                      <w:lang w:val="en-US" w:eastAsia="zh-CN"/>
                    </w:rPr>
                    <w:t>1.0</w:t>
                  </w:r>
                  <w:r>
                    <w:rPr>
                      <w:rFonts w:hint="default" w:ascii="Times New Roman" w:hAnsi="Times New Roman" w:eastAsia="宋体" w:cs="Times New Roman"/>
                      <w:color w:val="auto"/>
                      <w:kern w:val="2"/>
                      <w:sz w:val="21"/>
                      <w:szCs w:val="21"/>
                      <w:lang w:val="en-US" w:eastAsia="zh-CN" w:bidi="ar-SA"/>
                    </w:rPr>
                    <w:t>mg/m</w:t>
                  </w:r>
                  <w:r>
                    <w:rPr>
                      <w:rFonts w:hint="default" w:ascii="Times New Roman" w:hAnsi="Times New Roman" w:eastAsia="宋体" w:cs="Times New Roman"/>
                      <w:color w:val="auto"/>
                      <w:kern w:val="2"/>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eastAsia="zh-CN"/>
                    </w:rPr>
                  </w:pPr>
                  <w:r>
                    <w:rPr>
                      <w:rFonts w:hint="eastAsia"/>
                      <w:u w:val="none"/>
                      <w:lang w:val="en-US" w:eastAsia="zh-CN"/>
                    </w:rPr>
                    <w:t>有机废气（</w:t>
                  </w:r>
                  <w:r>
                    <w:rPr>
                      <w:rFonts w:hint="eastAsia"/>
                      <w:u w:val="none"/>
                      <w:lang w:eastAsia="zh-CN"/>
                    </w:rPr>
                    <w:t>非甲烷总烃</w:t>
                  </w:r>
                  <w:r>
                    <w:rPr>
                      <w:rFonts w:hint="eastAsia"/>
                      <w:u w:val="none"/>
                      <w:lang w:val="en-US" w:eastAsia="zh-CN"/>
                    </w:rPr>
                    <w:t>）</w:t>
                  </w:r>
                </w:p>
              </w:tc>
              <w:tc>
                <w:tcPr>
                  <w:tcW w:w="9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default" w:ascii="Times New Roman" w:hAnsi="Times New Roman" w:eastAsia="宋体" w:cs="Times New Roman"/>
                      <w:color w:val="auto"/>
                      <w:kern w:val="2"/>
                      <w:sz w:val="21"/>
                      <w:szCs w:val="21"/>
                      <w:lang w:val="en-US" w:eastAsia="zh-CN" w:bidi="ar-SA"/>
                    </w:rPr>
                    <w:t>周界外浓度限值4.0mg/m</w:t>
                  </w:r>
                  <w:r>
                    <w:rPr>
                      <w:rFonts w:hint="default" w:ascii="Times New Roman" w:hAnsi="Times New Roman" w:eastAsia="宋体" w:cs="Times New Roman"/>
                      <w:color w:val="auto"/>
                      <w:kern w:val="2"/>
                      <w:sz w:val="21"/>
                      <w:szCs w:val="21"/>
                      <w:vertAlign w:val="superscript"/>
                      <w:lang w:val="en-US" w:eastAsia="zh-CN" w:bidi="ar-SA"/>
                    </w:rPr>
                    <w:t>3</w:t>
                  </w:r>
                </w:p>
              </w:tc>
              <w:tc>
                <w:tcPr>
                  <w:tcW w:w="8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default" w:ascii="Times New Roman" w:hAnsi="Times New Roman" w:eastAsia="宋体" w:cs="Times New Roman"/>
                      <w:color w:val="auto"/>
                      <w:sz w:val="21"/>
                      <w:szCs w:val="21"/>
                      <w:highlight w:val="none"/>
                      <w:lang w:val="en-US"/>
                    </w:rPr>
                    <w:t>非甲烷总烃</w:t>
                  </w:r>
                  <w:r>
                    <w:rPr>
                      <w:rFonts w:ascii="Times New Roman" w:hAnsi="Times New Roman"/>
                      <w:color w:val="auto"/>
                      <w:szCs w:val="21"/>
                      <w:highlight w:val="none"/>
                    </w:rPr>
                    <w:t>边界挥发排放建议值</w:t>
                  </w:r>
                  <w:r>
                    <w:rPr>
                      <w:rFonts w:hint="eastAsia" w:ascii="Times New Roman" w:hAnsi="Times New Roman"/>
                      <w:color w:val="auto"/>
                      <w:szCs w:val="21"/>
                      <w:highlight w:val="none"/>
                      <w:lang w:val="en-US" w:eastAsia="zh-CN"/>
                    </w:rPr>
                    <w:t>2.0</w:t>
                  </w:r>
                  <w:r>
                    <w:rPr>
                      <w:rFonts w:ascii="Times New Roman" w:hAnsi="Times New Roman"/>
                      <w:color w:val="auto"/>
                      <w:szCs w:val="21"/>
                      <w:highlight w:val="none"/>
                    </w:rPr>
                    <w:t>mg/m</w:t>
                  </w:r>
                  <w:r>
                    <w:rPr>
                      <w:rFonts w:ascii="Times New Roman" w:hAnsi="Times New Roman"/>
                      <w:color w:val="auto"/>
                      <w:szCs w:val="21"/>
                      <w:highlight w:val="none"/>
                      <w:vertAlign w:val="superscript"/>
                    </w:rPr>
                    <w:t>3</w:t>
                  </w:r>
                </w:p>
              </w:tc>
              <w:tc>
                <w:tcPr>
                  <w:tcW w:w="7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u w:val="none"/>
                      <w:lang w:val="en-US" w:eastAsia="zh-CN"/>
                    </w:rPr>
                  </w:pPr>
                  <w:r>
                    <w:rPr>
                      <w:rFonts w:hint="eastAsia" w:ascii="Times New Roman" w:hAnsi="Times New Roman" w:eastAsia="宋体" w:cs="Times New Roman"/>
                      <w:color w:val="auto"/>
                      <w:sz w:val="21"/>
                      <w:szCs w:val="21"/>
                      <w:highlight w:val="none"/>
                      <w:lang w:val="en-US" w:eastAsia="zh-CN"/>
                    </w:rPr>
                    <w:t>在涂装工序</w:t>
                  </w:r>
                  <w:r>
                    <w:rPr>
                      <w:rFonts w:hint="default" w:ascii="Times New Roman" w:hAnsi="Times New Roman" w:eastAsia="宋体" w:cs="Times New Roman"/>
                      <w:color w:val="auto"/>
                      <w:sz w:val="21"/>
                      <w:szCs w:val="21"/>
                      <w:highlight w:val="none"/>
                      <w:lang w:val="en-US" w:eastAsia="zh-CN"/>
                    </w:rPr>
                    <w:t>厂房外设置监控点</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监控点处1h平均浓度值6</w:t>
                  </w:r>
                  <w:r>
                    <w:rPr>
                      <w:rFonts w:ascii="Times New Roman" w:hAnsi="Times New Roman"/>
                      <w:bCs/>
                      <w:color w:val="auto"/>
                      <w:szCs w:val="21"/>
                      <w:highlight w:val="none"/>
                    </w:rPr>
                    <w:t>mg/m</w:t>
                  </w:r>
                  <w:r>
                    <w:rPr>
                      <w:rFonts w:ascii="Times New Roman" w:hAnsi="Times New Roman"/>
                      <w:bCs/>
                      <w:color w:val="auto"/>
                      <w:szCs w:val="21"/>
                      <w:highlight w:val="none"/>
                      <w:vertAlign w:val="superscript"/>
                    </w:rPr>
                    <w:t>3</w:t>
                  </w:r>
                  <w:r>
                    <w:rPr>
                      <w:rFonts w:hint="eastAsia" w:ascii="Times New Roman" w:hAnsi="Times New Roman"/>
                      <w:bCs/>
                      <w:color w:val="auto"/>
                      <w:szCs w:val="21"/>
                      <w:highlight w:val="none"/>
                      <w:vertAlign w:val="baseline"/>
                      <w:lang w:eastAsia="zh-CN"/>
                    </w:rPr>
                    <w:t>，</w:t>
                  </w:r>
                  <w:r>
                    <w:rPr>
                      <w:rFonts w:hint="eastAsia" w:ascii="Times New Roman" w:hAnsi="Times New Roman"/>
                      <w:bCs/>
                      <w:color w:val="auto"/>
                      <w:szCs w:val="21"/>
                      <w:highlight w:val="none"/>
                      <w:vertAlign w:val="baseline"/>
                      <w:lang w:val="en-US" w:eastAsia="zh-CN"/>
                    </w:rPr>
                    <w:t>监控点处任意一次浓度值</w:t>
                  </w:r>
                  <w:r>
                    <w:rPr>
                      <w:rFonts w:hint="eastAsia" w:ascii="Times New Roman" w:hAnsi="Times New Roman" w:eastAsia="宋体" w:cs="Times New Roman"/>
                      <w:color w:val="auto"/>
                      <w:sz w:val="21"/>
                      <w:szCs w:val="21"/>
                      <w:highlight w:val="none"/>
                      <w:lang w:val="en-US" w:eastAsia="zh-CN"/>
                    </w:rPr>
                    <w:t>20</w:t>
                  </w:r>
                  <w:r>
                    <w:rPr>
                      <w:rFonts w:ascii="Times New Roman" w:hAnsi="Times New Roman"/>
                      <w:bCs/>
                      <w:color w:val="auto"/>
                      <w:szCs w:val="21"/>
                      <w:highlight w:val="none"/>
                    </w:rPr>
                    <w:t>mg/m</w:t>
                  </w:r>
                  <w:r>
                    <w:rPr>
                      <w:rFonts w:ascii="Times New Roman" w:hAnsi="Times New Roman"/>
                      <w:bCs/>
                      <w:color w:val="auto"/>
                      <w:szCs w:val="21"/>
                      <w:highlight w:val="none"/>
                      <w:vertAlign w:val="superscript"/>
                    </w:rPr>
                    <w:t>3</w:t>
                  </w:r>
                </w:p>
              </w:tc>
              <w:tc>
                <w:tcPr>
                  <w:tcW w:w="8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u w:val="none"/>
                      <w:lang w:val="en-US" w:eastAsia="zh-CN"/>
                    </w:rPr>
                  </w:pPr>
                  <w:r>
                    <w:rPr>
                      <w:rFonts w:hint="eastAsia" w:ascii="Times New Roman" w:hAnsi="Times New Roman" w:eastAsia="宋体"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lang w:val="en-US" w:eastAsia="zh-CN"/>
                    </w:rPr>
                    <w:t>厂房外设置监控点</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监控点处1h平均浓度值</w:t>
                  </w:r>
                  <w:r>
                    <w:rPr>
                      <w:rFonts w:hint="eastAsia" w:ascii="Times New Roman" w:hAnsi="Times New Roman" w:eastAsia="宋体" w:cs="Times New Roman"/>
                      <w:color w:val="auto"/>
                      <w:sz w:val="21"/>
                      <w:szCs w:val="21"/>
                      <w:highlight w:val="none"/>
                      <w:lang w:val="en-US" w:eastAsia="zh-CN"/>
                    </w:rPr>
                    <w:t>10</w:t>
                  </w:r>
                  <w:r>
                    <w:rPr>
                      <w:rFonts w:ascii="Times New Roman" w:hAnsi="Times New Roman"/>
                      <w:bCs/>
                      <w:color w:val="auto"/>
                      <w:szCs w:val="21"/>
                      <w:highlight w:val="none"/>
                    </w:rPr>
                    <w:t>mg/m</w:t>
                  </w:r>
                  <w:r>
                    <w:rPr>
                      <w:rFonts w:ascii="Times New Roman" w:hAnsi="Times New Roman"/>
                      <w:bCs/>
                      <w:color w:val="auto"/>
                      <w:szCs w:val="21"/>
                      <w:highlight w:val="none"/>
                      <w:vertAlign w:val="superscript"/>
                    </w:rPr>
                    <w:t>3</w:t>
                  </w:r>
                  <w:r>
                    <w:rPr>
                      <w:rFonts w:hint="eastAsia" w:ascii="Times New Roman" w:hAnsi="Times New Roman"/>
                      <w:bCs/>
                      <w:color w:val="auto"/>
                      <w:szCs w:val="21"/>
                      <w:highlight w:val="none"/>
                      <w:vertAlign w:val="baseline"/>
                      <w:lang w:eastAsia="zh-CN"/>
                    </w:rPr>
                    <w:t>，</w:t>
                  </w:r>
                  <w:r>
                    <w:rPr>
                      <w:rFonts w:hint="eastAsia" w:ascii="Times New Roman" w:hAnsi="Times New Roman"/>
                      <w:bCs/>
                      <w:color w:val="auto"/>
                      <w:szCs w:val="21"/>
                      <w:highlight w:val="none"/>
                      <w:vertAlign w:val="baseline"/>
                      <w:lang w:val="en-US" w:eastAsia="zh-CN"/>
                    </w:rPr>
                    <w:t>监控点处任意一次浓度值</w:t>
                  </w:r>
                  <w:r>
                    <w:rPr>
                      <w:rFonts w:hint="eastAsia" w:ascii="Times New Roman" w:hAnsi="Times New Roman" w:eastAsia="宋体" w:cs="Times New Roman"/>
                      <w:color w:val="auto"/>
                      <w:sz w:val="21"/>
                      <w:szCs w:val="21"/>
                      <w:highlight w:val="none"/>
                      <w:lang w:val="en-US" w:eastAsia="zh-CN"/>
                    </w:rPr>
                    <w:t>30</w:t>
                  </w:r>
                  <w:r>
                    <w:rPr>
                      <w:rFonts w:ascii="Times New Roman" w:hAnsi="Times New Roman"/>
                      <w:bCs/>
                      <w:color w:val="auto"/>
                      <w:szCs w:val="21"/>
                      <w:highlight w:val="none"/>
                    </w:rPr>
                    <w:t>mg/m</w:t>
                  </w:r>
                  <w:r>
                    <w:rPr>
                      <w:rFonts w:ascii="Times New Roman" w:hAnsi="Times New Roman"/>
                      <w:bCs/>
                      <w:color w:val="auto"/>
                      <w:szCs w:val="21"/>
                      <w:highlight w:val="none"/>
                      <w:vertAlign w:val="superscript"/>
                    </w:rPr>
                    <w:t>3</w:t>
                  </w:r>
                </w:p>
              </w:tc>
              <w:tc>
                <w:tcPr>
                  <w:tcW w:w="10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u w:val="none"/>
                      <w:vertAlign w:val="baseline"/>
                      <w:lang w:val="en-US" w:eastAsia="zh-CN"/>
                    </w:rPr>
                  </w:pPr>
                  <w:r>
                    <w:rPr>
                      <w:rFonts w:hint="eastAsia" w:ascii="Times New Roman" w:hAnsi="Times New Roman"/>
                      <w:color w:val="auto"/>
                      <w:szCs w:val="21"/>
                      <w:highlight w:val="none"/>
                      <w:lang w:val="en-US" w:eastAsia="zh-CN"/>
                    </w:rPr>
                    <w:t>企业边界非甲烷总烃</w:t>
                  </w:r>
                  <w:r>
                    <w:rPr>
                      <w:rFonts w:ascii="Times New Roman" w:hAnsi="Times New Roman"/>
                      <w:color w:val="auto"/>
                      <w:szCs w:val="21"/>
                      <w:highlight w:val="none"/>
                    </w:rPr>
                    <w:t>边界挥发排放建议值</w:t>
                  </w:r>
                  <w:r>
                    <w:rPr>
                      <w:rFonts w:hint="eastAsia" w:ascii="Times New Roman" w:hAnsi="Times New Roman"/>
                      <w:color w:val="auto"/>
                      <w:szCs w:val="21"/>
                      <w:highlight w:val="none"/>
                      <w:lang w:val="en-US" w:eastAsia="zh-CN"/>
                    </w:rPr>
                    <w:t>2.0</w:t>
                  </w:r>
                  <w:r>
                    <w:rPr>
                      <w:rFonts w:ascii="Times New Roman" w:hAnsi="Times New Roman"/>
                      <w:color w:val="auto"/>
                      <w:szCs w:val="21"/>
                      <w:highlight w:val="none"/>
                    </w:rPr>
                    <w:t>mg/m</w:t>
                  </w:r>
                  <w:r>
                    <w:rPr>
                      <w:rFonts w:ascii="Times New Roman" w:hAnsi="Times New Roman"/>
                      <w:color w:val="auto"/>
                      <w:szCs w:val="21"/>
                      <w:highlight w:val="none"/>
                      <w:vertAlign w:val="superscript"/>
                    </w:rPr>
                    <w:t>3</w:t>
                  </w:r>
                  <w:r>
                    <w:rPr>
                      <w:rFonts w:hint="eastAsia" w:ascii="Times New Roman" w:hAnsi="Times New Roman"/>
                      <w:color w:val="auto"/>
                      <w:szCs w:val="21"/>
                      <w:highlight w:val="none"/>
                      <w:vertAlign w:val="baseline"/>
                      <w:lang w:eastAsia="zh-CN"/>
                    </w:rPr>
                    <w:t>；</w:t>
                  </w:r>
                  <w:r>
                    <w:rPr>
                      <w:rFonts w:hint="eastAsia" w:ascii="Times New Roman" w:hAnsi="Times New Roman" w:eastAsia="宋体" w:cs="Times New Roman"/>
                      <w:color w:val="auto"/>
                      <w:sz w:val="21"/>
                      <w:szCs w:val="21"/>
                      <w:highlight w:val="none"/>
                      <w:lang w:val="en-US" w:eastAsia="zh-CN"/>
                    </w:rPr>
                    <w:t>在涂装工序</w:t>
                  </w:r>
                  <w:r>
                    <w:rPr>
                      <w:rFonts w:hint="default" w:ascii="Times New Roman" w:hAnsi="Times New Roman" w:eastAsia="宋体" w:cs="Times New Roman"/>
                      <w:color w:val="auto"/>
                      <w:sz w:val="21"/>
                      <w:szCs w:val="21"/>
                      <w:highlight w:val="none"/>
                      <w:lang w:val="en-US" w:eastAsia="zh-CN"/>
                    </w:rPr>
                    <w:t>厂房外设置监控点</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监控点处1h平均浓度值6</w:t>
                  </w:r>
                  <w:r>
                    <w:rPr>
                      <w:rFonts w:ascii="Times New Roman" w:hAnsi="Times New Roman"/>
                      <w:bCs/>
                      <w:color w:val="auto"/>
                      <w:szCs w:val="21"/>
                      <w:highlight w:val="none"/>
                    </w:rPr>
                    <w:t>mg/m</w:t>
                  </w:r>
                  <w:r>
                    <w:rPr>
                      <w:rFonts w:ascii="Times New Roman" w:hAnsi="Times New Roman"/>
                      <w:bCs/>
                      <w:color w:val="auto"/>
                      <w:szCs w:val="21"/>
                      <w:highlight w:val="none"/>
                      <w:vertAlign w:val="superscript"/>
                    </w:rPr>
                    <w:t>3</w:t>
                  </w:r>
                  <w:r>
                    <w:rPr>
                      <w:rFonts w:hint="eastAsia" w:ascii="Times New Roman" w:hAnsi="Times New Roman"/>
                      <w:bCs/>
                      <w:color w:val="auto"/>
                      <w:szCs w:val="21"/>
                      <w:highlight w:val="none"/>
                      <w:vertAlign w:val="baseline"/>
                      <w:lang w:eastAsia="zh-CN"/>
                    </w:rPr>
                    <w:t>，</w:t>
                  </w:r>
                  <w:r>
                    <w:rPr>
                      <w:rFonts w:hint="eastAsia" w:ascii="Times New Roman" w:hAnsi="Times New Roman"/>
                      <w:bCs/>
                      <w:color w:val="auto"/>
                      <w:szCs w:val="21"/>
                      <w:highlight w:val="none"/>
                      <w:vertAlign w:val="baseline"/>
                      <w:lang w:val="en-US" w:eastAsia="zh-CN"/>
                    </w:rPr>
                    <w:t>监控点处任意一次浓度值</w:t>
                  </w:r>
                  <w:r>
                    <w:rPr>
                      <w:rFonts w:hint="eastAsia" w:ascii="Times New Roman" w:hAnsi="Times New Roman" w:eastAsia="宋体" w:cs="Times New Roman"/>
                      <w:color w:val="auto"/>
                      <w:sz w:val="21"/>
                      <w:szCs w:val="21"/>
                      <w:highlight w:val="none"/>
                      <w:lang w:val="en-US" w:eastAsia="zh-CN"/>
                    </w:rPr>
                    <w:t>20</w:t>
                  </w:r>
                  <w:r>
                    <w:rPr>
                      <w:rFonts w:ascii="Times New Roman" w:hAnsi="Times New Roman"/>
                      <w:bCs/>
                      <w:color w:val="auto"/>
                      <w:szCs w:val="21"/>
                      <w:highlight w:val="none"/>
                    </w:rPr>
                    <w:t>mg/m</w:t>
                  </w:r>
                  <w:r>
                    <w:rPr>
                      <w:rFonts w:ascii="Times New Roman" w:hAnsi="Times New Roman"/>
                      <w:bCs/>
                      <w:color w:val="auto"/>
                      <w:szCs w:val="21"/>
                      <w:highlight w:val="none"/>
                      <w:vertAlign w:val="superscript"/>
                    </w:rPr>
                    <w:t>3</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eastAsia="宋体"/>
                <w:b/>
                <w:sz w:val="24"/>
                <w:szCs w:val="24"/>
                <w:lang w:val="en-US" w:eastAsia="zh-CN"/>
              </w:rPr>
            </w:pPr>
            <w:r>
              <w:rPr>
                <w:rFonts w:hint="eastAsia"/>
                <w:b/>
                <w:sz w:val="24"/>
                <w:szCs w:val="24"/>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4"/>
                <w:szCs w:val="24"/>
                <w:lang w:val="en-US"/>
              </w:rPr>
            </w:pPr>
            <w:r>
              <w:rPr>
                <w:rFonts w:hint="default" w:ascii="Times New Roman" w:hAnsi="Times New Roman" w:eastAsia="宋体" w:cs="Times New Roman"/>
                <w:b/>
                <w:bCs w:val="0"/>
                <w:sz w:val="24"/>
                <w:szCs w:val="24"/>
              </w:rPr>
              <w:t>表</w:t>
            </w:r>
            <w:r>
              <w:rPr>
                <w:rFonts w:hint="eastAsia" w:cs="Times New Roman"/>
                <w:b/>
                <w:bCs w:val="0"/>
                <w:sz w:val="24"/>
                <w:szCs w:val="24"/>
                <w:lang w:val="en-US" w:eastAsia="zh-CN"/>
              </w:rPr>
              <w:t>3</w:t>
            </w:r>
            <w:r>
              <w:rPr>
                <w:rFonts w:hint="eastAsia" w:eastAsia="宋体" w:cs="Times New Roman"/>
                <w:b/>
                <w:bCs w:val="0"/>
                <w:sz w:val="24"/>
                <w:szCs w:val="24"/>
                <w:lang w:val="en-US" w:eastAsia="zh-CN"/>
              </w:rPr>
              <w:t>-</w:t>
            </w:r>
            <w:r>
              <w:rPr>
                <w:rFonts w:hint="eastAsia" w:cs="Times New Roman"/>
                <w:b/>
                <w:bCs w:val="0"/>
                <w:sz w:val="24"/>
                <w:szCs w:val="24"/>
                <w:lang w:val="en-US" w:eastAsia="zh-CN"/>
              </w:rPr>
              <w:t>9  本项目废水执行标准</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2691"/>
              <w:gridCol w:w="694"/>
              <w:gridCol w:w="1049"/>
              <w:gridCol w:w="1196"/>
              <w:gridCol w:w="1166"/>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标准</w:t>
                  </w:r>
                </w:p>
              </w:tc>
              <w:tc>
                <w:tcPr>
                  <w:tcW w:w="37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pH</w:t>
                  </w:r>
                </w:p>
              </w:tc>
              <w:tc>
                <w:tcPr>
                  <w:tcW w:w="573"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bCs/>
                      <w:color w:val="auto"/>
                      <w:szCs w:val="21"/>
                    </w:rPr>
                    <w:t>COD</w:t>
                  </w:r>
                </w:p>
              </w:tc>
              <w:tc>
                <w:tcPr>
                  <w:tcW w:w="653"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bCs/>
                      <w:color w:val="auto"/>
                      <w:szCs w:val="21"/>
                    </w:rPr>
                    <w:t>SS</w:t>
                  </w:r>
                </w:p>
              </w:tc>
              <w:tc>
                <w:tcPr>
                  <w:tcW w:w="637"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bCs/>
                      <w:color w:val="auto"/>
                      <w:szCs w:val="21"/>
                    </w:rPr>
                    <w:t>NH</w:t>
                  </w:r>
                  <w:r>
                    <w:rPr>
                      <w:bCs/>
                      <w:color w:val="auto"/>
                      <w:szCs w:val="21"/>
                      <w:vertAlign w:val="subscript"/>
                    </w:rPr>
                    <w:t>3</w:t>
                  </w:r>
                  <w:r>
                    <w:rPr>
                      <w:bCs/>
                      <w:color w:val="auto"/>
                      <w:szCs w:val="21"/>
                    </w:rPr>
                    <w:t>-N</w:t>
                  </w:r>
                </w:p>
              </w:tc>
              <w:tc>
                <w:tcPr>
                  <w:tcW w:w="522"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bCs/>
                      <w:color w:val="auto"/>
                      <w:szCs w:val="21"/>
                    </w:rPr>
                    <w:t>BOD</w:t>
                  </w:r>
                  <w:r>
                    <w:rPr>
                      <w:bCs/>
                      <w:color w:val="auto"/>
                      <w:szCs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23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FF"/>
                      <w:kern w:val="0"/>
                      <w:sz w:val="21"/>
                      <w:szCs w:val="21"/>
                      <w:vertAlign w:val="baseline"/>
                      <w:lang w:val="en-US" w:eastAsia="zh-CN"/>
                    </w:rPr>
                  </w:pPr>
                  <w:r>
                    <w:rPr>
                      <w:rFonts w:hint="eastAsia" w:cs="Times New Roman"/>
                      <w:color w:val="auto"/>
                      <w:kern w:val="0"/>
                      <w:sz w:val="21"/>
                      <w:szCs w:val="21"/>
                      <w:vertAlign w:val="baseline"/>
                      <w:lang w:val="en-US" w:eastAsia="zh-CN"/>
                    </w:rPr>
                    <w:t>鲁山县产业集聚区污水处理厂进水标准</w:t>
                  </w:r>
                </w:p>
              </w:tc>
              <w:tc>
                <w:tcPr>
                  <w:tcW w:w="37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c>
                <w:tcPr>
                  <w:tcW w:w="57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360mg/L</w:t>
                  </w:r>
                </w:p>
              </w:tc>
              <w:tc>
                <w:tcPr>
                  <w:tcW w:w="65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280mg/L</w:t>
                  </w:r>
                </w:p>
              </w:tc>
              <w:tc>
                <w:tcPr>
                  <w:tcW w:w="63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28mg/L</w:t>
                  </w:r>
                </w:p>
              </w:tc>
              <w:tc>
                <w:tcPr>
                  <w:tcW w:w="52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鲁山县产业集聚区污水处理厂出水标准</w:t>
                  </w:r>
                </w:p>
              </w:tc>
              <w:tc>
                <w:tcPr>
                  <w:tcW w:w="147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《城镇污水处理厂污染物排放标准》</w:t>
                  </w:r>
                  <w:r>
                    <w:rPr>
                      <w:rFonts w:hint="eastAsia" w:cs="Times New Roman"/>
                      <w:color w:val="auto"/>
                      <w:kern w:val="0"/>
                      <w:sz w:val="21"/>
                      <w:szCs w:val="21"/>
                      <w:vertAlign w:val="baseline"/>
                      <w:lang w:val="en-US" w:eastAsia="zh-CN"/>
                    </w:rPr>
                    <w:t>（</w:t>
                  </w:r>
                  <w:r>
                    <w:rPr>
                      <w:rFonts w:hint="default" w:ascii="Times New Roman" w:hAnsi="Times New Roman" w:cs="Times New Roman"/>
                      <w:color w:val="auto"/>
                      <w:kern w:val="0"/>
                      <w:sz w:val="21"/>
                      <w:szCs w:val="21"/>
                      <w:vertAlign w:val="baseline"/>
                      <w:lang w:val="en-US" w:eastAsia="zh-CN"/>
                    </w:rPr>
                    <w:t>GB18918-2002</w:t>
                  </w:r>
                  <w:r>
                    <w:rPr>
                      <w:rFonts w:hint="eastAsia" w:cs="Times New Roman"/>
                      <w:color w:val="auto"/>
                      <w:kern w:val="0"/>
                      <w:sz w:val="21"/>
                      <w:szCs w:val="21"/>
                      <w:vertAlign w:val="baseline"/>
                      <w:lang w:val="en-US" w:eastAsia="zh-CN"/>
                    </w:rPr>
                    <w:t>）</w:t>
                  </w:r>
                  <w:r>
                    <w:rPr>
                      <w:rFonts w:hint="default" w:ascii="Times New Roman" w:hAnsi="Times New Roman" w:cs="Times New Roman"/>
                      <w:color w:val="auto"/>
                      <w:kern w:val="0"/>
                      <w:sz w:val="21"/>
                      <w:szCs w:val="21"/>
                      <w:vertAlign w:val="baseline"/>
                      <w:lang w:val="en-US" w:eastAsia="zh-CN"/>
                    </w:rPr>
                    <w:t>一级A标准</w:t>
                  </w:r>
                </w:p>
              </w:tc>
              <w:tc>
                <w:tcPr>
                  <w:tcW w:w="37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6-9</w:t>
                  </w:r>
                </w:p>
              </w:tc>
              <w:tc>
                <w:tcPr>
                  <w:tcW w:w="57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50</w:t>
                  </w:r>
                  <w:r>
                    <w:rPr>
                      <w:rFonts w:hint="eastAsia" w:cs="Times New Roman"/>
                      <w:color w:val="auto"/>
                      <w:kern w:val="0"/>
                      <w:sz w:val="21"/>
                      <w:szCs w:val="21"/>
                      <w:vertAlign w:val="baseline"/>
                      <w:lang w:val="en-US" w:eastAsia="zh-CN"/>
                    </w:rPr>
                    <w:t>mg/L</w:t>
                  </w:r>
                </w:p>
              </w:tc>
              <w:tc>
                <w:tcPr>
                  <w:tcW w:w="65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10</w:t>
                  </w:r>
                  <w:r>
                    <w:rPr>
                      <w:rFonts w:hint="eastAsia" w:cs="Times New Roman"/>
                      <w:color w:val="auto"/>
                      <w:kern w:val="0"/>
                      <w:sz w:val="21"/>
                      <w:szCs w:val="21"/>
                      <w:vertAlign w:val="baseline"/>
                      <w:lang w:val="en-US" w:eastAsia="zh-CN"/>
                    </w:rPr>
                    <w:t>mg/L</w:t>
                  </w:r>
                </w:p>
              </w:tc>
              <w:tc>
                <w:tcPr>
                  <w:tcW w:w="63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5mg/L</w:t>
                  </w:r>
                </w:p>
              </w:tc>
              <w:tc>
                <w:tcPr>
                  <w:tcW w:w="52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10mg/L</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b/>
                <w:sz w:val="24"/>
                <w:szCs w:val="24"/>
              </w:rPr>
            </w:pPr>
            <w:r>
              <w:rPr>
                <w:rFonts w:hint="eastAsia"/>
                <w:b/>
                <w:sz w:val="24"/>
                <w:szCs w:val="24"/>
                <w:lang w:val="en-US" w:eastAsia="zh-CN"/>
              </w:rPr>
              <w:t>3</w:t>
            </w:r>
            <w:r>
              <w:rPr>
                <w:rFonts w:hint="eastAsia"/>
                <w:b/>
                <w:sz w:val="24"/>
                <w:szCs w:val="24"/>
              </w:rPr>
              <w:t>、</w:t>
            </w:r>
            <w:r>
              <w:rPr>
                <w:b/>
                <w:sz w:val="24"/>
                <w:szCs w:val="24"/>
              </w:rPr>
              <w:t>噪声</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sz w:val="24"/>
                <w:szCs w:val="24"/>
              </w:rPr>
            </w:pPr>
            <w:r>
              <w:rPr>
                <w:rFonts w:hint="eastAsia"/>
                <w:sz w:val="24"/>
                <w:szCs w:val="24"/>
              </w:rPr>
              <w:t>施工期噪声执行《建筑施工场界环境噪声排放标准》（GB12523-2011）所规定</w:t>
            </w:r>
            <w:r>
              <w:rPr>
                <w:sz w:val="24"/>
                <w:szCs w:val="24"/>
              </w:rPr>
              <w:t>的排放限值</w:t>
            </w:r>
            <w:r>
              <w:rPr>
                <w:rFonts w:hint="eastAsia"/>
                <w:sz w:val="24"/>
                <w:szCs w:val="24"/>
              </w:rPr>
              <w:t>，具体见下表。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表</w:t>
            </w:r>
            <w:r>
              <w:rPr>
                <w:rFonts w:hint="eastAsia" w:cs="Times New Roman"/>
                <w:b/>
                <w:bCs w:val="0"/>
                <w:sz w:val="24"/>
                <w:szCs w:val="24"/>
                <w:lang w:val="en-US" w:eastAsia="zh-CN"/>
              </w:rPr>
              <w:t>3</w:t>
            </w:r>
            <w:r>
              <w:rPr>
                <w:rFonts w:hint="eastAsia" w:eastAsia="宋体" w:cs="Times New Roman"/>
                <w:b/>
                <w:bCs w:val="0"/>
                <w:sz w:val="24"/>
                <w:szCs w:val="24"/>
                <w:lang w:val="en-US" w:eastAsia="zh-CN"/>
              </w:rPr>
              <w:t>-</w:t>
            </w:r>
            <w:r>
              <w:rPr>
                <w:rFonts w:hint="eastAsia" w:cs="Times New Roman"/>
                <w:b/>
                <w:bCs w:val="0"/>
                <w:sz w:val="24"/>
                <w:szCs w:val="24"/>
                <w:lang w:val="en-US" w:eastAsia="zh-CN"/>
              </w:rPr>
              <w:t xml:space="preserve">11  </w:t>
            </w:r>
            <w:r>
              <w:rPr>
                <w:rFonts w:hint="default" w:ascii="Times New Roman" w:hAnsi="Times New Roman" w:eastAsia="宋体" w:cs="Times New Roman"/>
                <w:b/>
                <w:bCs w:val="0"/>
                <w:sz w:val="24"/>
                <w:szCs w:val="24"/>
              </w:rPr>
              <w:t>建筑施工场界环境噪声排放限值</w:t>
            </w:r>
            <w:r>
              <w:rPr>
                <w:rFonts w:hint="default" w:ascii="Times New Roman" w:hAnsi="Times New Roman" w:eastAsia="宋体" w:cs="Times New Roman"/>
                <w:b/>
                <w:bCs w:val="0"/>
                <w:szCs w:val="21"/>
              </w:rPr>
              <w:t>单位：dB(A)</w:t>
            </w:r>
          </w:p>
          <w:tbl>
            <w:tblPr>
              <w:tblStyle w:val="24"/>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574"/>
              <w:gridCol w:w="457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sz w:val="21"/>
                      <w:szCs w:val="21"/>
                    </w:rPr>
                    <w:t>标准限值</w:t>
                  </w:r>
                  <w:r>
                    <w:rPr>
                      <w:bCs/>
                      <w:sz w:val="21"/>
                      <w:szCs w:val="21"/>
                    </w:rPr>
                    <w:t>dB(A)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rFonts w:hint="eastAsia"/>
                      <w:sz w:val="21"/>
                      <w:szCs w:val="21"/>
                    </w:rPr>
                    <w:t>昼间</w:t>
                  </w:r>
                </w:p>
              </w:tc>
              <w:tc>
                <w:tcPr>
                  <w:tcW w:w="250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rFonts w:hint="eastAsia"/>
                      <w:sz w:val="21"/>
                      <w:szCs w:val="21"/>
                    </w:rPr>
                    <w:t>夜间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tcBorders>
                    <w:tl2br w:val="nil"/>
                    <w:tr2bl w:val="nil"/>
                  </w:tcBorders>
                  <w:noWrap w:val="0"/>
                  <w:vAlign w:val="center"/>
                </w:tcPr>
                <w:p>
                  <w:pPr>
                    <w:pStyle w:val="10"/>
                    <w:keepNext w:val="0"/>
                    <w:keepLines w:val="0"/>
                    <w:pageBreakBefore w:val="0"/>
                    <w:kinsoku/>
                    <w:wordWrap/>
                    <w:overflowPunct/>
                    <w:topLinePunct w:val="0"/>
                    <w:autoSpaceDE/>
                    <w:autoSpaceDN/>
                    <w:bidi w:val="0"/>
                    <w:adjustRightInd w:val="0"/>
                    <w:snapToGrid w:val="0"/>
                    <w:spacing w:after="0" w:line="360" w:lineRule="exact"/>
                    <w:ind w:firstLine="0" w:firstLineChars="0"/>
                    <w:jc w:val="center"/>
                    <w:textAlignment w:val="auto"/>
                    <w:rPr>
                      <w:rFonts w:eastAsia="Times New Roman"/>
                      <w:sz w:val="21"/>
                      <w:szCs w:val="21"/>
                    </w:rPr>
                  </w:pPr>
                  <w:r>
                    <w:rPr>
                      <w:rFonts w:hint="eastAsia" w:eastAsia="Times New Roman"/>
                      <w:sz w:val="21"/>
                      <w:szCs w:val="21"/>
                    </w:rPr>
                    <w:t>70</w:t>
                  </w:r>
                </w:p>
              </w:tc>
              <w:tc>
                <w:tcPr>
                  <w:tcW w:w="2500" w:type="pct"/>
                  <w:tcBorders>
                    <w:tl2br w:val="nil"/>
                    <w:tr2bl w:val="nil"/>
                  </w:tcBorders>
                  <w:noWrap w:val="0"/>
                  <w:vAlign w:val="center"/>
                </w:tcPr>
                <w:p>
                  <w:pPr>
                    <w:pStyle w:val="10"/>
                    <w:keepNext w:val="0"/>
                    <w:keepLines w:val="0"/>
                    <w:pageBreakBefore w:val="0"/>
                    <w:kinsoku/>
                    <w:wordWrap/>
                    <w:overflowPunct/>
                    <w:topLinePunct w:val="0"/>
                    <w:autoSpaceDE/>
                    <w:autoSpaceDN/>
                    <w:bidi w:val="0"/>
                    <w:adjustRightInd w:val="0"/>
                    <w:snapToGrid w:val="0"/>
                    <w:spacing w:after="0" w:line="360" w:lineRule="exact"/>
                    <w:ind w:firstLine="0" w:firstLineChars="0"/>
                    <w:jc w:val="center"/>
                    <w:textAlignment w:val="auto"/>
                    <w:rPr>
                      <w:rFonts w:eastAsia="Times New Roman"/>
                      <w:sz w:val="21"/>
                      <w:szCs w:val="21"/>
                    </w:rPr>
                  </w:pPr>
                  <w:r>
                    <w:rPr>
                      <w:rFonts w:hint="eastAsia" w:eastAsia="Times New Roman"/>
                      <w:sz w:val="21"/>
                      <w:szCs w:val="21"/>
                    </w:rPr>
                    <w:t>55</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sz w:val="24"/>
                <w:szCs w:val="24"/>
              </w:rPr>
            </w:pPr>
            <w:r>
              <w:rPr>
                <w:rFonts w:hint="eastAsia"/>
                <w:sz w:val="24"/>
                <w:szCs w:val="24"/>
              </w:rPr>
              <w:t>营运期</w:t>
            </w:r>
            <w:r>
              <w:rPr>
                <w:sz w:val="24"/>
                <w:szCs w:val="24"/>
              </w:rPr>
              <w:t>厂界</w:t>
            </w:r>
            <w:r>
              <w:rPr>
                <w:rFonts w:hint="eastAsia"/>
                <w:sz w:val="24"/>
                <w:szCs w:val="24"/>
              </w:rPr>
              <w:t>噪声执行《工业企业厂界环境噪声排放标准》（GB12348-2008）中</w:t>
            </w:r>
            <w:r>
              <w:rPr>
                <w:rFonts w:hint="eastAsia"/>
                <w:sz w:val="24"/>
                <w:szCs w:val="24"/>
                <w:lang w:val="en-US" w:eastAsia="zh-CN"/>
              </w:rPr>
              <w:t>3类</w:t>
            </w:r>
            <w:r>
              <w:rPr>
                <w:rFonts w:hint="eastAsia"/>
                <w:sz w:val="24"/>
                <w:szCs w:val="24"/>
              </w:rPr>
              <w:t>标准限值</w:t>
            </w:r>
            <w:r>
              <w:rPr>
                <w:rFonts w:hint="eastAsia"/>
                <w:bCs/>
                <w:sz w:val="24"/>
                <w:szCs w:val="24"/>
                <w:lang w:eastAsia="zh-CN"/>
              </w:rPr>
              <w:t>，</w:t>
            </w:r>
            <w:r>
              <w:rPr>
                <w:rFonts w:hint="eastAsia"/>
                <w:sz w:val="24"/>
                <w:szCs w:val="24"/>
              </w:rPr>
              <w:t>具体指标见下表。</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表</w:t>
            </w:r>
            <w:r>
              <w:rPr>
                <w:rFonts w:hint="eastAsia" w:cs="Times New Roman"/>
                <w:b/>
                <w:bCs w:val="0"/>
                <w:sz w:val="24"/>
                <w:szCs w:val="24"/>
                <w:lang w:val="en-US" w:eastAsia="zh-CN"/>
              </w:rPr>
              <w:t>3</w:t>
            </w:r>
            <w:r>
              <w:rPr>
                <w:rFonts w:hint="eastAsia" w:eastAsia="宋体" w:cs="Times New Roman"/>
                <w:b/>
                <w:bCs w:val="0"/>
                <w:sz w:val="24"/>
                <w:szCs w:val="24"/>
                <w:lang w:val="en-US" w:eastAsia="zh-CN"/>
              </w:rPr>
              <w:t>-</w:t>
            </w:r>
            <w:r>
              <w:rPr>
                <w:rFonts w:hint="eastAsia" w:cs="Times New Roman"/>
                <w:b/>
                <w:bCs w:val="0"/>
                <w:sz w:val="24"/>
                <w:szCs w:val="24"/>
                <w:lang w:val="en-US" w:eastAsia="zh-CN"/>
              </w:rPr>
              <w:t xml:space="preserve">12  </w:t>
            </w:r>
            <w:r>
              <w:rPr>
                <w:rFonts w:hint="default" w:ascii="Times New Roman" w:hAnsi="Times New Roman" w:eastAsia="宋体" w:cs="Times New Roman"/>
                <w:b/>
                <w:bCs w:val="0"/>
                <w:sz w:val="24"/>
                <w:szCs w:val="24"/>
              </w:rPr>
              <w:t>工业企业厂界环境噪声排放标准</w:t>
            </w:r>
            <w:r>
              <w:rPr>
                <w:rFonts w:hint="default" w:ascii="Times New Roman" w:hAnsi="Times New Roman" w:eastAsia="宋体" w:cs="Times New Roman"/>
                <w:b/>
                <w:bCs w:val="0"/>
                <w:szCs w:val="21"/>
              </w:rPr>
              <w:t>单位：dB(A)</w:t>
            </w:r>
          </w:p>
          <w:tbl>
            <w:tblPr>
              <w:tblStyle w:val="24"/>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3157"/>
              <w:gridCol w:w="2646"/>
              <w:gridCol w:w="334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25" w:type="pct"/>
                  <w:vMerge w:val="restart"/>
                  <w:tcBorders>
                    <w:tl2br w:val="nil"/>
                    <w:tr2bl w:val="nil"/>
                  </w:tcBorders>
                  <w:noWrap w:val="0"/>
                  <w:vAlign w:val="center"/>
                </w:tcPr>
                <w:p>
                  <w:pPr>
                    <w:jc w:val="center"/>
                    <w:rPr>
                      <w:rFonts w:hint="eastAsia"/>
                      <w:sz w:val="21"/>
                      <w:szCs w:val="21"/>
                      <w:lang w:eastAsia="zh-CN"/>
                    </w:rPr>
                  </w:pPr>
                  <w:r>
                    <w:rPr>
                      <w:rFonts w:hint="eastAsia"/>
                      <w:sz w:val="21"/>
                      <w:szCs w:val="21"/>
                      <w:lang w:val="en-US" w:eastAsia="zh-CN"/>
                    </w:rPr>
                    <w:t>标准类别</w:t>
                  </w:r>
                </w:p>
              </w:tc>
              <w:tc>
                <w:tcPr>
                  <w:tcW w:w="3274" w:type="pct"/>
                  <w:gridSpan w:val="2"/>
                  <w:tcBorders>
                    <w:tl2br w:val="nil"/>
                    <w:tr2bl w:val="nil"/>
                  </w:tcBorders>
                  <w:noWrap w:val="0"/>
                  <w:vAlign w:val="center"/>
                </w:tcPr>
                <w:p>
                  <w:pPr>
                    <w:jc w:val="center"/>
                    <w:rPr>
                      <w:rFonts w:hint="default"/>
                      <w:sz w:val="21"/>
                      <w:szCs w:val="21"/>
                      <w:lang w:val="en-US" w:eastAsia="zh-CN"/>
                    </w:rPr>
                  </w:pPr>
                  <w:r>
                    <w:rPr>
                      <w:rFonts w:hint="eastAsia"/>
                      <w:sz w:val="21"/>
                      <w:szCs w:val="21"/>
                      <w:lang w:val="en-US" w:eastAsia="zh-CN"/>
                    </w:rPr>
                    <w:t>标准限值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725" w:type="pct"/>
                  <w:vMerge w:val="continue"/>
                  <w:tcBorders>
                    <w:tl2br w:val="nil"/>
                    <w:tr2bl w:val="nil"/>
                  </w:tcBorders>
                  <w:noWrap w:val="0"/>
                  <w:vAlign w:val="center"/>
                </w:tcPr>
                <w:p>
                  <w:pPr>
                    <w:jc w:val="center"/>
                    <w:rPr>
                      <w:sz w:val="21"/>
                      <w:szCs w:val="21"/>
                    </w:rPr>
                  </w:pPr>
                </w:p>
              </w:tc>
              <w:tc>
                <w:tcPr>
                  <w:tcW w:w="1446" w:type="pct"/>
                  <w:tcBorders>
                    <w:tl2br w:val="nil"/>
                    <w:tr2bl w:val="nil"/>
                  </w:tcBorders>
                  <w:noWrap w:val="0"/>
                  <w:vAlign w:val="center"/>
                </w:tcPr>
                <w:p>
                  <w:pPr>
                    <w:jc w:val="center"/>
                    <w:rPr>
                      <w:rFonts w:hint="default"/>
                      <w:sz w:val="21"/>
                      <w:szCs w:val="21"/>
                      <w:lang w:val="en-US" w:eastAsia="zh-CN"/>
                    </w:rPr>
                  </w:pPr>
                  <w:r>
                    <w:rPr>
                      <w:rFonts w:hint="eastAsia"/>
                      <w:sz w:val="21"/>
                      <w:szCs w:val="21"/>
                    </w:rPr>
                    <w:t>昼间</w:t>
                  </w:r>
                </w:p>
              </w:tc>
              <w:tc>
                <w:tcPr>
                  <w:tcW w:w="1828" w:type="pct"/>
                  <w:tcBorders>
                    <w:tl2br w:val="nil"/>
                    <w:tr2bl w:val="nil"/>
                  </w:tcBorders>
                  <w:noWrap w:val="0"/>
                  <w:vAlign w:val="center"/>
                </w:tcPr>
                <w:p>
                  <w:pPr>
                    <w:jc w:val="center"/>
                    <w:rPr>
                      <w:rFonts w:hint="eastAsia"/>
                      <w:sz w:val="21"/>
                      <w:szCs w:val="21"/>
                      <w:lang w:val="en-US" w:eastAsia="zh-CN"/>
                    </w:rPr>
                  </w:pPr>
                  <w:r>
                    <w:rPr>
                      <w:rFonts w:hint="eastAsia"/>
                      <w:sz w:val="21"/>
                      <w:szCs w:val="21"/>
                      <w:lang w:val="en-US" w:eastAsia="zh-CN"/>
                    </w:rPr>
                    <w:t>夜间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25" w:type="pct"/>
                  <w:tcBorders>
                    <w:tl2br w:val="nil"/>
                    <w:tr2bl w:val="nil"/>
                  </w:tcBorders>
                  <w:noWrap w:val="0"/>
                  <w:vAlign w:val="center"/>
                </w:tcPr>
                <w:p>
                  <w:pPr>
                    <w:jc w:val="center"/>
                    <w:rPr>
                      <w:sz w:val="21"/>
                      <w:szCs w:val="21"/>
                    </w:rPr>
                  </w:pPr>
                  <w:r>
                    <w:rPr>
                      <w:rFonts w:hint="eastAsia"/>
                      <w:sz w:val="21"/>
                      <w:szCs w:val="21"/>
                      <w:lang w:val="en-US" w:eastAsia="zh-CN"/>
                    </w:rPr>
                    <w:t>3</w:t>
                  </w:r>
                  <w:r>
                    <w:rPr>
                      <w:rFonts w:hint="eastAsia"/>
                      <w:sz w:val="21"/>
                      <w:szCs w:val="21"/>
                    </w:rPr>
                    <w:t>类</w:t>
                  </w:r>
                  <w:r>
                    <w:rPr>
                      <w:rFonts w:hint="eastAsia"/>
                      <w:sz w:val="21"/>
                      <w:szCs w:val="21"/>
                      <w:lang w:eastAsia="zh-CN"/>
                    </w:rPr>
                    <w:t>标准</w:t>
                  </w:r>
                </w:p>
              </w:tc>
              <w:tc>
                <w:tcPr>
                  <w:tcW w:w="1446" w:type="pct"/>
                  <w:tcBorders>
                    <w:tl2br w:val="nil"/>
                    <w:tr2bl w:val="nil"/>
                  </w:tcBorders>
                  <w:noWrap w:val="0"/>
                  <w:vAlign w:val="center"/>
                </w:tcPr>
                <w:p>
                  <w:pPr>
                    <w:jc w:val="center"/>
                    <w:rPr>
                      <w:rFonts w:hint="default"/>
                      <w:sz w:val="21"/>
                      <w:szCs w:val="21"/>
                      <w:lang w:val="en-US" w:eastAsia="zh-CN"/>
                    </w:rPr>
                  </w:pPr>
                  <w:r>
                    <w:rPr>
                      <w:rFonts w:hint="eastAsia"/>
                      <w:sz w:val="21"/>
                      <w:szCs w:val="21"/>
                      <w:lang w:val="en-US" w:eastAsia="zh-CN"/>
                    </w:rPr>
                    <w:t>65</w:t>
                  </w:r>
                </w:p>
              </w:tc>
              <w:tc>
                <w:tcPr>
                  <w:tcW w:w="1828" w:type="pct"/>
                  <w:tcBorders>
                    <w:tl2br w:val="nil"/>
                    <w:tr2bl w:val="nil"/>
                  </w:tcBorders>
                  <w:noWrap w:val="0"/>
                  <w:vAlign w:val="center"/>
                </w:tcPr>
                <w:p>
                  <w:pPr>
                    <w:jc w:val="center"/>
                    <w:rPr>
                      <w:rFonts w:hint="default"/>
                      <w:sz w:val="21"/>
                      <w:szCs w:val="21"/>
                      <w:lang w:val="en-US" w:eastAsia="zh-CN"/>
                    </w:rPr>
                  </w:pPr>
                  <w:r>
                    <w:rPr>
                      <w:rFonts w:hint="eastAsia"/>
                      <w:sz w:val="21"/>
                      <w:szCs w:val="21"/>
                      <w:lang w:val="en-US" w:eastAsia="zh-CN"/>
                    </w:rPr>
                    <w:t>55</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b/>
                <w:sz w:val="24"/>
                <w:szCs w:val="24"/>
              </w:rPr>
            </w:pPr>
            <w:r>
              <w:rPr>
                <w:rFonts w:hint="eastAsia"/>
                <w:b/>
                <w:sz w:val="24"/>
                <w:szCs w:val="24"/>
                <w:lang w:val="en-US" w:eastAsia="zh-CN"/>
              </w:rPr>
              <w:t>4</w:t>
            </w:r>
            <w:r>
              <w:rPr>
                <w:rFonts w:hint="eastAsia"/>
                <w:b/>
                <w:sz w:val="24"/>
                <w:szCs w:val="24"/>
              </w:rPr>
              <w:t>、固废</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kern w:val="2"/>
                <w:sz w:val="28"/>
                <w:szCs w:val="24"/>
                <w:lang w:val="en-US" w:eastAsia="zh-CN" w:bidi="ar-SA"/>
              </w:rPr>
            </w:pPr>
            <w:r>
              <w:rPr>
                <w:sz w:val="24"/>
              </w:rPr>
              <w:t>《</w:t>
            </w:r>
            <w:r>
              <w:rPr>
                <w:rFonts w:hint="eastAsia"/>
                <w:sz w:val="24"/>
              </w:rPr>
              <w:t>一般工业固体废物贮存和填埋污染控制标准</w:t>
            </w:r>
            <w:r>
              <w:rPr>
                <w:sz w:val="24"/>
              </w:rPr>
              <w:t>》（GB18599-20</w:t>
            </w:r>
            <w:r>
              <w:rPr>
                <w:rFonts w:hint="eastAsia"/>
                <w:sz w:val="24"/>
                <w:lang w:val="en-US" w:eastAsia="zh-CN"/>
              </w:rPr>
              <w:t>20</w:t>
            </w:r>
            <w:r>
              <w:rPr>
                <w:sz w:val="24"/>
              </w:rPr>
              <w:t>）</w:t>
            </w:r>
            <w:r>
              <w:rPr>
                <w:rFonts w:hint="eastAsia"/>
                <w:sz w:val="24"/>
                <w:lang w:eastAsia="zh-CN"/>
              </w:rPr>
              <w:t>；</w:t>
            </w:r>
            <w:r>
              <w:rPr>
                <w:rFonts w:hint="eastAsia"/>
                <w:sz w:val="24"/>
                <w:szCs w:val="24"/>
                <w:lang w:val="en-US" w:eastAsia="zh-CN"/>
              </w:rPr>
              <w:t>危险固废的贮存和处置方法执行《危险废物贮存污染控制标准》（GB18597-2023）标准中的规定。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 w:type="pct"/>
            <w:noWrap w:val="0"/>
            <w:vAlign w:val="center"/>
          </w:tcPr>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总量</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控制</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指标</w:t>
            </w:r>
          </w:p>
        </w:tc>
        <w:tc>
          <w:tcPr>
            <w:tcW w:w="4710" w:type="pct"/>
            <w:noWrap w:val="0"/>
            <w:vAlign w:val="center"/>
          </w:tcPr>
          <w:p>
            <w:pPr>
              <w:spacing w:line="360" w:lineRule="auto"/>
              <w:ind w:firstLine="480" w:firstLineChars="200"/>
              <w:rPr>
                <w:rFonts w:hint="default" w:ascii="Times New Roman" w:hAnsi="Times New Roman" w:eastAsia="宋体" w:cs="Times New Roman"/>
                <w:snapToGrid w:val="0"/>
                <w:kern w:val="0"/>
                <w:sz w:val="24"/>
                <w:szCs w:val="24"/>
              </w:rPr>
            </w:pPr>
            <w:r>
              <w:rPr>
                <w:rFonts w:hint="default" w:ascii="Times New Roman" w:hAnsi="Times New Roman" w:eastAsia="宋体" w:cs="Times New Roman"/>
                <w:snapToGrid w:val="0"/>
                <w:kern w:val="0"/>
                <w:sz w:val="24"/>
                <w:szCs w:val="24"/>
              </w:rPr>
              <w:t>根据国家</w:t>
            </w:r>
            <w:r>
              <w:rPr>
                <w:rFonts w:hint="eastAsia" w:cs="Times New Roman"/>
                <w:snapToGrid w:val="0"/>
                <w:kern w:val="0"/>
                <w:sz w:val="24"/>
                <w:szCs w:val="24"/>
                <w:lang w:val="en-US" w:eastAsia="zh-CN"/>
              </w:rPr>
              <w:t>相关</w:t>
            </w:r>
            <w:r>
              <w:rPr>
                <w:rFonts w:hint="default" w:ascii="Times New Roman" w:hAnsi="Times New Roman" w:eastAsia="宋体" w:cs="Times New Roman"/>
                <w:snapToGrid w:val="0"/>
                <w:kern w:val="0"/>
                <w:sz w:val="24"/>
                <w:szCs w:val="24"/>
              </w:rPr>
              <w:t>总量控制要求，目前对COD、氨氮、SO</w:t>
            </w:r>
            <w:r>
              <w:rPr>
                <w:rFonts w:hint="default" w:ascii="Times New Roman" w:hAnsi="Times New Roman" w:eastAsia="宋体" w:cs="Times New Roman"/>
                <w:snapToGrid w:val="0"/>
                <w:kern w:val="0"/>
                <w:sz w:val="24"/>
                <w:szCs w:val="24"/>
                <w:vertAlign w:val="subscript"/>
              </w:rPr>
              <w:t>2</w:t>
            </w:r>
            <w:r>
              <w:rPr>
                <w:rFonts w:hint="default" w:ascii="Times New Roman" w:hAnsi="Times New Roman" w:eastAsia="宋体" w:cs="Times New Roman"/>
                <w:snapToGrid w:val="0"/>
                <w:kern w:val="0"/>
                <w:sz w:val="24"/>
                <w:szCs w:val="24"/>
              </w:rPr>
              <w:t>、NO</w:t>
            </w:r>
            <w:r>
              <w:rPr>
                <w:rFonts w:hint="default" w:ascii="Times New Roman" w:hAnsi="Times New Roman" w:eastAsia="宋体" w:cs="Times New Roman"/>
                <w:snapToGrid w:val="0"/>
                <w:kern w:val="0"/>
                <w:sz w:val="24"/>
                <w:szCs w:val="24"/>
                <w:vertAlign w:val="subscript"/>
              </w:rPr>
              <w:t>X</w:t>
            </w:r>
            <w:r>
              <w:rPr>
                <w:rFonts w:hint="eastAsia" w:cs="Times New Roman"/>
                <w:snapToGrid w:val="0"/>
                <w:kern w:val="0"/>
                <w:sz w:val="24"/>
                <w:szCs w:val="24"/>
                <w:vertAlign w:val="baseline"/>
                <w:lang w:val="en-US" w:eastAsia="zh-CN"/>
              </w:rPr>
              <w:t>以及VOCs五</w:t>
            </w:r>
            <w:r>
              <w:rPr>
                <w:rFonts w:hint="default" w:ascii="Times New Roman" w:hAnsi="Times New Roman" w:eastAsia="宋体" w:cs="Times New Roman"/>
                <w:snapToGrid w:val="0"/>
                <w:kern w:val="0"/>
                <w:sz w:val="24"/>
                <w:szCs w:val="24"/>
              </w:rPr>
              <w:t>种主要污染物实行排放总量控制。</w:t>
            </w:r>
          </w:p>
          <w:p>
            <w:pPr>
              <w:spacing w:line="360" w:lineRule="auto"/>
              <w:ind w:firstLine="482" w:firstLineChars="200"/>
              <w:rPr>
                <w:rFonts w:hint="eastAsia" w:cs="Times New Roman"/>
                <w:b/>
                <w:bCs/>
                <w:snapToGrid w:val="0"/>
                <w:color w:val="auto"/>
                <w:kern w:val="0"/>
                <w:sz w:val="24"/>
                <w:szCs w:val="24"/>
                <w:lang w:val="en-US" w:eastAsia="zh-CN"/>
              </w:rPr>
            </w:pPr>
            <w:r>
              <w:rPr>
                <w:rFonts w:hint="eastAsia" w:cs="Times New Roman"/>
                <w:b/>
                <w:bCs/>
                <w:snapToGrid w:val="0"/>
                <w:color w:val="auto"/>
                <w:kern w:val="0"/>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napToGrid w:val="0"/>
                <w:color w:val="auto"/>
                <w:kern w:val="0"/>
                <w:sz w:val="24"/>
                <w:szCs w:val="24"/>
                <w:lang w:val="en-US" w:eastAsia="zh-CN"/>
              </w:rPr>
            </w:pPr>
            <w:r>
              <w:rPr>
                <w:rFonts w:hint="eastAsia" w:cs="Times New Roman"/>
                <w:snapToGrid w:val="0"/>
                <w:color w:val="auto"/>
                <w:kern w:val="0"/>
                <w:sz w:val="24"/>
                <w:szCs w:val="24"/>
                <w:lang w:val="en-US" w:eastAsia="zh-CN"/>
              </w:rPr>
              <w:t>本</w:t>
            </w:r>
            <w:r>
              <w:rPr>
                <w:rFonts w:hint="default" w:cs="Times New Roman"/>
                <w:snapToGrid w:val="0"/>
                <w:color w:val="auto"/>
                <w:kern w:val="0"/>
                <w:sz w:val="24"/>
                <w:szCs w:val="24"/>
                <w:lang w:val="en-US" w:eastAsia="zh-CN"/>
              </w:rPr>
              <w:t>项目运营期间</w:t>
            </w:r>
            <w:r>
              <w:rPr>
                <w:rFonts w:hint="eastAsia" w:cs="Times New Roman"/>
                <w:snapToGrid w:val="0"/>
                <w:color w:val="auto"/>
                <w:kern w:val="0"/>
                <w:sz w:val="24"/>
                <w:szCs w:val="24"/>
                <w:lang w:val="en-US" w:eastAsia="zh-CN"/>
              </w:rPr>
              <w:t>废水主要为生活污水，本项目废水经化粪池预处理后，各污染物浓度满足污水处理厂进厂指标要求，最终进入鲁山县产业集聚区污水处理厂进一步达标处理后，最终全部中水回用。因此本项目废水无需申请总量。</w:t>
            </w:r>
          </w:p>
          <w:p>
            <w:pPr>
              <w:spacing w:line="360" w:lineRule="auto"/>
              <w:ind w:firstLine="482" w:firstLineChars="200"/>
              <w:rPr>
                <w:rFonts w:hint="eastAsia" w:cs="Times New Roman"/>
                <w:b/>
                <w:bCs/>
                <w:snapToGrid w:val="0"/>
                <w:color w:val="auto"/>
                <w:kern w:val="0"/>
                <w:sz w:val="24"/>
                <w:szCs w:val="24"/>
                <w:lang w:val="en-US" w:eastAsia="zh-CN"/>
              </w:rPr>
            </w:pPr>
            <w:r>
              <w:rPr>
                <w:rFonts w:hint="eastAsia" w:cs="Times New Roman"/>
                <w:b/>
                <w:bCs/>
                <w:snapToGrid w:val="0"/>
                <w:color w:val="auto"/>
                <w:kern w:val="0"/>
                <w:sz w:val="24"/>
                <w:szCs w:val="24"/>
                <w:lang w:val="en-US" w:eastAsia="zh-CN"/>
              </w:rPr>
              <w:t>（2）废气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napToGrid w:val="0"/>
                <w:kern w:val="0"/>
                <w:sz w:val="24"/>
                <w:szCs w:val="24"/>
                <w:lang w:val="en-US" w:eastAsia="zh-CN"/>
              </w:rPr>
            </w:pPr>
            <w:r>
              <w:rPr>
                <w:rFonts w:hint="eastAsia" w:cs="Times New Roman"/>
                <w:snapToGrid w:val="0"/>
                <w:color w:val="auto"/>
                <w:kern w:val="0"/>
                <w:sz w:val="24"/>
                <w:szCs w:val="24"/>
                <w:lang w:val="en-US" w:eastAsia="zh-CN"/>
              </w:rPr>
              <w:t>本项目废气主要为颗粒物、SO</w:t>
            </w:r>
            <w:r>
              <w:rPr>
                <w:rFonts w:hint="eastAsia" w:cs="Times New Roman"/>
                <w:snapToGrid w:val="0"/>
                <w:color w:val="auto"/>
                <w:kern w:val="0"/>
                <w:sz w:val="24"/>
                <w:szCs w:val="24"/>
                <w:vertAlign w:val="subscript"/>
                <w:lang w:val="en-US" w:eastAsia="zh-CN"/>
              </w:rPr>
              <w:t>2</w:t>
            </w:r>
            <w:r>
              <w:rPr>
                <w:rFonts w:hint="eastAsia" w:cs="Times New Roman"/>
                <w:snapToGrid w:val="0"/>
                <w:color w:val="auto"/>
                <w:kern w:val="0"/>
                <w:sz w:val="24"/>
                <w:szCs w:val="24"/>
                <w:lang w:val="en-US" w:eastAsia="zh-CN"/>
              </w:rPr>
              <w:t>、NO</w:t>
            </w:r>
            <w:r>
              <w:rPr>
                <w:rFonts w:hint="eastAsia" w:cs="Times New Roman"/>
                <w:snapToGrid w:val="0"/>
                <w:color w:val="auto"/>
                <w:kern w:val="0"/>
                <w:sz w:val="24"/>
                <w:szCs w:val="24"/>
                <w:vertAlign w:val="subscript"/>
                <w:lang w:val="en-US" w:eastAsia="zh-CN"/>
              </w:rPr>
              <w:t>X</w:t>
            </w:r>
            <w:r>
              <w:rPr>
                <w:rFonts w:hint="eastAsia" w:cs="Times New Roman"/>
                <w:snapToGrid w:val="0"/>
                <w:color w:val="auto"/>
                <w:kern w:val="0"/>
                <w:sz w:val="24"/>
                <w:szCs w:val="24"/>
                <w:lang w:val="en-US" w:eastAsia="zh-CN"/>
              </w:rPr>
              <w:t>和有机废气（以非甲烷总烃计）。因此本项目废气总量控制指标为：颗粒物为0.15t/a，SO</w:t>
            </w:r>
            <w:r>
              <w:rPr>
                <w:rFonts w:hint="eastAsia" w:cs="Times New Roman"/>
                <w:snapToGrid w:val="0"/>
                <w:color w:val="auto"/>
                <w:kern w:val="0"/>
                <w:sz w:val="24"/>
                <w:szCs w:val="24"/>
                <w:vertAlign w:val="subscript"/>
                <w:lang w:val="en-US" w:eastAsia="zh-CN"/>
              </w:rPr>
              <w:t>2</w:t>
            </w:r>
            <w:r>
              <w:rPr>
                <w:rFonts w:hint="eastAsia" w:cs="Times New Roman"/>
                <w:snapToGrid w:val="0"/>
                <w:color w:val="auto"/>
                <w:kern w:val="0"/>
                <w:sz w:val="24"/>
                <w:szCs w:val="24"/>
                <w:lang w:val="en-US" w:eastAsia="zh-CN"/>
              </w:rPr>
              <w:t>为</w:t>
            </w:r>
            <w:r>
              <w:rPr>
                <w:rFonts w:hint="eastAsia" w:cs="Times New Roman"/>
                <w:color w:val="auto"/>
                <w:sz w:val="24"/>
                <w:szCs w:val="24"/>
                <w:u w:val="none"/>
                <w:lang w:val="en-US" w:eastAsia="zh-CN"/>
              </w:rPr>
              <w:t>0.001476</w:t>
            </w:r>
            <w:r>
              <w:rPr>
                <w:rFonts w:hint="eastAsia" w:cs="Times New Roman"/>
                <w:snapToGrid w:val="0"/>
                <w:color w:val="auto"/>
                <w:kern w:val="0"/>
                <w:sz w:val="24"/>
                <w:szCs w:val="24"/>
                <w:lang w:val="en-US" w:eastAsia="zh-CN"/>
              </w:rPr>
              <w:t>t/a，NO</w:t>
            </w:r>
            <w:r>
              <w:rPr>
                <w:rFonts w:hint="eastAsia" w:cs="Times New Roman"/>
                <w:snapToGrid w:val="0"/>
                <w:color w:val="auto"/>
                <w:kern w:val="0"/>
                <w:sz w:val="24"/>
                <w:szCs w:val="24"/>
                <w:vertAlign w:val="subscript"/>
                <w:lang w:val="en-US" w:eastAsia="zh-CN"/>
              </w:rPr>
              <w:t>X</w:t>
            </w:r>
            <w:r>
              <w:rPr>
                <w:rFonts w:hint="eastAsia" w:cs="Times New Roman"/>
                <w:snapToGrid w:val="0"/>
                <w:color w:val="auto"/>
                <w:kern w:val="0"/>
                <w:sz w:val="24"/>
                <w:szCs w:val="24"/>
                <w:lang w:val="en-US" w:eastAsia="zh-CN"/>
              </w:rPr>
              <w:t>为0.01109t/a，有机废气（非甲烷总烃）为0.00924t/a。</w:t>
            </w:r>
          </w:p>
        </w:tc>
      </w:tr>
    </w:tbl>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宋体" w:hAnsi="宋体" w:eastAsia="宋体" w:cs="宋体"/>
          <w:b/>
          <w:bCs/>
          <w:snapToGrid w:val="0"/>
          <w:sz w:val="30"/>
          <w:szCs w:val="30"/>
        </w:rPr>
        <w:t>四、主要环境影响和保护措施</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2"/>
        <w:gridCol w:w="97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2" w:type="dxa"/>
            <w:noWrap w:val="0"/>
            <w:tcMar>
              <w:left w:w="28" w:type="dxa"/>
              <w:right w:w="28" w:type="dxa"/>
            </w:tcMar>
            <w:vAlign w:val="center"/>
          </w:tcPr>
          <w:p>
            <w:pPr>
              <w:pStyle w:val="21"/>
              <w:adjustRightInd w:val="0"/>
              <w:snapToGrid w:val="0"/>
              <w:spacing w:before="0" w:beforeAutospacing="0" w:after="0" w:afterAutospacing="0"/>
              <w:jc w:val="center"/>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rPr>
              <w:t>施工</w:t>
            </w:r>
          </w:p>
          <w:p>
            <w:pPr>
              <w:pStyle w:val="21"/>
              <w:adjustRightInd w:val="0"/>
              <w:snapToGrid w:val="0"/>
              <w:spacing w:before="0" w:beforeAutospacing="0" w:after="0" w:afterAutospacing="0"/>
              <w:jc w:val="center"/>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rPr>
              <w:t>期环</w:t>
            </w:r>
          </w:p>
          <w:p>
            <w:pPr>
              <w:pStyle w:val="21"/>
              <w:adjustRightInd w:val="0"/>
              <w:snapToGrid w:val="0"/>
              <w:spacing w:before="0" w:beforeAutospacing="0" w:after="0" w:afterAutospacing="0"/>
              <w:jc w:val="center"/>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rPr>
              <w:t>境保</w:t>
            </w:r>
          </w:p>
          <w:p>
            <w:pPr>
              <w:pStyle w:val="21"/>
              <w:adjustRightInd w:val="0"/>
              <w:snapToGrid w:val="0"/>
              <w:spacing w:before="0" w:beforeAutospacing="0" w:after="0" w:afterAutospacing="0"/>
              <w:jc w:val="center"/>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rPr>
              <w:t>护措</w:t>
            </w:r>
          </w:p>
          <w:p>
            <w:pPr>
              <w:pStyle w:val="21"/>
              <w:adjustRightInd w:val="0"/>
              <w:snapToGrid w:val="0"/>
              <w:spacing w:before="0" w:beforeAutospacing="0" w:after="0" w:afterAutospacing="0"/>
              <w:jc w:val="center"/>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rPr>
              <w:t>施</w:t>
            </w:r>
          </w:p>
        </w:tc>
        <w:tc>
          <w:tcPr>
            <w:tcW w:w="97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4"/>
                <w:lang w:val="en-US" w:eastAsia="zh-CN"/>
              </w:rPr>
            </w:pPr>
            <w:r>
              <w:rPr>
                <w:rFonts w:hint="default" w:ascii="Times New Roman" w:hAnsi="Times New Roman" w:cs="Times New Roman"/>
                <w:b/>
                <w:sz w:val="24"/>
                <w:lang w:val="en-US" w:eastAsia="zh-CN"/>
              </w:rPr>
              <w:t>一、施工期环境影响分析</w:t>
            </w:r>
          </w:p>
          <w:p>
            <w:pPr>
              <w:pStyle w:val="3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spacing w:val="-10"/>
                <w:sz w:val="24"/>
                <w:szCs w:val="24"/>
              </w:rPr>
            </w:pPr>
            <w:r>
              <w:rPr>
                <w:rFonts w:hint="default" w:ascii="Times New Roman" w:hAnsi="Times New Roman" w:eastAsia="宋体" w:cs="Times New Roman"/>
                <w:b w:val="0"/>
                <w:bCs/>
                <w:color w:val="auto"/>
                <w:kern w:val="2"/>
                <w:sz w:val="24"/>
                <w:szCs w:val="24"/>
                <w:u w:val="none"/>
                <w:lang w:val="en-US" w:eastAsia="zh-CN" w:bidi="ar-SA"/>
              </w:rPr>
              <w:t>本项目租用已建的工业厂房进行生产，施工期仅进行设备的安装，主要为噪声污染，对周边环境的影响较小，且随着施工期的结束而消失，因此，本评价不再分析施工期的环境影响。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2" w:type="dxa"/>
            <w:noWrap w:val="0"/>
            <w:tcMar>
              <w:left w:w="28" w:type="dxa"/>
              <w:right w:w="28" w:type="dxa"/>
            </w:tcMar>
            <w:vAlign w:val="center"/>
          </w:tcPr>
          <w:p>
            <w:pPr>
              <w:adjustRightInd w:val="0"/>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运营</w:t>
            </w:r>
          </w:p>
          <w:p>
            <w:pPr>
              <w:adjustRightInd w:val="0"/>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期环</w:t>
            </w:r>
          </w:p>
          <w:p>
            <w:pPr>
              <w:adjustRightInd w:val="0"/>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境影</w:t>
            </w:r>
          </w:p>
          <w:p>
            <w:pPr>
              <w:adjustRightInd w:val="0"/>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响和</w:t>
            </w:r>
          </w:p>
          <w:p>
            <w:pPr>
              <w:adjustRightInd w:val="0"/>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保护</w:t>
            </w:r>
          </w:p>
          <w:p>
            <w:pPr>
              <w:adjustRightInd w:val="0"/>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措施</w:t>
            </w:r>
          </w:p>
        </w:tc>
        <w:tc>
          <w:tcPr>
            <w:tcW w:w="9711" w:type="dxa"/>
            <w:noWrap w:val="0"/>
            <w:vAlign w:val="top"/>
          </w:tcPr>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4"/>
                <w:lang w:val="en-US" w:eastAsia="zh-CN"/>
              </w:rPr>
            </w:pPr>
            <w:r>
              <w:rPr>
                <w:rFonts w:hint="default" w:ascii="Times New Roman" w:hAnsi="Times New Roman" w:cs="Times New Roman"/>
                <w:b/>
                <w:sz w:val="24"/>
                <w:lang w:val="en-US" w:eastAsia="zh-CN"/>
              </w:rPr>
              <w:t>大气环境影响和保护措施</w:t>
            </w:r>
          </w:p>
          <w:p>
            <w:pPr>
              <w:pStyle w:val="10"/>
              <w:keepNext w:val="0"/>
              <w:keepLines w:val="0"/>
              <w:pageBreakBefore w:val="0"/>
              <w:widowControl/>
              <w:numPr>
                <w:ilvl w:val="0"/>
                <w:numId w:val="5"/>
              </w:numPr>
              <w:kinsoku/>
              <w:wordWrap/>
              <w:overflowPunct/>
              <w:topLinePunct w:val="0"/>
              <w:autoSpaceDE/>
              <w:autoSpaceDN/>
              <w:bidi w:val="0"/>
              <w:adjustRightInd/>
              <w:snapToGrid w:val="0"/>
              <w:ind w:left="0" w:leftChars="0" w:right="0" w:rightChars="0" w:firstLine="48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val="0"/>
                <w:sz w:val="24"/>
                <w:szCs w:val="24"/>
                <w:u w:val="none"/>
                <w:lang w:val="en-US" w:eastAsia="zh-CN"/>
              </w:rPr>
              <w:t>废气源强计算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color w:val="auto"/>
                <w:sz w:val="24"/>
                <w:szCs w:val="24"/>
                <w:u w:val="none"/>
                <w:lang w:val="en-US" w:eastAsia="zh-CN"/>
              </w:rPr>
              <w:t>本项目</w:t>
            </w:r>
            <w:r>
              <w:rPr>
                <w:rFonts w:hint="default" w:ascii="Times New Roman" w:hAnsi="Times New Roman" w:cs="Times New Roman"/>
                <w:b w:val="0"/>
                <w:bCs/>
                <w:color w:val="auto"/>
                <w:sz w:val="24"/>
                <w:szCs w:val="24"/>
                <w:u w:val="none"/>
                <w:lang w:val="en-US" w:eastAsia="zh-CN"/>
              </w:rPr>
              <w:t>有组织</w:t>
            </w:r>
            <w:r>
              <w:rPr>
                <w:rFonts w:hint="default" w:ascii="Times New Roman" w:hAnsi="Times New Roman" w:eastAsia="宋体" w:cs="Times New Roman"/>
                <w:b w:val="0"/>
                <w:bCs/>
                <w:color w:val="auto"/>
                <w:sz w:val="24"/>
                <w:szCs w:val="24"/>
                <w:u w:val="none"/>
                <w:lang w:val="en-US" w:eastAsia="zh-CN"/>
              </w:rPr>
              <w:t>废气主要</w:t>
            </w:r>
            <w:r>
              <w:rPr>
                <w:rFonts w:hint="eastAsia" w:ascii="Times New Roman" w:hAnsi="Times New Roman" w:eastAsia="宋体" w:cs="Times New Roman"/>
                <w:b w:val="0"/>
                <w:bCs w:val="0"/>
                <w:color w:val="auto"/>
                <w:sz w:val="24"/>
                <w:szCs w:val="24"/>
                <w:u w:val="none"/>
                <w:lang w:val="en-US" w:eastAsia="zh-CN"/>
              </w:rPr>
              <w:t>为切割</w:t>
            </w:r>
            <w:r>
              <w:rPr>
                <w:rFonts w:hint="eastAsia" w:cs="Times New Roman"/>
                <w:b w:val="0"/>
                <w:bCs w:val="0"/>
                <w:color w:val="auto"/>
                <w:sz w:val="24"/>
                <w:szCs w:val="24"/>
                <w:u w:val="none"/>
                <w:lang w:val="en-US" w:eastAsia="zh-CN"/>
              </w:rPr>
              <w:t>颗粒物</w:t>
            </w:r>
            <w:r>
              <w:rPr>
                <w:rFonts w:hint="eastAsia" w:ascii="Times New Roman" w:hAnsi="Times New Roman" w:eastAsia="宋体" w:cs="Times New Roman"/>
                <w:b w:val="0"/>
                <w:bCs w:val="0"/>
                <w:color w:val="auto"/>
                <w:sz w:val="24"/>
                <w:szCs w:val="24"/>
                <w:u w:val="none"/>
                <w:lang w:val="en-US" w:eastAsia="zh-CN"/>
              </w:rPr>
              <w:t>、焊接</w:t>
            </w:r>
            <w:r>
              <w:rPr>
                <w:rFonts w:hint="eastAsia" w:cs="Times New Roman"/>
                <w:b w:val="0"/>
                <w:bCs w:val="0"/>
                <w:color w:val="auto"/>
                <w:sz w:val="24"/>
                <w:szCs w:val="24"/>
                <w:u w:val="none"/>
                <w:lang w:val="en-US" w:eastAsia="zh-CN"/>
              </w:rPr>
              <w:t>抛光颗粒物</w:t>
            </w:r>
            <w:r>
              <w:rPr>
                <w:rFonts w:hint="eastAsia" w:ascii="Times New Roman" w:hAnsi="Times New Roman" w:eastAsia="宋体" w:cs="Times New Roman"/>
                <w:b w:val="0"/>
                <w:bCs w:val="0"/>
                <w:color w:val="auto"/>
                <w:sz w:val="24"/>
                <w:szCs w:val="24"/>
                <w:u w:val="none"/>
                <w:lang w:val="en-US" w:eastAsia="zh-CN"/>
              </w:rPr>
              <w:t>、喷塑</w:t>
            </w:r>
            <w:r>
              <w:rPr>
                <w:rFonts w:hint="eastAsia" w:cs="Times New Roman"/>
                <w:b w:val="0"/>
                <w:bCs w:val="0"/>
                <w:color w:val="auto"/>
                <w:sz w:val="24"/>
                <w:szCs w:val="24"/>
                <w:u w:val="none"/>
                <w:lang w:val="en-US" w:eastAsia="zh-CN"/>
              </w:rPr>
              <w:t>颗粒物</w:t>
            </w:r>
            <w:r>
              <w:rPr>
                <w:rFonts w:hint="eastAsia" w:ascii="Times New Roman" w:hAnsi="Times New Roman" w:eastAsia="宋体" w:cs="Times New Roman"/>
                <w:b w:val="0"/>
                <w:bCs w:val="0"/>
                <w:color w:val="auto"/>
                <w:sz w:val="24"/>
                <w:szCs w:val="24"/>
                <w:u w:val="none"/>
                <w:lang w:val="en-US" w:eastAsia="zh-CN"/>
              </w:rPr>
              <w:t>及烘</w:t>
            </w:r>
            <w:r>
              <w:rPr>
                <w:rFonts w:hint="eastAsia" w:ascii="Times New Roman" w:hAnsi="Times New Roman" w:cs="Times New Roman"/>
                <w:b w:val="0"/>
                <w:bCs w:val="0"/>
                <w:color w:val="auto"/>
                <w:sz w:val="24"/>
                <w:szCs w:val="24"/>
                <w:u w:val="none"/>
                <w:lang w:val="en-US" w:eastAsia="zh-CN"/>
              </w:rPr>
              <w:t>烤</w:t>
            </w:r>
            <w:r>
              <w:rPr>
                <w:rFonts w:hint="eastAsia" w:ascii="Times New Roman" w:hAnsi="Times New Roman" w:eastAsia="宋体" w:cs="Times New Roman"/>
                <w:b w:val="0"/>
                <w:bCs w:val="0"/>
                <w:color w:val="auto"/>
                <w:sz w:val="24"/>
                <w:szCs w:val="24"/>
                <w:u w:val="none"/>
                <w:lang w:val="en-US" w:eastAsia="zh-CN"/>
              </w:rPr>
              <w:t>废气</w:t>
            </w:r>
            <w:r>
              <w:rPr>
                <w:rFonts w:hint="eastAsia" w:ascii="Times New Roman" w:hAnsi="Times New Roman" w:cs="Times New Roman"/>
                <w:b w:val="0"/>
                <w:bCs w:val="0"/>
                <w:color w:val="auto"/>
                <w:sz w:val="24"/>
                <w:szCs w:val="24"/>
                <w:u w:val="none"/>
                <w:lang w:val="en-US" w:eastAsia="zh-CN"/>
              </w:rPr>
              <w:t>（包含烘烤有机废气和烘烤燃烧废气）</w:t>
            </w:r>
            <w:r>
              <w:rPr>
                <w:rFonts w:hint="eastAsia" w:ascii="Times New Roman" w:hAnsi="Times New Roman" w:eastAsia="宋体" w:cs="Times New Roman"/>
                <w:b w:val="0"/>
                <w:bCs w:val="0"/>
                <w:color w:val="auto"/>
                <w:sz w:val="24"/>
                <w:szCs w:val="24"/>
                <w:u w:val="none"/>
                <w:lang w:val="en-US" w:eastAsia="zh-CN"/>
              </w:rPr>
              <w:t>。</w:t>
            </w:r>
          </w:p>
          <w:p>
            <w:pPr>
              <w:pStyle w:val="42"/>
              <w:adjustRightInd w:val="0"/>
              <w:snapToGrid w:val="0"/>
              <w:spacing w:line="360" w:lineRule="auto"/>
              <w:rPr>
                <w:rFonts w:hint="default" w:ascii="Times New Roman" w:hAnsi="Times New Roman" w:cs="Times New Roman"/>
                <w:b/>
                <w:bCs/>
                <w:sz w:val="24"/>
                <w:szCs w:val="24"/>
                <w:lang w:val="en-US" w:eastAsia="zh-CN"/>
              </w:rPr>
            </w:pPr>
            <w:r>
              <w:rPr>
                <w:rFonts w:hint="eastAsia" w:ascii="Times New Roman" w:hAnsi="Times New Roman" w:cs="Times New Roman"/>
                <w:b/>
                <w:bCs/>
                <w:color w:val="auto"/>
                <w:sz w:val="24"/>
                <w:szCs w:val="24"/>
                <w:u w:val="none"/>
                <w:lang w:val="en-US" w:eastAsia="zh-CN"/>
              </w:rPr>
              <w:t>（1）</w:t>
            </w:r>
            <w:r>
              <w:rPr>
                <w:rFonts w:hint="eastAsia" w:ascii="Times New Roman" w:hAnsi="Times New Roman" w:eastAsia="宋体" w:cs="Times New Roman"/>
                <w:b/>
                <w:bCs/>
                <w:color w:val="auto"/>
                <w:sz w:val="24"/>
                <w:szCs w:val="24"/>
                <w:u w:val="none"/>
                <w:lang w:val="en-US" w:eastAsia="zh-CN"/>
              </w:rPr>
              <w:t>切割</w:t>
            </w:r>
            <w:r>
              <w:rPr>
                <w:rFonts w:hint="eastAsia" w:ascii="Times New Roman" w:hAnsi="Times New Roman" w:cs="Times New Roman"/>
                <w:b/>
                <w:bCs/>
                <w:color w:val="auto"/>
                <w:sz w:val="24"/>
                <w:szCs w:val="24"/>
                <w:u w:val="none"/>
                <w:lang w:val="en-US" w:eastAsia="zh-CN"/>
              </w:rPr>
              <w:t>废气</w:t>
            </w:r>
            <w:r>
              <w:rPr>
                <w:rFonts w:hint="eastAsia"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焊接</w:t>
            </w:r>
            <w:r>
              <w:rPr>
                <w:rFonts w:hint="eastAsia" w:ascii="Times New Roman" w:hAnsi="Times New Roman" w:cs="Times New Roman"/>
                <w:b/>
                <w:bCs/>
                <w:color w:val="auto"/>
                <w:sz w:val="24"/>
                <w:szCs w:val="24"/>
                <w:u w:val="none"/>
                <w:lang w:val="en-US" w:eastAsia="zh-CN"/>
              </w:rPr>
              <w:t>抛光废气</w:t>
            </w:r>
            <w:r>
              <w:rPr>
                <w:rFonts w:hint="eastAsia" w:ascii="Times New Roman" w:hAnsi="Times New Roman" w:eastAsia="宋体" w:cs="Times New Roman"/>
                <w:b/>
                <w:bCs/>
                <w:color w:val="auto"/>
                <w:sz w:val="24"/>
                <w:szCs w:val="24"/>
                <w:u w:val="none"/>
                <w:lang w:val="en-US" w:eastAsia="zh-CN"/>
              </w:rPr>
              <w:t>、</w:t>
            </w:r>
            <w:r>
              <w:rPr>
                <w:rFonts w:hint="eastAsia" w:ascii="Times New Roman" w:hAnsi="Times New Roman" w:eastAsia="宋体" w:cs="Times New Roman"/>
                <w:b/>
                <w:bCs/>
                <w:color w:val="auto"/>
                <w:spacing w:val="-4"/>
                <w:sz w:val="24"/>
                <w:szCs w:val="22"/>
                <w:u w:val="none"/>
                <w:lang w:val="en-US" w:eastAsia="zh-CN"/>
              </w:rPr>
              <w:t>喷塑</w:t>
            </w:r>
            <w:r>
              <w:rPr>
                <w:rFonts w:hint="eastAsia" w:ascii="Times New Roman" w:hAnsi="Times New Roman" w:cs="Times New Roman"/>
                <w:b/>
                <w:bCs/>
                <w:color w:val="auto"/>
                <w:spacing w:val="-4"/>
                <w:sz w:val="24"/>
                <w:szCs w:val="22"/>
                <w:u w:val="none"/>
                <w:lang w:val="en-US" w:eastAsia="zh-CN"/>
              </w:rPr>
              <w:t>废气</w:t>
            </w:r>
          </w:p>
          <w:p>
            <w:pPr>
              <w:pStyle w:val="23"/>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fldChar w:fldCharType="begin"/>
            </w:r>
            <w:r>
              <w:rPr>
                <w:rFonts w:hint="default" w:ascii="Times New Roman" w:hAnsi="Times New Roman" w:eastAsia="宋体" w:cs="Times New Roman"/>
                <w:b/>
                <w:bCs/>
                <w:color w:val="auto"/>
                <w:sz w:val="24"/>
                <w:szCs w:val="24"/>
                <w:u w:val="none"/>
                <w:lang w:val="en-US" w:eastAsia="zh-CN"/>
              </w:rPr>
              <w:instrText xml:space="preserve"> = 1 \* GB3 \* MERGEFORMAT </w:instrText>
            </w:r>
            <w:r>
              <w:rPr>
                <w:rFonts w:hint="default" w:ascii="Times New Roman" w:hAnsi="Times New Roman" w:eastAsia="宋体" w:cs="Times New Roman"/>
                <w:b/>
                <w:bCs/>
                <w:color w:val="auto"/>
                <w:sz w:val="24"/>
                <w:szCs w:val="24"/>
                <w:u w:val="none"/>
                <w:lang w:val="en-US" w:eastAsia="zh-CN"/>
              </w:rPr>
              <w:fldChar w:fldCharType="separate"/>
            </w:r>
            <w:r>
              <w:rPr>
                <w:rFonts w:hint="default" w:ascii="Times New Roman" w:hAnsi="Times New Roman" w:cs="Times New Roman"/>
                <w:b/>
                <w:bCs/>
                <w:color w:val="auto"/>
                <w:sz w:val="24"/>
                <w:szCs w:val="24"/>
              </w:rPr>
              <w:t>①</w:t>
            </w:r>
            <w:r>
              <w:rPr>
                <w:rFonts w:hint="default" w:ascii="Times New Roman" w:hAnsi="Times New Roman" w:eastAsia="宋体" w:cs="Times New Roman"/>
                <w:b/>
                <w:bCs/>
                <w:color w:val="auto"/>
                <w:sz w:val="24"/>
                <w:szCs w:val="24"/>
                <w:u w:val="none"/>
                <w:lang w:val="en-US" w:eastAsia="zh-CN"/>
              </w:rPr>
              <w:fldChar w:fldCharType="end"/>
            </w:r>
            <w:r>
              <w:rPr>
                <w:rFonts w:hint="default" w:ascii="Times New Roman" w:hAnsi="Times New Roman" w:eastAsia="宋体" w:cs="Times New Roman"/>
                <w:b/>
                <w:bCs/>
                <w:color w:val="auto"/>
                <w:sz w:val="24"/>
                <w:szCs w:val="24"/>
                <w:u w:val="none"/>
                <w:lang w:val="en-US" w:eastAsia="zh-CN"/>
              </w:rPr>
              <w:t>切割</w:t>
            </w:r>
            <w:r>
              <w:rPr>
                <w:rFonts w:hint="eastAsia" w:ascii="Times New Roman" w:hAnsi="Times New Roman" w:cs="Times New Roman"/>
                <w:b/>
                <w:bCs/>
                <w:color w:val="auto"/>
                <w:sz w:val="24"/>
                <w:szCs w:val="24"/>
                <w:u w:val="none"/>
                <w:lang w:val="en-US" w:eastAsia="zh-CN"/>
              </w:rPr>
              <w:t>废气</w:t>
            </w:r>
          </w:p>
          <w:p>
            <w:pPr>
              <w:pStyle w:val="23"/>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本项目外购</w:t>
            </w:r>
            <w:r>
              <w:rPr>
                <w:rFonts w:hint="eastAsia" w:ascii="Times New Roman" w:hAnsi="Times New Roman" w:cs="Times New Roman"/>
                <w:b w:val="0"/>
                <w:bCs w:val="0"/>
                <w:color w:val="auto"/>
                <w:sz w:val="24"/>
                <w:szCs w:val="24"/>
                <w:u w:val="none"/>
                <w:lang w:val="en-US" w:eastAsia="zh-CN"/>
              </w:rPr>
              <w:t>的</w:t>
            </w:r>
            <w:r>
              <w:rPr>
                <w:rFonts w:hint="default" w:ascii="Times New Roman" w:hAnsi="Times New Roman" w:eastAsia="宋体" w:cs="Times New Roman"/>
                <w:b w:val="0"/>
                <w:bCs w:val="0"/>
                <w:color w:val="auto"/>
                <w:sz w:val="24"/>
                <w:szCs w:val="24"/>
                <w:u w:val="none"/>
                <w:lang w:val="en-US" w:eastAsia="zh-CN"/>
              </w:rPr>
              <w:t>钢材</w:t>
            </w:r>
            <w:r>
              <w:rPr>
                <w:rFonts w:hint="eastAsia" w:ascii="Times New Roman" w:hAnsi="Times New Roman" w:cs="Times New Roman"/>
                <w:b w:val="0"/>
                <w:bCs w:val="0"/>
                <w:color w:val="auto"/>
                <w:sz w:val="24"/>
                <w:szCs w:val="24"/>
                <w:u w:val="none"/>
                <w:lang w:val="en-US" w:eastAsia="zh-CN"/>
              </w:rPr>
              <w:t>（钢管和铁板）</w:t>
            </w:r>
            <w:r>
              <w:rPr>
                <w:rFonts w:hint="default" w:ascii="Times New Roman" w:hAnsi="Times New Roman" w:eastAsia="宋体" w:cs="Times New Roman"/>
                <w:b w:val="0"/>
                <w:bCs w:val="0"/>
                <w:color w:val="auto"/>
                <w:sz w:val="24"/>
                <w:szCs w:val="24"/>
                <w:u w:val="none"/>
                <w:lang w:val="en-US" w:eastAsia="zh-CN"/>
              </w:rPr>
              <w:t>需在厂内进行切割，</w:t>
            </w:r>
            <w:r>
              <w:rPr>
                <w:rFonts w:hint="eastAsia" w:ascii="Times New Roman" w:hAnsi="Times New Roman" w:cs="Times New Roman"/>
                <w:b w:val="0"/>
                <w:bCs w:val="0"/>
                <w:color w:val="auto"/>
                <w:sz w:val="24"/>
                <w:szCs w:val="24"/>
                <w:u w:val="none"/>
                <w:lang w:val="en-US" w:eastAsia="zh-CN"/>
              </w:rPr>
              <w:t>其中需切割的钢材量约占外购总量的80%，即本项目需切割的钢材量为640t/a。</w:t>
            </w:r>
            <w:r>
              <w:rPr>
                <w:rFonts w:hint="default" w:ascii="Times New Roman" w:hAnsi="Times New Roman" w:eastAsia="宋体" w:cs="Times New Roman"/>
                <w:b w:val="0"/>
                <w:bCs w:val="0"/>
                <w:color w:val="auto"/>
                <w:sz w:val="24"/>
                <w:szCs w:val="24"/>
                <w:u w:val="none"/>
                <w:lang w:val="en-US" w:eastAsia="zh-CN"/>
              </w:rPr>
              <w:t>根据《机加工行业环境影响评价中常见污染物源强估算及污染治理》推荐的经验排放系数，切割产生的</w:t>
            </w:r>
            <w:r>
              <w:rPr>
                <w:rFonts w:hint="eastAsia" w:cs="Times New Roman"/>
                <w:b w:val="0"/>
                <w:bCs w:val="0"/>
                <w:color w:val="auto"/>
                <w:sz w:val="24"/>
                <w:szCs w:val="24"/>
                <w:u w:val="none"/>
                <w:lang w:val="en-US" w:eastAsia="zh-CN"/>
              </w:rPr>
              <w:t>颗粒物</w:t>
            </w:r>
            <w:r>
              <w:rPr>
                <w:rFonts w:hint="default" w:ascii="Times New Roman" w:hAnsi="Times New Roman" w:eastAsia="宋体" w:cs="Times New Roman"/>
                <w:b w:val="0"/>
                <w:bCs w:val="0"/>
                <w:color w:val="auto"/>
                <w:sz w:val="24"/>
                <w:szCs w:val="24"/>
                <w:u w:val="none"/>
                <w:lang w:val="en-US" w:eastAsia="zh-CN"/>
              </w:rPr>
              <w:t>量按原材料的0.1%计</w:t>
            </w:r>
            <w:r>
              <w:rPr>
                <w:rFonts w:hint="eastAsia" w:ascii="Times New Roman" w:hAnsi="Times New Roman"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则金属</w:t>
            </w:r>
            <w:r>
              <w:rPr>
                <w:rFonts w:hint="eastAsia" w:cs="Times New Roman"/>
                <w:b w:val="0"/>
                <w:bCs w:val="0"/>
                <w:color w:val="auto"/>
                <w:sz w:val="24"/>
                <w:szCs w:val="24"/>
                <w:u w:val="none"/>
                <w:lang w:val="en-US" w:eastAsia="zh-CN"/>
              </w:rPr>
              <w:t>颗粒物</w:t>
            </w:r>
            <w:r>
              <w:rPr>
                <w:rFonts w:hint="default" w:ascii="Times New Roman" w:hAnsi="Times New Roman" w:eastAsia="宋体" w:cs="Times New Roman"/>
                <w:b w:val="0"/>
                <w:bCs w:val="0"/>
                <w:color w:val="auto"/>
                <w:sz w:val="24"/>
                <w:szCs w:val="24"/>
                <w:u w:val="none"/>
                <w:lang w:val="en-US" w:eastAsia="zh-CN"/>
              </w:rPr>
              <w:t>产生量为0.</w:t>
            </w:r>
            <w:r>
              <w:rPr>
                <w:rFonts w:hint="eastAsia" w:ascii="Times New Roman" w:hAnsi="Times New Roman" w:cs="Times New Roman"/>
                <w:b w:val="0"/>
                <w:bCs w:val="0"/>
                <w:color w:val="auto"/>
                <w:sz w:val="24"/>
                <w:szCs w:val="24"/>
                <w:u w:val="none"/>
                <w:lang w:val="en-US" w:eastAsia="zh-CN"/>
              </w:rPr>
              <w:t>64</w:t>
            </w:r>
            <w:r>
              <w:rPr>
                <w:rFonts w:hint="default" w:ascii="Times New Roman" w:hAnsi="Times New Roman" w:eastAsia="宋体" w:cs="Times New Roman"/>
                <w:b w:val="0"/>
                <w:bCs w:val="0"/>
                <w:color w:val="auto"/>
                <w:sz w:val="24"/>
                <w:szCs w:val="24"/>
                <w:u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pacing w:val="0"/>
                <w:kern w:val="2"/>
                <w:sz w:val="24"/>
                <w:szCs w:val="22"/>
                <w:u w:val="none"/>
                <w:lang w:val="en-US" w:eastAsia="zh-CN" w:bidi="ar-SA"/>
              </w:rPr>
              <w:t>评价</w:t>
            </w:r>
            <w:r>
              <w:rPr>
                <w:rFonts w:hint="default" w:ascii="Times New Roman" w:hAnsi="Times New Roman" w:eastAsia="宋体" w:cs="Times New Roman"/>
                <w:b w:val="0"/>
                <w:bCs w:val="0"/>
                <w:color w:val="auto"/>
                <w:sz w:val="24"/>
                <w:u w:val="none"/>
              </w:rPr>
              <w:t>要求</w:t>
            </w:r>
            <w:r>
              <w:rPr>
                <w:rFonts w:hint="default" w:ascii="Times New Roman" w:hAnsi="Times New Roman" w:eastAsia="宋体" w:cs="Times New Roman"/>
                <w:b w:val="0"/>
                <w:bCs w:val="0"/>
                <w:color w:val="auto"/>
                <w:sz w:val="24"/>
                <w:szCs w:val="24"/>
                <w:u w:val="none"/>
                <w:lang w:val="en-US" w:eastAsia="zh-CN"/>
              </w:rPr>
              <w:t>切割</w:t>
            </w:r>
            <w:r>
              <w:rPr>
                <w:rFonts w:hint="eastAsia" w:ascii="Times New Roman" w:hAnsi="Times New Roman" w:eastAsia="宋体" w:cs="Times New Roman"/>
                <w:color w:val="auto"/>
                <w:sz w:val="24"/>
                <w:lang w:val="en-US" w:eastAsia="zh-CN"/>
              </w:rPr>
              <w:t>工位</w:t>
            </w:r>
            <w:r>
              <w:rPr>
                <w:rFonts w:hint="default" w:ascii="Times New Roman" w:hAnsi="Times New Roman" w:eastAsia="宋体" w:cs="Times New Roman"/>
                <w:b w:val="0"/>
                <w:bCs w:val="0"/>
                <w:color w:val="auto"/>
                <w:sz w:val="24"/>
                <w:u w:val="none"/>
                <w:lang w:val="en-US" w:eastAsia="zh-CN"/>
              </w:rPr>
              <w:t>集中设置，</w:t>
            </w:r>
            <w:r>
              <w:rPr>
                <w:rFonts w:hint="default" w:ascii="Times New Roman" w:hAnsi="Times New Roman" w:eastAsia="宋体" w:cs="Times New Roman"/>
                <w:b w:val="0"/>
                <w:bCs w:val="0"/>
                <w:color w:val="auto"/>
                <w:kern w:val="0"/>
                <w:sz w:val="24"/>
                <w:szCs w:val="24"/>
                <w:highlight w:val="none"/>
                <w:u w:val="none"/>
                <w:lang w:val="en-US" w:eastAsia="zh-CN"/>
              </w:rPr>
              <w:t>在</w:t>
            </w:r>
            <w:r>
              <w:rPr>
                <w:rFonts w:hint="eastAsia" w:ascii="Times New Roman" w:hAnsi="Times New Roman" w:eastAsia="宋体" w:cs="Times New Roman"/>
                <w:color w:val="auto"/>
                <w:sz w:val="24"/>
                <w:lang w:val="en-US" w:eastAsia="zh-CN"/>
              </w:rPr>
              <w:t>工位</w:t>
            </w:r>
            <w:r>
              <w:rPr>
                <w:rFonts w:hint="default" w:ascii="Times New Roman" w:hAnsi="Times New Roman" w:eastAsia="宋体" w:cs="Times New Roman"/>
                <w:b w:val="0"/>
                <w:bCs w:val="0"/>
                <w:color w:val="auto"/>
                <w:kern w:val="0"/>
                <w:sz w:val="24"/>
                <w:szCs w:val="24"/>
                <w:highlight w:val="none"/>
                <w:u w:val="none"/>
                <w:lang w:val="en-US" w:eastAsia="zh-CN"/>
              </w:rPr>
              <w:t>上方均设置集气罩对废气进行收集，废气收集后</w:t>
            </w:r>
            <w:r>
              <w:rPr>
                <w:rFonts w:hint="default" w:ascii="Times New Roman" w:hAnsi="Times New Roman" w:eastAsia="宋体" w:cs="Times New Roman"/>
                <w:b w:val="0"/>
                <w:bCs w:val="0"/>
                <w:color w:val="auto"/>
                <w:sz w:val="24"/>
                <w:u w:val="none"/>
              </w:rPr>
              <w:t>经管道连接</w:t>
            </w:r>
            <w:r>
              <w:rPr>
                <w:rFonts w:hint="default" w:ascii="Times New Roman" w:hAnsi="Times New Roman" w:eastAsia="宋体" w:cs="Times New Roman"/>
                <w:b w:val="0"/>
                <w:bCs w:val="0"/>
                <w:color w:val="auto"/>
                <w:sz w:val="24"/>
                <w:u w:val="none"/>
                <w:lang w:val="en-US" w:eastAsia="zh-CN"/>
              </w:rPr>
              <w:t>至</w:t>
            </w:r>
            <w:r>
              <w:rPr>
                <w:rFonts w:hint="default" w:ascii="Times New Roman" w:hAnsi="Times New Roman" w:eastAsia="宋体" w:cs="Times New Roman"/>
                <w:b w:val="0"/>
                <w:bCs w:val="0"/>
                <w:color w:val="auto"/>
                <w:sz w:val="24"/>
                <w:u w:val="none"/>
              </w:rPr>
              <w:t>1套袋</w:t>
            </w:r>
            <w:r>
              <w:rPr>
                <w:rFonts w:hint="default" w:ascii="Times New Roman" w:hAnsi="Times New Roman" w:eastAsia="宋体" w:cs="Times New Roman"/>
                <w:b w:val="0"/>
                <w:bCs w:val="0"/>
                <w:color w:val="auto"/>
                <w:sz w:val="24"/>
                <w:u w:val="none"/>
                <w:lang w:val="en-US" w:eastAsia="zh-CN"/>
              </w:rPr>
              <w:t>式</w:t>
            </w:r>
            <w:r>
              <w:rPr>
                <w:rFonts w:hint="default" w:ascii="Times New Roman" w:hAnsi="Times New Roman" w:eastAsia="宋体" w:cs="Times New Roman"/>
                <w:b w:val="0"/>
                <w:bCs w:val="0"/>
                <w:color w:val="auto"/>
                <w:sz w:val="24"/>
                <w:u w:val="none"/>
              </w:rPr>
              <w:t>除尘器</w:t>
            </w:r>
            <w:r>
              <w:rPr>
                <w:rFonts w:hint="eastAsia" w:ascii="Times New Roman" w:hAnsi="Times New Roman" w:eastAsia="宋体" w:cs="Times New Roman"/>
                <w:color w:val="auto"/>
                <w:sz w:val="24"/>
                <w:lang w:val="en-US" w:eastAsia="zh-CN"/>
              </w:rPr>
              <w:t>进行</w:t>
            </w:r>
            <w:r>
              <w:rPr>
                <w:rFonts w:hint="default" w:ascii="Times New Roman" w:hAnsi="Times New Roman" w:eastAsia="宋体" w:cs="Times New Roman"/>
                <w:b w:val="0"/>
                <w:bCs w:val="0"/>
                <w:color w:val="auto"/>
                <w:sz w:val="24"/>
                <w:u w:val="none"/>
              </w:rPr>
              <w:t>处理，</w:t>
            </w:r>
            <w:r>
              <w:rPr>
                <w:rFonts w:hint="default" w:ascii="Times New Roman" w:hAnsi="Times New Roman" w:eastAsia="宋体" w:cs="Times New Roman"/>
                <w:b w:val="0"/>
                <w:bCs w:val="0"/>
                <w:color w:val="auto"/>
                <w:sz w:val="24"/>
                <w:u w:val="none"/>
                <w:lang w:val="en-US" w:eastAsia="zh-CN"/>
              </w:rPr>
              <w:t>处理后</w:t>
            </w:r>
            <w:r>
              <w:rPr>
                <w:rFonts w:hint="eastAsia" w:ascii="Times New Roman" w:hAnsi="Times New Roman" w:eastAsia="宋体" w:cs="Times New Roman"/>
                <w:b w:val="0"/>
                <w:bCs w:val="0"/>
                <w:color w:val="auto"/>
                <w:sz w:val="24"/>
                <w:u w:val="none"/>
                <w:lang w:val="en-US" w:eastAsia="zh-CN"/>
              </w:rPr>
              <w:t>由</w:t>
            </w:r>
            <w:r>
              <w:rPr>
                <w:rFonts w:hint="default" w:ascii="Times New Roman" w:hAnsi="Times New Roman" w:eastAsia="宋体" w:cs="Times New Roman"/>
                <w:b w:val="0"/>
                <w:bCs w:val="0"/>
                <w:color w:val="auto"/>
                <w:sz w:val="24"/>
                <w:u w:val="none"/>
              </w:rPr>
              <w:t>1根15m高排气筒排放</w:t>
            </w:r>
            <w:r>
              <w:rPr>
                <w:rFonts w:hint="eastAsia" w:ascii="Times New Roman" w:hAnsi="Times New Roman" w:eastAsia="宋体" w:cs="Times New Roman"/>
                <w:b w:val="0"/>
                <w:bCs w:val="0"/>
                <w:color w:val="auto"/>
                <w:sz w:val="24"/>
                <w:u w:val="none"/>
                <w:lang w:eastAsia="zh-CN"/>
              </w:rPr>
              <w:t>（</w:t>
            </w:r>
            <w:r>
              <w:rPr>
                <w:rFonts w:hint="eastAsia" w:ascii="Times New Roman" w:hAnsi="Times New Roman" w:eastAsia="宋体" w:cs="Times New Roman"/>
                <w:b w:val="0"/>
                <w:bCs w:val="0"/>
                <w:color w:val="auto"/>
                <w:sz w:val="24"/>
                <w:u w:val="none"/>
                <w:lang w:val="en-US" w:eastAsia="zh-CN"/>
              </w:rPr>
              <w:t>DA001</w:t>
            </w:r>
            <w:r>
              <w:rPr>
                <w:rFonts w:hint="eastAsia" w:ascii="Times New Roman" w:hAnsi="Times New Roman" w:eastAsia="宋体" w:cs="Times New Roman"/>
                <w:b w:val="0"/>
                <w:bCs w:val="0"/>
                <w:color w:val="auto"/>
                <w:sz w:val="24"/>
                <w:u w:val="none"/>
                <w:lang w:eastAsia="zh-CN"/>
              </w:rPr>
              <w:t>）</w:t>
            </w:r>
            <w:r>
              <w:rPr>
                <w:rFonts w:hint="eastAsia" w:ascii="Times New Roman" w:hAnsi="Times New Roman" w:cs="Times New Roman"/>
                <w:b w:val="0"/>
                <w:bCs w:val="0"/>
                <w:color w:val="auto"/>
                <w:sz w:val="24"/>
                <w:u w:val="none"/>
                <w:lang w:eastAsia="zh-CN"/>
              </w:rPr>
              <w:t>。</w:t>
            </w:r>
            <w:r>
              <w:rPr>
                <w:rFonts w:hint="eastAsia" w:ascii="Times New Roman" w:hAnsi="Times New Roman" w:cs="Times New Roman"/>
                <w:b w:val="0"/>
                <w:bCs w:val="0"/>
                <w:color w:val="auto"/>
                <w:sz w:val="24"/>
                <w:u w:val="none"/>
                <w:lang w:val="en-US" w:eastAsia="zh-CN"/>
              </w:rPr>
              <w:t>其中收集效率按90%计，则该工序切割</w:t>
            </w:r>
            <w:r>
              <w:rPr>
                <w:rFonts w:hint="eastAsia" w:cs="Times New Roman"/>
                <w:b w:val="0"/>
                <w:bCs w:val="0"/>
                <w:color w:val="auto"/>
                <w:sz w:val="24"/>
                <w:u w:val="none"/>
                <w:lang w:val="en-US" w:eastAsia="zh-CN"/>
              </w:rPr>
              <w:t>颗粒物</w:t>
            </w:r>
            <w:r>
              <w:rPr>
                <w:rFonts w:hint="eastAsia" w:ascii="Times New Roman" w:hAnsi="Times New Roman" w:cs="Times New Roman"/>
                <w:b w:val="0"/>
                <w:bCs w:val="0"/>
                <w:color w:val="auto"/>
                <w:sz w:val="24"/>
                <w:u w:val="none"/>
                <w:lang w:val="en-US" w:eastAsia="zh-CN"/>
              </w:rPr>
              <w:t>有组织产生量为0.576t/a。</w:t>
            </w:r>
            <w:r>
              <w:rPr>
                <w:rFonts w:hint="default" w:ascii="Times New Roman" w:hAnsi="Times New Roman" w:eastAsia="宋体" w:cs="Times New Roman"/>
                <w:color w:val="auto"/>
                <w:kern w:val="0"/>
                <w:sz w:val="24"/>
                <w:szCs w:val="24"/>
              </w:rPr>
              <w:t>袋式</w:t>
            </w:r>
            <w:r>
              <w:rPr>
                <w:rFonts w:hint="default" w:ascii="Times New Roman" w:hAnsi="Times New Roman" w:eastAsia="宋体" w:cs="Times New Roman"/>
                <w:color w:val="auto"/>
                <w:sz w:val="24"/>
              </w:rPr>
              <w:t>除尘器除尘效率按9</w:t>
            </w:r>
            <w:r>
              <w:rPr>
                <w:rFonts w:hint="default"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%计</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经</w:t>
            </w:r>
            <w:r>
              <w:rPr>
                <w:rFonts w:hint="eastAsia" w:ascii="Times New Roman" w:hAnsi="Times New Roman" w:eastAsia="宋体" w:cs="Times New Roman"/>
                <w:color w:val="auto"/>
                <w:sz w:val="24"/>
                <w:lang w:val="en-US" w:eastAsia="zh-CN"/>
              </w:rPr>
              <w:t>处理后，</w:t>
            </w:r>
            <w:r>
              <w:rPr>
                <w:rFonts w:hint="default" w:ascii="Times New Roman" w:hAnsi="Times New Roman" w:eastAsia="宋体" w:cs="Times New Roman"/>
                <w:b w:val="0"/>
                <w:bCs w:val="0"/>
                <w:color w:val="auto"/>
                <w:sz w:val="24"/>
                <w:szCs w:val="24"/>
                <w:u w:val="none"/>
                <w:lang w:val="en-US" w:eastAsia="zh-CN"/>
              </w:rPr>
              <w:t>切割</w:t>
            </w:r>
            <w:r>
              <w:rPr>
                <w:rFonts w:hint="eastAsia" w:cs="Times New Roman"/>
                <w:b w:val="0"/>
                <w:bCs w:val="0"/>
                <w:color w:val="auto"/>
                <w:sz w:val="24"/>
                <w:szCs w:val="24"/>
                <w:u w:val="none"/>
                <w:lang w:val="en-US" w:eastAsia="zh-CN"/>
              </w:rPr>
              <w:t>颗粒物</w:t>
            </w:r>
            <w:r>
              <w:rPr>
                <w:rFonts w:hint="eastAsia" w:ascii="Times New Roman" w:hAnsi="Times New Roman" w:eastAsia="宋体" w:cs="Times New Roman"/>
                <w:b w:val="0"/>
                <w:bCs w:val="0"/>
                <w:color w:val="auto"/>
                <w:sz w:val="24"/>
                <w:szCs w:val="24"/>
                <w:u w:val="none"/>
                <w:lang w:val="en-US" w:eastAsia="zh-CN"/>
              </w:rPr>
              <w:t>有组织</w:t>
            </w:r>
            <w:r>
              <w:rPr>
                <w:rFonts w:hint="eastAsia" w:ascii="Times New Roman" w:hAnsi="Times New Roman" w:eastAsia="宋体" w:cs="Times New Roman"/>
                <w:color w:val="auto"/>
                <w:sz w:val="24"/>
                <w:lang w:val="en-US" w:eastAsia="zh-CN"/>
              </w:rPr>
              <w:t>排放量为0.00576t/a。</w:t>
            </w:r>
          </w:p>
          <w:p>
            <w:pPr>
              <w:pStyle w:val="23"/>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48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u w:val="none"/>
                <w:lang w:val="en-US" w:eastAsia="zh-CN"/>
              </w:rPr>
              <w:t>无组织排放按10%计，</w:t>
            </w:r>
            <w:r>
              <w:rPr>
                <w:rFonts w:hint="eastAsia" w:ascii="Times New Roman" w:hAnsi="Times New Roman" w:eastAsia="宋体" w:cs="Times New Roman"/>
                <w:b w:val="0"/>
                <w:bCs w:val="0"/>
                <w:color w:val="auto"/>
                <w:sz w:val="24"/>
                <w:u w:val="none"/>
                <w:lang w:val="en-US" w:eastAsia="zh-CN"/>
              </w:rPr>
              <w:t>则</w:t>
            </w:r>
            <w:r>
              <w:rPr>
                <w:rFonts w:hint="default" w:ascii="Times New Roman" w:hAnsi="Times New Roman" w:eastAsia="宋体" w:cs="Times New Roman"/>
                <w:b w:val="0"/>
                <w:bCs w:val="0"/>
                <w:color w:val="auto"/>
                <w:sz w:val="24"/>
                <w:szCs w:val="24"/>
                <w:u w:val="none"/>
                <w:lang w:val="en-US" w:eastAsia="zh-CN"/>
              </w:rPr>
              <w:t>切割</w:t>
            </w:r>
            <w:r>
              <w:rPr>
                <w:rFonts w:hint="eastAsia" w:cs="Times New Roman"/>
                <w:b w:val="0"/>
                <w:bCs w:val="0"/>
                <w:color w:val="auto"/>
                <w:sz w:val="24"/>
                <w:szCs w:val="24"/>
                <w:u w:val="none"/>
                <w:lang w:val="en-US" w:eastAsia="zh-CN"/>
              </w:rPr>
              <w:t>颗粒物</w:t>
            </w:r>
            <w:r>
              <w:rPr>
                <w:rFonts w:hint="eastAsia" w:ascii="Times New Roman" w:hAnsi="Times New Roman" w:eastAsia="宋体" w:cs="Times New Roman"/>
                <w:color w:val="auto"/>
                <w:sz w:val="24"/>
                <w:lang w:eastAsia="zh-CN"/>
              </w:rPr>
              <w:t>无组织排放量为</w:t>
            </w:r>
            <w:r>
              <w:rPr>
                <w:rFonts w:hint="eastAsia" w:ascii="Times New Roman" w:hAnsi="Times New Roman" w:cs="Times New Roman"/>
                <w:color w:val="auto"/>
                <w:sz w:val="24"/>
                <w:lang w:val="en-US" w:eastAsia="zh-CN"/>
              </w:rPr>
              <w:t>0.064</w:t>
            </w:r>
            <w:r>
              <w:rPr>
                <w:rFonts w:hint="eastAsia"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fldChar w:fldCharType="begin"/>
            </w:r>
            <w:r>
              <w:rPr>
                <w:rFonts w:hint="default" w:ascii="Times New Roman" w:hAnsi="Times New Roman" w:eastAsia="宋体" w:cs="Times New Roman"/>
                <w:b/>
                <w:bCs/>
                <w:color w:val="auto"/>
                <w:sz w:val="24"/>
                <w:szCs w:val="24"/>
                <w:u w:val="none"/>
                <w:lang w:val="en-US" w:eastAsia="zh-CN"/>
              </w:rPr>
              <w:instrText xml:space="preserve"> = 2 \* GB3 \* MERGEFORMAT </w:instrText>
            </w:r>
            <w:r>
              <w:rPr>
                <w:rFonts w:hint="default" w:ascii="Times New Roman" w:hAnsi="Times New Roman" w:eastAsia="宋体" w:cs="Times New Roman"/>
                <w:b/>
                <w:bCs/>
                <w:color w:val="auto"/>
                <w:sz w:val="24"/>
                <w:szCs w:val="24"/>
                <w:u w:val="none"/>
                <w:lang w:val="en-US" w:eastAsia="zh-CN"/>
              </w:rPr>
              <w:fldChar w:fldCharType="separate"/>
            </w:r>
            <w:r>
              <w:rPr>
                <w:rFonts w:hint="default" w:ascii="Times New Roman" w:hAnsi="Times New Roman" w:cs="Times New Roman"/>
                <w:b/>
                <w:bCs/>
                <w:color w:val="auto"/>
                <w:sz w:val="24"/>
                <w:szCs w:val="24"/>
              </w:rPr>
              <w:t>②</w:t>
            </w:r>
            <w:r>
              <w:rPr>
                <w:rFonts w:hint="default" w:ascii="Times New Roman" w:hAnsi="Times New Roman" w:eastAsia="宋体" w:cs="Times New Roman"/>
                <w:b/>
                <w:bCs/>
                <w:color w:val="auto"/>
                <w:sz w:val="24"/>
                <w:szCs w:val="24"/>
                <w:u w:val="none"/>
                <w:lang w:val="en-US" w:eastAsia="zh-CN"/>
              </w:rPr>
              <w:fldChar w:fldCharType="end"/>
            </w:r>
            <w:r>
              <w:rPr>
                <w:rFonts w:hint="default" w:ascii="Times New Roman" w:hAnsi="Times New Roman" w:eastAsia="宋体" w:cs="Times New Roman"/>
                <w:b/>
                <w:bCs/>
                <w:color w:val="auto"/>
                <w:sz w:val="24"/>
                <w:szCs w:val="24"/>
                <w:u w:val="none"/>
                <w:lang w:val="en-US" w:eastAsia="zh-CN"/>
              </w:rPr>
              <w:t>焊接</w:t>
            </w:r>
            <w:r>
              <w:rPr>
                <w:rFonts w:hint="eastAsia" w:ascii="Times New Roman" w:hAnsi="Times New Roman" w:cs="Times New Roman"/>
                <w:b/>
                <w:bCs/>
                <w:color w:val="auto"/>
                <w:sz w:val="24"/>
                <w:szCs w:val="24"/>
                <w:u w:val="none"/>
                <w:lang w:val="en-US" w:eastAsia="zh-CN"/>
              </w:rPr>
              <w:t>抛光废气</w:t>
            </w:r>
          </w:p>
          <w:p>
            <w:pPr>
              <w:pStyle w:val="23"/>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480"/>
              <w:textAlignment w:val="auto"/>
              <w:rPr>
                <w:rFonts w:hint="default" w:ascii="Times New Roman" w:hAnsi="Times New Roman" w:eastAsia="宋体" w:cs="Times New Roman"/>
                <w:b w:val="0"/>
                <w:color w:val="auto"/>
                <w:sz w:val="24"/>
                <w:u w:val="none"/>
              </w:rPr>
            </w:pPr>
            <w:r>
              <w:rPr>
                <w:rFonts w:hint="default" w:ascii="Times New Roman" w:hAnsi="Times New Roman" w:eastAsia="宋体" w:cs="Times New Roman"/>
                <w:color w:val="auto"/>
                <w:sz w:val="24"/>
                <w:szCs w:val="24"/>
              </w:rPr>
              <w:t>本项目焊接</w:t>
            </w:r>
            <w:r>
              <w:rPr>
                <w:rFonts w:hint="eastAsia" w:ascii="Times New Roman" w:hAnsi="Times New Roman" w:cs="Times New Roman"/>
                <w:color w:val="auto"/>
                <w:sz w:val="24"/>
                <w:szCs w:val="24"/>
                <w:lang w:val="en-US" w:eastAsia="zh-CN"/>
              </w:rPr>
              <w:t>抛光</w:t>
            </w:r>
            <w:r>
              <w:rPr>
                <w:rFonts w:hint="default" w:ascii="Times New Roman" w:hAnsi="Times New Roman" w:eastAsia="宋体" w:cs="Times New Roman"/>
                <w:color w:val="auto"/>
                <w:sz w:val="24"/>
                <w:szCs w:val="24"/>
              </w:rPr>
              <w:t>工序会产生</w:t>
            </w:r>
            <w:r>
              <w:rPr>
                <w:rFonts w:hint="eastAsia" w:ascii="Times New Roman" w:hAnsi="Times New Roman" w:cs="Times New Roman"/>
                <w:color w:val="auto"/>
                <w:sz w:val="24"/>
                <w:szCs w:val="24"/>
                <w:lang w:val="en-US" w:eastAsia="zh-CN"/>
              </w:rPr>
              <w:t>一定量的废气，主要成分为颗粒物</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b w:val="0"/>
                <w:color w:val="auto"/>
                <w:sz w:val="24"/>
                <w:u w:val="none"/>
                <w:lang w:val="en-US" w:eastAsia="zh-CN"/>
              </w:rPr>
              <w:t>参照《第二次全国污染源普查产排污量核算系数手册》中的“</w:t>
            </w:r>
            <w:r>
              <w:rPr>
                <w:rFonts w:hint="default" w:ascii="Times New Roman" w:hAnsi="Times New Roman" w:eastAsia="宋体" w:cs="Times New Roman"/>
                <w:b w:val="0"/>
                <w:color w:val="auto"/>
                <w:sz w:val="24"/>
                <w:u w:val="none"/>
              </w:rPr>
              <w:t>2443 健身器材制造行业系数表</w:t>
            </w:r>
            <w:r>
              <w:rPr>
                <w:rFonts w:hint="eastAsia" w:ascii="Times New Roman" w:hAnsi="Times New Roman" w:cs="Times New Roman"/>
                <w:b w:val="0"/>
                <w:color w:val="auto"/>
                <w:sz w:val="24"/>
                <w:u w:val="none"/>
                <w:lang w:val="en-US" w:eastAsia="zh-CN"/>
              </w:rPr>
              <w:t>”</w:t>
            </w:r>
            <w:r>
              <w:rPr>
                <w:rFonts w:hint="default" w:ascii="Times New Roman" w:hAnsi="Times New Roman" w:eastAsia="宋体" w:cs="Times New Roman"/>
                <w:b w:val="0"/>
                <w:color w:val="auto"/>
                <w:sz w:val="24"/>
                <w:u w:val="none"/>
              </w:rPr>
              <w:t>，</w:t>
            </w:r>
            <w:r>
              <w:rPr>
                <w:rFonts w:hint="eastAsia" w:ascii="Times New Roman" w:hAnsi="Times New Roman" w:cs="Times New Roman"/>
                <w:b w:val="0"/>
                <w:color w:val="auto"/>
                <w:sz w:val="24"/>
                <w:u w:val="none"/>
                <w:lang w:val="en-US" w:eastAsia="zh-CN"/>
              </w:rPr>
              <w:t>焊接抛光</w:t>
            </w:r>
            <w:r>
              <w:rPr>
                <w:rFonts w:hint="default" w:ascii="Times New Roman" w:hAnsi="Times New Roman" w:eastAsia="宋体" w:cs="Times New Roman"/>
                <w:b w:val="0"/>
                <w:color w:val="auto"/>
                <w:sz w:val="24"/>
                <w:u w:val="none"/>
              </w:rPr>
              <w:t>废气中颗粒物的产</w:t>
            </w:r>
            <w:r>
              <w:rPr>
                <w:rFonts w:hint="default" w:ascii="Times New Roman" w:hAnsi="Times New Roman" w:eastAsia="宋体" w:cs="Times New Roman"/>
                <w:b w:val="0"/>
                <w:color w:val="auto"/>
                <w:sz w:val="24"/>
                <w:u w:val="none"/>
                <w:lang w:val="en-US" w:eastAsia="zh-CN"/>
              </w:rPr>
              <w:t>污</w:t>
            </w:r>
            <w:r>
              <w:rPr>
                <w:rFonts w:hint="default" w:ascii="Times New Roman" w:hAnsi="Times New Roman" w:eastAsia="宋体" w:cs="Times New Roman"/>
                <w:b w:val="0"/>
                <w:color w:val="auto"/>
                <w:sz w:val="24"/>
                <w:u w:val="none"/>
              </w:rPr>
              <w:t>系数为</w:t>
            </w:r>
            <w:r>
              <w:rPr>
                <w:rFonts w:hint="eastAsia" w:ascii="Times New Roman" w:hAnsi="Times New Roman" w:cs="Times New Roman"/>
                <w:b w:val="0"/>
                <w:color w:val="auto"/>
                <w:sz w:val="24"/>
                <w:u w:val="none"/>
                <w:lang w:val="en-US" w:eastAsia="zh-CN"/>
              </w:rPr>
              <w:t>0.78</w:t>
            </w:r>
            <w:r>
              <w:rPr>
                <w:rFonts w:hint="default" w:ascii="Times New Roman" w:hAnsi="Times New Roman" w:eastAsia="宋体" w:cs="Times New Roman"/>
                <w:b w:val="0"/>
                <w:color w:val="auto"/>
                <w:sz w:val="24"/>
                <w:u w:val="none"/>
              </w:rPr>
              <w:t>kg/t</w:t>
            </w:r>
            <w:r>
              <w:rPr>
                <w:rFonts w:hint="default" w:ascii="Times New Roman" w:hAnsi="Times New Roman" w:eastAsia="宋体" w:cs="Times New Roman"/>
                <w:b w:val="0"/>
                <w:color w:val="auto"/>
                <w:sz w:val="24"/>
                <w:u w:val="none"/>
                <w:lang w:val="en-US" w:eastAsia="zh-CN"/>
              </w:rPr>
              <w:t>原料</w:t>
            </w:r>
            <w:r>
              <w:rPr>
                <w:rFonts w:hint="default" w:ascii="Times New Roman" w:hAnsi="Times New Roman" w:eastAsia="宋体" w:cs="Times New Roman"/>
                <w:b w:val="0"/>
                <w:color w:val="auto"/>
                <w:sz w:val="24"/>
                <w:u w:val="none"/>
              </w:rPr>
              <w:t>。</w:t>
            </w:r>
            <w:r>
              <w:rPr>
                <w:rFonts w:hint="eastAsia" w:ascii="Times New Roman" w:hAnsi="Times New Roman" w:cs="Times New Roman"/>
                <w:color w:val="auto"/>
                <w:sz w:val="24"/>
                <w:szCs w:val="24"/>
                <w:lang w:val="en-US" w:eastAsia="zh-CN"/>
              </w:rPr>
              <w:t>其中本项目加工</w:t>
            </w:r>
            <w:r>
              <w:rPr>
                <w:rFonts w:hint="default" w:ascii="Times New Roman" w:hAnsi="Times New Roman" w:eastAsia="宋体" w:cs="Times New Roman"/>
                <w:color w:val="auto"/>
                <w:sz w:val="24"/>
                <w:szCs w:val="24"/>
                <w:lang w:val="en-GB"/>
              </w:rPr>
              <w:t>过程中</w:t>
            </w:r>
            <w:r>
              <w:rPr>
                <w:rFonts w:hint="default" w:ascii="Times New Roman" w:hAnsi="Times New Roman" w:eastAsia="宋体" w:cs="Times New Roman"/>
                <w:color w:val="auto"/>
                <w:sz w:val="24"/>
                <w:szCs w:val="24"/>
                <w:highlight w:val="none"/>
                <w:lang w:val="en-GB"/>
              </w:rPr>
              <w:t>焊丝</w:t>
            </w:r>
            <w:r>
              <w:rPr>
                <w:rFonts w:hint="eastAsia" w:ascii="Times New Roman" w:hAnsi="Times New Roman" w:eastAsia="宋体" w:cs="Times New Roman"/>
                <w:color w:val="auto"/>
                <w:sz w:val="24"/>
                <w:szCs w:val="24"/>
                <w:lang w:val="en-US" w:eastAsia="zh-CN"/>
              </w:rPr>
              <w:t>使用量为</w:t>
            </w:r>
            <w:r>
              <w:rPr>
                <w:rFonts w:hint="default" w:ascii="Times New Roman" w:hAnsi="Times New Roman" w:eastAsia="宋体" w:cs="Times New Roman"/>
                <w:color w:val="auto"/>
                <w:sz w:val="24"/>
                <w:szCs w:val="24"/>
                <w:lang w:val="en-US" w:eastAsia="zh-CN"/>
              </w:rPr>
              <w:t>1</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GB"/>
              </w:rPr>
              <w:t>t/a</w:t>
            </w:r>
            <w:r>
              <w:rPr>
                <w:rFonts w:hint="eastAsia" w:ascii="Times New Roman" w:hAnsi="Times New Roman" w:cs="Times New Roman"/>
                <w:color w:val="auto"/>
                <w:sz w:val="24"/>
                <w:szCs w:val="24"/>
                <w:lang w:val="en-GB" w:eastAsia="zh-CN"/>
              </w:rPr>
              <w:t>，</w:t>
            </w:r>
            <w:r>
              <w:rPr>
                <w:rFonts w:hint="eastAsia" w:ascii="Times New Roman" w:hAnsi="Times New Roman" w:cs="Times New Roman"/>
                <w:color w:val="auto"/>
                <w:sz w:val="24"/>
                <w:szCs w:val="24"/>
                <w:lang w:val="en-US" w:eastAsia="zh-CN"/>
              </w:rPr>
              <w:t>钢材</w:t>
            </w:r>
            <w:r>
              <w:rPr>
                <w:rFonts w:hint="eastAsia" w:ascii="Times New Roman" w:hAnsi="Times New Roman" w:cs="Times New Roman"/>
                <w:b w:val="0"/>
                <w:bCs w:val="0"/>
                <w:color w:val="auto"/>
                <w:sz w:val="24"/>
                <w:szCs w:val="24"/>
                <w:u w:val="none"/>
                <w:lang w:val="en-US" w:eastAsia="zh-CN"/>
              </w:rPr>
              <w:t>（钢管和铁板）用量为800t/a</w:t>
            </w:r>
            <w:r>
              <w:rPr>
                <w:rFonts w:hint="eastAsia" w:ascii="Times New Roman" w:hAnsi="Times New Roman" w:cs="Times New Roman"/>
                <w:color w:val="auto"/>
                <w:sz w:val="24"/>
                <w:szCs w:val="24"/>
                <w:lang w:val="en-GB" w:eastAsia="zh-CN"/>
              </w:rPr>
              <w:t>。</w:t>
            </w:r>
            <w:r>
              <w:rPr>
                <w:rFonts w:hint="eastAsia" w:ascii="Times New Roman" w:hAnsi="Times New Roman" w:cs="Times New Roman"/>
                <w:color w:val="auto"/>
                <w:sz w:val="24"/>
                <w:szCs w:val="24"/>
                <w:lang w:val="en-US" w:eastAsia="zh-CN"/>
              </w:rPr>
              <w:t>则焊接</w:t>
            </w:r>
            <w:r>
              <w:rPr>
                <w:rFonts w:hint="eastAsia" w:ascii="Times New Roman" w:hAnsi="Times New Roman" w:cs="Times New Roman"/>
                <w:b w:val="0"/>
                <w:color w:val="auto"/>
                <w:sz w:val="24"/>
                <w:u w:val="none"/>
                <w:lang w:val="en-US" w:eastAsia="zh-CN"/>
              </w:rPr>
              <w:t>抛光</w:t>
            </w:r>
            <w:r>
              <w:rPr>
                <w:rFonts w:hint="eastAsia" w:cs="Times New Roman"/>
                <w:b w:val="0"/>
                <w:bCs w:val="0"/>
                <w:color w:val="auto"/>
                <w:sz w:val="24"/>
                <w:szCs w:val="24"/>
                <w:u w:val="none"/>
                <w:lang w:val="en-US" w:eastAsia="zh-CN"/>
              </w:rPr>
              <w:t>颗粒物</w:t>
            </w:r>
            <w:r>
              <w:rPr>
                <w:rFonts w:hint="eastAsia" w:ascii="Times New Roman" w:hAnsi="Times New Roman" w:eastAsia="宋体" w:cs="Times New Roman"/>
                <w:b w:val="0"/>
                <w:bCs w:val="0"/>
                <w:color w:val="auto"/>
                <w:sz w:val="24"/>
                <w:szCs w:val="24"/>
                <w:u w:val="none"/>
                <w:lang w:val="en-US" w:eastAsia="zh-CN"/>
              </w:rPr>
              <w:t>产生量</w:t>
            </w:r>
            <w:r>
              <w:rPr>
                <w:rFonts w:hint="default" w:ascii="Times New Roman" w:hAnsi="Times New Roman" w:eastAsia="宋体" w:cs="Times New Roman"/>
                <w:b w:val="0"/>
                <w:color w:val="auto"/>
                <w:sz w:val="24"/>
                <w:u w:val="none"/>
              </w:rPr>
              <w:t>为</w:t>
            </w:r>
            <w:r>
              <w:rPr>
                <w:rFonts w:hint="eastAsia" w:ascii="Times New Roman" w:hAnsi="Times New Roman" w:cs="Times New Roman"/>
                <w:b w:val="0"/>
                <w:color w:val="auto"/>
                <w:sz w:val="24"/>
                <w:u w:val="none"/>
                <w:lang w:val="en-US" w:eastAsia="zh-CN"/>
              </w:rPr>
              <w:t>0.625</w:t>
            </w:r>
            <w:r>
              <w:rPr>
                <w:rFonts w:hint="default" w:ascii="Times New Roman" w:hAnsi="Times New Roman" w:eastAsia="宋体" w:cs="Times New Roman"/>
                <w:b w:val="0"/>
                <w:color w:val="auto"/>
                <w:sz w:val="24"/>
                <w:u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pacing w:val="0"/>
                <w:kern w:val="2"/>
                <w:sz w:val="24"/>
                <w:szCs w:val="22"/>
                <w:u w:val="none"/>
                <w:lang w:val="en-US" w:eastAsia="zh-CN" w:bidi="ar-SA"/>
              </w:rPr>
              <w:t>评价</w:t>
            </w:r>
            <w:r>
              <w:rPr>
                <w:rFonts w:hint="default" w:ascii="Times New Roman" w:hAnsi="Times New Roman" w:eastAsia="宋体" w:cs="Times New Roman"/>
                <w:b w:val="0"/>
                <w:bCs w:val="0"/>
                <w:color w:val="auto"/>
                <w:sz w:val="24"/>
                <w:u w:val="none"/>
              </w:rPr>
              <w:t>要求</w:t>
            </w:r>
            <w:r>
              <w:rPr>
                <w:rFonts w:hint="eastAsia" w:ascii="Times New Roman" w:hAnsi="Times New Roman" w:cs="Times New Roman"/>
                <w:b w:val="0"/>
                <w:bCs w:val="0"/>
                <w:color w:val="auto"/>
                <w:sz w:val="24"/>
                <w:u w:val="none"/>
                <w:lang w:val="en-US" w:eastAsia="zh-CN"/>
              </w:rPr>
              <w:t>焊接抛光</w:t>
            </w:r>
            <w:r>
              <w:rPr>
                <w:rFonts w:hint="eastAsia" w:ascii="Times New Roman" w:hAnsi="Times New Roman" w:eastAsia="宋体" w:cs="Times New Roman"/>
                <w:color w:val="auto"/>
                <w:sz w:val="24"/>
                <w:lang w:val="en-US" w:eastAsia="zh-CN"/>
              </w:rPr>
              <w:t>工位</w:t>
            </w:r>
            <w:r>
              <w:rPr>
                <w:rFonts w:hint="default" w:ascii="Times New Roman" w:hAnsi="Times New Roman" w:eastAsia="宋体" w:cs="Times New Roman"/>
                <w:b w:val="0"/>
                <w:bCs w:val="0"/>
                <w:color w:val="auto"/>
                <w:sz w:val="24"/>
                <w:u w:val="none"/>
                <w:lang w:val="en-US" w:eastAsia="zh-CN"/>
              </w:rPr>
              <w:t>集中设置，</w:t>
            </w:r>
            <w:r>
              <w:rPr>
                <w:rFonts w:hint="default" w:ascii="Times New Roman" w:hAnsi="Times New Roman" w:eastAsia="宋体" w:cs="Times New Roman"/>
                <w:b w:val="0"/>
                <w:bCs w:val="0"/>
                <w:color w:val="auto"/>
                <w:kern w:val="0"/>
                <w:sz w:val="24"/>
                <w:szCs w:val="24"/>
                <w:highlight w:val="none"/>
                <w:u w:val="none"/>
                <w:lang w:val="en-US" w:eastAsia="zh-CN"/>
              </w:rPr>
              <w:t>在</w:t>
            </w:r>
            <w:r>
              <w:rPr>
                <w:rFonts w:hint="eastAsia" w:ascii="Times New Roman" w:hAnsi="Times New Roman" w:eastAsia="宋体" w:cs="Times New Roman"/>
                <w:color w:val="auto"/>
                <w:sz w:val="24"/>
                <w:lang w:val="en-US" w:eastAsia="zh-CN"/>
              </w:rPr>
              <w:t>工位</w:t>
            </w:r>
            <w:r>
              <w:rPr>
                <w:rFonts w:hint="default" w:ascii="Times New Roman" w:hAnsi="Times New Roman" w:eastAsia="宋体" w:cs="Times New Roman"/>
                <w:b w:val="0"/>
                <w:bCs w:val="0"/>
                <w:color w:val="auto"/>
                <w:kern w:val="0"/>
                <w:sz w:val="24"/>
                <w:szCs w:val="24"/>
                <w:highlight w:val="none"/>
                <w:u w:val="none"/>
                <w:lang w:val="en-US" w:eastAsia="zh-CN"/>
              </w:rPr>
              <w:t>上方均设置集气罩对废气进行收集，废气收集后</w:t>
            </w:r>
            <w:r>
              <w:rPr>
                <w:rFonts w:hint="default" w:ascii="Times New Roman" w:hAnsi="Times New Roman" w:eastAsia="宋体" w:cs="Times New Roman"/>
                <w:b w:val="0"/>
                <w:bCs w:val="0"/>
                <w:color w:val="auto"/>
                <w:sz w:val="24"/>
                <w:u w:val="none"/>
              </w:rPr>
              <w:t>经管道连接</w:t>
            </w:r>
            <w:r>
              <w:rPr>
                <w:rFonts w:hint="default" w:ascii="Times New Roman" w:hAnsi="Times New Roman" w:eastAsia="宋体" w:cs="Times New Roman"/>
                <w:b w:val="0"/>
                <w:bCs w:val="0"/>
                <w:color w:val="auto"/>
                <w:sz w:val="24"/>
                <w:u w:val="none"/>
                <w:lang w:val="en-US" w:eastAsia="zh-CN"/>
              </w:rPr>
              <w:t>至</w:t>
            </w:r>
            <w:r>
              <w:rPr>
                <w:rFonts w:hint="default" w:ascii="Times New Roman" w:hAnsi="Times New Roman" w:eastAsia="宋体" w:cs="Times New Roman"/>
                <w:b w:val="0"/>
                <w:bCs w:val="0"/>
                <w:color w:val="auto"/>
                <w:sz w:val="24"/>
                <w:u w:val="none"/>
              </w:rPr>
              <w:t>1套袋</w:t>
            </w:r>
            <w:r>
              <w:rPr>
                <w:rFonts w:hint="default" w:ascii="Times New Roman" w:hAnsi="Times New Roman" w:eastAsia="宋体" w:cs="Times New Roman"/>
                <w:b w:val="0"/>
                <w:bCs w:val="0"/>
                <w:color w:val="auto"/>
                <w:sz w:val="24"/>
                <w:u w:val="none"/>
                <w:lang w:val="en-US" w:eastAsia="zh-CN"/>
              </w:rPr>
              <w:t>式</w:t>
            </w:r>
            <w:r>
              <w:rPr>
                <w:rFonts w:hint="default" w:ascii="Times New Roman" w:hAnsi="Times New Roman" w:eastAsia="宋体" w:cs="Times New Roman"/>
                <w:b w:val="0"/>
                <w:bCs w:val="0"/>
                <w:color w:val="auto"/>
                <w:sz w:val="24"/>
                <w:u w:val="none"/>
              </w:rPr>
              <w:t>除尘器</w:t>
            </w:r>
            <w:r>
              <w:rPr>
                <w:rFonts w:hint="eastAsia" w:ascii="Times New Roman" w:hAnsi="Times New Roman" w:eastAsia="宋体" w:cs="Times New Roman"/>
                <w:color w:val="auto"/>
                <w:sz w:val="24"/>
                <w:lang w:val="en-US" w:eastAsia="zh-CN"/>
              </w:rPr>
              <w:t>进行</w:t>
            </w:r>
            <w:r>
              <w:rPr>
                <w:rFonts w:hint="default" w:ascii="Times New Roman" w:hAnsi="Times New Roman" w:eastAsia="宋体" w:cs="Times New Roman"/>
                <w:b w:val="0"/>
                <w:bCs w:val="0"/>
                <w:color w:val="auto"/>
                <w:sz w:val="24"/>
                <w:u w:val="none"/>
              </w:rPr>
              <w:t>处理，</w:t>
            </w:r>
            <w:r>
              <w:rPr>
                <w:rFonts w:hint="default" w:ascii="Times New Roman" w:hAnsi="Times New Roman" w:eastAsia="宋体" w:cs="Times New Roman"/>
                <w:b w:val="0"/>
                <w:bCs w:val="0"/>
                <w:color w:val="auto"/>
                <w:sz w:val="24"/>
                <w:u w:val="none"/>
                <w:lang w:val="en-US" w:eastAsia="zh-CN"/>
              </w:rPr>
              <w:t>处理后</w:t>
            </w:r>
            <w:r>
              <w:rPr>
                <w:rFonts w:hint="eastAsia" w:ascii="Times New Roman" w:hAnsi="Times New Roman" w:eastAsia="宋体" w:cs="Times New Roman"/>
                <w:b w:val="0"/>
                <w:bCs w:val="0"/>
                <w:color w:val="auto"/>
                <w:sz w:val="24"/>
                <w:u w:val="none"/>
                <w:lang w:val="en-US" w:eastAsia="zh-CN"/>
              </w:rPr>
              <w:t>由</w:t>
            </w:r>
            <w:r>
              <w:rPr>
                <w:rFonts w:hint="default" w:ascii="Times New Roman" w:hAnsi="Times New Roman" w:eastAsia="宋体" w:cs="Times New Roman"/>
                <w:b w:val="0"/>
                <w:bCs w:val="0"/>
                <w:color w:val="auto"/>
                <w:sz w:val="24"/>
                <w:u w:val="none"/>
              </w:rPr>
              <w:t>1根15m高排气筒排放</w:t>
            </w:r>
            <w:r>
              <w:rPr>
                <w:rFonts w:hint="eastAsia" w:ascii="Times New Roman" w:hAnsi="Times New Roman" w:eastAsia="宋体" w:cs="Times New Roman"/>
                <w:b w:val="0"/>
                <w:bCs w:val="0"/>
                <w:color w:val="auto"/>
                <w:sz w:val="24"/>
                <w:u w:val="none"/>
                <w:lang w:eastAsia="zh-CN"/>
              </w:rPr>
              <w:t>（</w:t>
            </w:r>
            <w:r>
              <w:rPr>
                <w:rFonts w:hint="eastAsia" w:ascii="Times New Roman" w:hAnsi="Times New Roman" w:eastAsia="宋体" w:cs="Times New Roman"/>
                <w:b w:val="0"/>
                <w:bCs w:val="0"/>
                <w:color w:val="auto"/>
                <w:sz w:val="24"/>
                <w:u w:val="none"/>
                <w:lang w:val="en-US" w:eastAsia="zh-CN"/>
              </w:rPr>
              <w:t>DA001</w:t>
            </w:r>
            <w:r>
              <w:rPr>
                <w:rFonts w:hint="eastAsia" w:ascii="Times New Roman" w:hAnsi="Times New Roman" w:eastAsia="宋体" w:cs="Times New Roman"/>
                <w:b w:val="0"/>
                <w:bCs w:val="0"/>
                <w:color w:val="auto"/>
                <w:sz w:val="24"/>
                <w:u w:val="none"/>
                <w:lang w:eastAsia="zh-CN"/>
              </w:rPr>
              <w:t>）</w:t>
            </w:r>
            <w:r>
              <w:rPr>
                <w:rFonts w:hint="eastAsia" w:ascii="Times New Roman" w:hAnsi="Times New Roman" w:eastAsia="宋体" w:cs="Times New Roman"/>
                <w:color w:val="auto"/>
                <w:sz w:val="24"/>
                <w:lang w:val="en-US" w:eastAsia="zh-CN"/>
              </w:rPr>
              <w:t>。废气的收集效率</w:t>
            </w:r>
            <w:r>
              <w:rPr>
                <w:rFonts w:hint="default" w:ascii="Times New Roman" w:hAnsi="Times New Roman" w:eastAsia="宋体" w:cs="Times New Roman"/>
                <w:b w:val="0"/>
                <w:bCs w:val="0"/>
                <w:color w:val="auto"/>
                <w:kern w:val="0"/>
                <w:sz w:val="24"/>
                <w:szCs w:val="24"/>
                <w:highlight w:val="none"/>
                <w:u w:val="none"/>
                <w:lang w:val="en-US" w:eastAsia="zh-CN"/>
              </w:rPr>
              <w:t>按90%计，</w:t>
            </w:r>
            <w:r>
              <w:rPr>
                <w:rFonts w:hint="eastAsia" w:ascii="Times New Roman" w:hAnsi="Times New Roman" w:cs="Times New Roman"/>
                <w:b w:val="0"/>
                <w:bCs w:val="0"/>
                <w:color w:val="auto"/>
                <w:sz w:val="24"/>
                <w:u w:val="none"/>
                <w:lang w:val="en-US" w:eastAsia="zh-CN"/>
              </w:rPr>
              <w:t>则该工序焊接抛光</w:t>
            </w:r>
            <w:r>
              <w:rPr>
                <w:rFonts w:hint="eastAsia" w:cs="Times New Roman"/>
                <w:b w:val="0"/>
                <w:bCs w:val="0"/>
                <w:color w:val="auto"/>
                <w:sz w:val="24"/>
                <w:u w:val="none"/>
                <w:lang w:val="en-US" w:eastAsia="zh-CN"/>
              </w:rPr>
              <w:t>颗粒物</w:t>
            </w:r>
            <w:r>
              <w:rPr>
                <w:rFonts w:hint="eastAsia" w:ascii="Times New Roman" w:hAnsi="Times New Roman" w:cs="Times New Roman"/>
                <w:b w:val="0"/>
                <w:bCs w:val="0"/>
                <w:color w:val="auto"/>
                <w:sz w:val="24"/>
                <w:u w:val="none"/>
                <w:lang w:val="en-US" w:eastAsia="zh-CN"/>
              </w:rPr>
              <w:t>有组织产生量为0.563t/a。</w:t>
            </w:r>
            <w:r>
              <w:rPr>
                <w:rFonts w:hint="default" w:ascii="Times New Roman" w:hAnsi="Times New Roman" w:eastAsia="宋体" w:cs="Times New Roman"/>
                <w:color w:val="auto"/>
                <w:kern w:val="0"/>
                <w:sz w:val="24"/>
                <w:szCs w:val="24"/>
              </w:rPr>
              <w:t>袋式</w:t>
            </w:r>
            <w:r>
              <w:rPr>
                <w:rFonts w:hint="default" w:ascii="Times New Roman" w:hAnsi="Times New Roman" w:eastAsia="宋体" w:cs="Times New Roman"/>
                <w:color w:val="auto"/>
                <w:sz w:val="24"/>
              </w:rPr>
              <w:t>除尘器除尘效率按9</w:t>
            </w:r>
            <w:r>
              <w:rPr>
                <w:rFonts w:hint="default"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%计</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经</w:t>
            </w:r>
            <w:r>
              <w:rPr>
                <w:rFonts w:hint="eastAsia" w:ascii="Times New Roman" w:hAnsi="Times New Roman" w:eastAsia="宋体" w:cs="Times New Roman"/>
                <w:color w:val="auto"/>
                <w:sz w:val="24"/>
                <w:lang w:val="en-US" w:eastAsia="zh-CN"/>
              </w:rPr>
              <w:t>处理后，</w:t>
            </w:r>
            <w:r>
              <w:rPr>
                <w:rFonts w:hint="eastAsia" w:ascii="Times New Roman" w:hAnsi="Times New Roman" w:cs="Times New Roman"/>
                <w:color w:val="auto"/>
                <w:sz w:val="24"/>
                <w:lang w:val="en-US" w:eastAsia="zh-CN"/>
              </w:rPr>
              <w:t>焊接抛光</w:t>
            </w:r>
            <w:r>
              <w:rPr>
                <w:rFonts w:hint="eastAsia" w:cs="Times New Roman"/>
                <w:b w:val="0"/>
                <w:bCs w:val="0"/>
                <w:color w:val="auto"/>
                <w:sz w:val="24"/>
                <w:szCs w:val="24"/>
                <w:u w:val="none"/>
                <w:lang w:val="en-US" w:eastAsia="zh-CN"/>
              </w:rPr>
              <w:t>颗粒物</w:t>
            </w:r>
            <w:r>
              <w:rPr>
                <w:rFonts w:hint="eastAsia" w:ascii="Times New Roman" w:hAnsi="Times New Roman" w:eastAsia="宋体" w:cs="Times New Roman"/>
                <w:b w:val="0"/>
                <w:bCs w:val="0"/>
                <w:color w:val="auto"/>
                <w:sz w:val="24"/>
                <w:szCs w:val="24"/>
                <w:u w:val="none"/>
                <w:lang w:val="en-US" w:eastAsia="zh-CN"/>
              </w:rPr>
              <w:t>有组织</w:t>
            </w:r>
            <w:r>
              <w:rPr>
                <w:rFonts w:hint="eastAsia" w:ascii="Times New Roman" w:hAnsi="Times New Roman" w:eastAsia="宋体" w:cs="Times New Roman"/>
                <w:color w:val="auto"/>
                <w:sz w:val="24"/>
                <w:lang w:val="en-US" w:eastAsia="zh-CN"/>
              </w:rPr>
              <w:t>排放量为0.00563t/a。</w:t>
            </w:r>
          </w:p>
          <w:p>
            <w:pPr>
              <w:pStyle w:val="23"/>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48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u w:val="none"/>
                <w:lang w:val="en-US" w:eastAsia="zh-CN"/>
              </w:rPr>
              <w:t>无组织排放按10%计，</w:t>
            </w:r>
            <w:r>
              <w:rPr>
                <w:rFonts w:hint="eastAsia" w:ascii="Times New Roman" w:hAnsi="Times New Roman" w:eastAsia="宋体" w:cs="Times New Roman"/>
                <w:b w:val="0"/>
                <w:bCs w:val="0"/>
                <w:color w:val="auto"/>
                <w:sz w:val="24"/>
                <w:u w:val="none"/>
                <w:lang w:val="en-US" w:eastAsia="zh-CN"/>
              </w:rPr>
              <w:t>则</w:t>
            </w:r>
            <w:r>
              <w:rPr>
                <w:rFonts w:hint="eastAsia" w:ascii="Times New Roman" w:hAnsi="Times New Roman" w:cs="Times New Roman"/>
                <w:b w:val="0"/>
                <w:bCs w:val="0"/>
                <w:color w:val="auto"/>
                <w:sz w:val="24"/>
                <w:szCs w:val="24"/>
                <w:u w:val="none"/>
                <w:lang w:val="en-US" w:eastAsia="zh-CN"/>
              </w:rPr>
              <w:t>焊接抛光</w:t>
            </w:r>
            <w:r>
              <w:rPr>
                <w:rFonts w:hint="eastAsia" w:cs="Times New Roman"/>
                <w:b w:val="0"/>
                <w:bCs w:val="0"/>
                <w:color w:val="auto"/>
                <w:sz w:val="24"/>
                <w:szCs w:val="24"/>
                <w:u w:val="none"/>
                <w:lang w:val="en-US" w:eastAsia="zh-CN"/>
              </w:rPr>
              <w:t>颗粒物</w:t>
            </w:r>
            <w:r>
              <w:rPr>
                <w:rFonts w:hint="eastAsia" w:ascii="Times New Roman" w:hAnsi="Times New Roman" w:eastAsia="宋体" w:cs="Times New Roman"/>
                <w:color w:val="auto"/>
                <w:sz w:val="24"/>
                <w:lang w:eastAsia="zh-CN"/>
              </w:rPr>
              <w:t>无组织排放量为</w:t>
            </w:r>
            <w:r>
              <w:rPr>
                <w:rFonts w:hint="eastAsia" w:ascii="Times New Roman" w:hAnsi="Times New Roman" w:eastAsia="宋体" w:cs="Times New Roman"/>
                <w:color w:val="auto"/>
                <w:sz w:val="24"/>
                <w:lang w:val="en-US" w:eastAsia="zh-CN"/>
              </w:rPr>
              <w:t>0.0</w:t>
            </w:r>
            <w:r>
              <w:rPr>
                <w:rFonts w:hint="eastAsia" w:ascii="Times New Roman" w:hAnsi="Times New Roman" w:cs="Times New Roman"/>
                <w:color w:val="auto"/>
                <w:sz w:val="24"/>
                <w:lang w:val="en-US" w:eastAsia="zh-CN"/>
              </w:rPr>
              <w:t>625</w:t>
            </w:r>
            <w:r>
              <w:rPr>
                <w:rFonts w:hint="eastAsia"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66" w:firstLineChars="200"/>
              <w:textAlignment w:val="auto"/>
              <w:rPr>
                <w:rFonts w:hint="eastAsia" w:ascii="Times New Roman" w:hAnsi="Times New Roman" w:eastAsia="宋体" w:cs="Times New Roman"/>
                <w:b/>
                <w:bCs/>
                <w:color w:val="auto"/>
                <w:spacing w:val="-4"/>
                <w:sz w:val="24"/>
                <w:szCs w:val="22"/>
                <w:u w:val="none"/>
                <w:lang w:val="en-US" w:eastAsia="zh-CN"/>
              </w:rPr>
            </w:pPr>
            <w:r>
              <w:rPr>
                <w:rFonts w:hint="eastAsia" w:ascii="Times New Roman" w:hAnsi="Times New Roman" w:eastAsia="宋体" w:cs="Times New Roman"/>
                <w:b/>
                <w:bCs/>
                <w:color w:val="auto"/>
                <w:spacing w:val="-4"/>
                <w:sz w:val="24"/>
                <w:szCs w:val="22"/>
                <w:u w:val="none"/>
                <w:lang w:val="en-US" w:eastAsia="zh-CN"/>
              </w:rPr>
              <w:fldChar w:fldCharType="begin"/>
            </w:r>
            <w:r>
              <w:rPr>
                <w:rFonts w:hint="eastAsia" w:ascii="Times New Roman" w:hAnsi="Times New Roman" w:eastAsia="宋体" w:cs="Times New Roman"/>
                <w:b/>
                <w:bCs/>
                <w:color w:val="auto"/>
                <w:spacing w:val="-4"/>
                <w:sz w:val="24"/>
                <w:szCs w:val="22"/>
                <w:u w:val="none"/>
                <w:lang w:val="en-US" w:eastAsia="zh-CN"/>
              </w:rPr>
              <w:instrText xml:space="preserve"> = 4 \* GB3 \* MERGEFORMAT </w:instrText>
            </w:r>
            <w:r>
              <w:rPr>
                <w:rFonts w:hint="eastAsia" w:ascii="Times New Roman" w:hAnsi="Times New Roman" w:eastAsia="宋体" w:cs="Times New Roman"/>
                <w:b/>
                <w:bCs/>
                <w:color w:val="auto"/>
                <w:spacing w:val="-4"/>
                <w:sz w:val="24"/>
                <w:szCs w:val="22"/>
                <w:u w:val="none"/>
                <w:lang w:val="en-US" w:eastAsia="zh-CN"/>
              </w:rPr>
              <w:fldChar w:fldCharType="separate"/>
            </w:r>
            <w:r>
              <w:rPr>
                <w:b/>
                <w:bCs/>
                <w:color w:val="auto"/>
              </w:rPr>
              <w:t>④</w:t>
            </w:r>
            <w:r>
              <w:rPr>
                <w:rFonts w:hint="eastAsia" w:ascii="Times New Roman" w:hAnsi="Times New Roman" w:eastAsia="宋体" w:cs="Times New Roman"/>
                <w:b/>
                <w:bCs/>
                <w:color w:val="auto"/>
                <w:spacing w:val="-4"/>
                <w:sz w:val="24"/>
                <w:szCs w:val="22"/>
                <w:u w:val="none"/>
                <w:lang w:val="en-US" w:eastAsia="zh-CN"/>
              </w:rPr>
              <w:fldChar w:fldCharType="end"/>
            </w:r>
            <w:r>
              <w:rPr>
                <w:rFonts w:hint="eastAsia" w:ascii="Times New Roman" w:hAnsi="Times New Roman" w:eastAsia="宋体" w:cs="Times New Roman"/>
                <w:b/>
                <w:bCs/>
                <w:color w:val="auto"/>
                <w:spacing w:val="-4"/>
                <w:sz w:val="24"/>
                <w:szCs w:val="22"/>
                <w:u w:val="none"/>
                <w:lang w:val="en-US" w:eastAsia="zh-CN"/>
              </w:rPr>
              <w:t>喷塑</w:t>
            </w:r>
            <w:r>
              <w:rPr>
                <w:rFonts w:hint="eastAsia" w:cs="Times New Roman"/>
                <w:b/>
                <w:bCs/>
                <w:color w:val="auto"/>
                <w:spacing w:val="-4"/>
                <w:sz w:val="24"/>
                <w:szCs w:val="22"/>
                <w:u w:val="none"/>
                <w:lang w:val="en-US" w:eastAsia="zh-CN"/>
              </w:rPr>
              <w:t>颗粒物</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64" w:firstLineChars="200"/>
              <w:textAlignment w:val="auto"/>
              <w:rPr>
                <w:rFonts w:hint="eastAsia" w:ascii="Times New Roman" w:hAnsi="Times New Roman" w:eastAsia="宋体" w:cs="Times New Roman"/>
                <w:b w:val="0"/>
                <w:bCs w:val="0"/>
                <w:color w:val="auto"/>
                <w:spacing w:val="-4"/>
                <w:sz w:val="24"/>
                <w:szCs w:val="22"/>
                <w:u w:val="none"/>
                <w:lang w:val="en-US" w:eastAsia="zh-CN"/>
              </w:rPr>
            </w:pPr>
            <w:r>
              <w:rPr>
                <w:rFonts w:hint="default" w:ascii="Times New Roman" w:hAnsi="Times New Roman" w:eastAsia="宋体" w:cs="Times New Roman"/>
                <w:b w:val="0"/>
                <w:bCs w:val="0"/>
                <w:color w:val="auto"/>
                <w:spacing w:val="-4"/>
                <w:sz w:val="24"/>
                <w:szCs w:val="22"/>
                <w:u w:val="none"/>
                <w:lang w:val="en-US" w:eastAsia="zh-CN"/>
              </w:rPr>
              <w:t>本项目喷塑采用静电喷涂原理，使工件表面形成粉末涂层。粉末喷涂过程使用专用的塑粉，主要成分</w:t>
            </w:r>
            <w:r>
              <w:rPr>
                <w:rFonts w:hint="eastAsia" w:ascii="Times New Roman" w:hAnsi="Times New Roman" w:eastAsia="宋体" w:cs="Times New Roman"/>
                <w:b w:val="0"/>
                <w:bCs w:val="0"/>
                <w:color w:val="auto"/>
                <w:spacing w:val="-4"/>
                <w:sz w:val="24"/>
                <w:szCs w:val="22"/>
                <w:u w:val="none"/>
                <w:lang w:val="en-US" w:eastAsia="zh-CN"/>
              </w:rPr>
              <w:t>为环氧树脂。项目静电喷涂是在独立密闭的喷房内进行，粉末喷涂工序中产生的污染物主要是</w:t>
            </w:r>
            <w:r>
              <w:rPr>
                <w:rFonts w:hint="eastAsia" w:cs="Times New Roman"/>
                <w:b w:val="0"/>
                <w:bCs w:val="0"/>
                <w:color w:val="auto"/>
                <w:spacing w:val="-4"/>
                <w:sz w:val="24"/>
                <w:szCs w:val="22"/>
                <w:u w:val="none"/>
                <w:lang w:val="en-US" w:eastAsia="zh-CN"/>
              </w:rPr>
              <w:t>颗粒物</w:t>
            </w:r>
            <w:r>
              <w:rPr>
                <w:rFonts w:hint="eastAsia" w:ascii="Times New Roman" w:hAnsi="Times New Roman" w:eastAsia="宋体" w:cs="Times New Roman"/>
                <w:b w:val="0"/>
                <w:bCs w:val="0"/>
                <w:color w:val="auto"/>
                <w:spacing w:val="-4"/>
                <w:sz w:val="24"/>
                <w:szCs w:val="22"/>
                <w:u w:val="none"/>
                <w:lang w:val="en-US" w:eastAsia="zh-CN"/>
              </w:rPr>
              <w:t>。</w:t>
            </w:r>
            <w:r>
              <w:rPr>
                <w:rFonts w:hint="eastAsia" w:ascii="Times New Roman" w:hAnsi="Times New Roman" w:cs="Times New Roman"/>
                <w:b w:val="0"/>
                <w:color w:val="auto"/>
                <w:sz w:val="24"/>
                <w:u w:val="none"/>
                <w:lang w:val="en-US" w:eastAsia="zh-CN"/>
              </w:rPr>
              <w:t>参照《第二次全国污染源普查产排污量核算系数手册》中的“</w:t>
            </w:r>
            <w:r>
              <w:rPr>
                <w:rFonts w:hint="default" w:ascii="Times New Roman" w:hAnsi="Times New Roman" w:eastAsia="宋体" w:cs="Times New Roman"/>
                <w:b w:val="0"/>
                <w:color w:val="auto"/>
                <w:sz w:val="24"/>
                <w:u w:val="none"/>
              </w:rPr>
              <w:t>2443 健身器材制造行业系数表</w:t>
            </w:r>
            <w:r>
              <w:rPr>
                <w:rFonts w:hint="eastAsia" w:ascii="Times New Roman" w:hAnsi="Times New Roman" w:cs="Times New Roman"/>
                <w:b w:val="0"/>
                <w:color w:val="auto"/>
                <w:sz w:val="24"/>
                <w:u w:val="none"/>
                <w:lang w:val="en-US" w:eastAsia="zh-CN"/>
              </w:rPr>
              <w:t>”</w:t>
            </w:r>
            <w:r>
              <w:rPr>
                <w:rFonts w:hint="default" w:ascii="Times New Roman" w:hAnsi="Times New Roman" w:eastAsia="宋体" w:cs="Times New Roman"/>
                <w:b w:val="0"/>
                <w:color w:val="auto"/>
                <w:sz w:val="24"/>
                <w:u w:val="none"/>
              </w:rPr>
              <w:t>，</w:t>
            </w:r>
            <w:r>
              <w:rPr>
                <w:rFonts w:hint="eastAsia" w:ascii="Times New Roman" w:hAnsi="Times New Roman" w:eastAsia="宋体" w:cs="Times New Roman"/>
                <w:b w:val="0"/>
                <w:color w:val="auto"/>
                <w:sz w:val="24"/>
                <w:u w:val="none"/>
                <w:lang w:val="en-US" w:eastAsia="zh-CN"/>
              </w:rPr>
              <w:t>喷塑</w:t>
            </w:r>
            <w:r>
              <w:rPr>
                <w:rFonts w:hint="default" w:ascii="Times New Roman" w:hAnsi="Times New Roman" w:eastAsia="宋体" w:cs="Times New Roman"/>
                <w:b w:val="0"/>
                <w:color w:val="auto"/>
                <w:sz w:val="24"/>
                <w:u w:val="none"/>
              </w:rPr>
              <w:t>废气中颗粒物的产</w:t>
            </w:r>
            <w:r>
              <w:rPr>
                <w:rFonts w:hint="default" w:ascii="Times New Roman" w:hAnsi="Times New Roman" w:eastAsia="宋体" w:cs="Times New Roman"/>
                <w:b w:val="0"/>
                <w:color w:val="auto"/>
                <w:sz w:val="24"/>
                <w:u w:val="none"/>
                <w:lang w:val="en-US" w:eastAsia="zh-CN"/>
              </w:rPr>
              <w:t>污</w:t>
            </w:r>
            <w:r>
              <w:rPr>
                <w:rFonts w:hint="default" w:ascii="Times New Roman" w:hAnsi="Times New Roman" w:eastAsia="宋体" w:cs="Times New Roman"/>
                <w:b w:val="0"/>
                <w:color w:val="auto"/>
                <w:sz w:val="24"/>
                <w:u w:val="none"/>
              </w:rPr>
              <w:t>系数为</w:t>
            </w:r>
            <w:r>
              <w:rPr>
                <w:rFonts w:hint="eastAsia" w:ascii="Times New Roman" w:hAnsi="Times New Roman" w:eastAsia="宋体" w:cs="Times New Roman"/>
                <w:b w:val="0"/>
                <w:color w:val="auto"/>
                <w:sz w:val="24"/>
                <w:u w:val="none"/>
                <w:lang w:val="en-US" w:eastAsia="zh-CN"/>
              </w:rPr>
              <w:t>20.8</w:t>
            </w:r>
            <w:r>
              <w:rPr>
                <w:rFonts w:hint="default" w:ascii="Times New Roman" w:hAnsi="Times New Roman" w:eastAsia="宋体" w:cs="Times New Roman"/>
                <w:b w:val="0"/>
                <w:color w:val="auto"/>
                <w:sz w:val="24"/>
                <w:u w:val="none"/>
              </w:rPr>
              <w:t>kg/t</w:t>
            </w:r>
            <w:r>
              <w:rPr>
                <w:rFonts w:hint="default" w:ascii="Times New Roman" w:hAnsi="Times New Roman" w:eastAsia="宋体" w:cs="Times New Roman"/>
                <w:b w:val="0"/>
                <w:color w:val="auto"/>
                <w:sz w:val="24"/>
                <w:u w:val="none"/>
                <w:lang w:val="en-US" w:eastAsia="zh-CN"/>
              </w:rPr>
              <w:t>原料</w:t>
            </w:r>
            <w:r>
              <w:rPr>
                <w:rFonts w:hint="default" w:ascii="Times New Roman" w:hAnsi="Times New Roman" w:eastAsia="宋体" w:cs="Times New Roman"/>
                <w:b w:val="0"/>
                <w:color w:val="auto"/>
                <w:sz w:val="24"/>
                <w:u w:val="none"/>
              </w:rPr>
              <w:t>。</w:t>
            </w:r>
            <w:r>
              <w:rPr>
                <w:rFonts w:hint="eastAsia" w:ascii="Times New Roman" w:hAnsi="Times New Roman" w:eastAsia="宋体" w:cs="Times New Roman"/>
                <w:b w:val="0"/>
                <w:bCs w:val="0"/>
                <w:color w:val="auto"/>
                <w:spacing w:val="-4"/>
                <w:sz w:val="24"/>
                <w:szCs w:val="22"/>
                <w:u w:val="none"/>
                <w:lang w:val="en-US" w:eastAsia="zh-CN"/>
              </w:rPr>
              <w:t>本项目塑粉用量为10t/a，则</w:t>
            </w:r>
            <w:r>
              <w:rPr>
                <w:rFonts w:hint="eastAsia" w:cs="Times New Roman"/>
                <w:b w:val="0"/>
                <w:bCs w:val="0"/>
                <w:color w:val="auto"/>
                <w:spacing w:val="-4"/>
                <w:sz w:val="24"/>
                <w:szCs w:val="22"/>
                <w:u w:val="none"/>
                <w:lang w:val="en-US" w:eastAsia="zh-CN"/>
              </w:rPr>
              <w:t>颗粒物</w:t>
            </w:r>
            <w:r>
              <w:rPr>
                <w:rFonts w:hint="eastAsia" w:ascii="Times New Roman" w:hAnsi="Times New Roman" w:eastAsia="宋体" w:cs="Times New Roman"/>
                <w:b w:val="0"/>
                <w:bCs w:val="0"/>
                <w:color w:val="auto"/>
                <w:spacing w:val="-4"/>
                <w:sz w:val="24"/>
                <w:szCs w:val="22"/>
                <w:u w:val="none"/>
                <w:lang w:val="en-US" w:eastAsia="zh-CN"/>
              </w:rPr>
              <w:t>产生量为</w:t>
            </w:r>
            <w:r>
              <w:rPr>
                <w:rFonts w:hint="eastAsia" w:ascii="Times New Roman" w:hAnsi="Times New Roman" w:cs="Times New Roman"/>
                <w:b w:val="0"/>
                <w:bCs w:val="0"/>
                <w:color w:val="auto"/>
                <w:spacing w:val="-4"/>
                <w:sz w:val="24"/>
                <w:szCs w:val="22"/>
                <w:u w:val="none"/>
                <w:lang w:val="en-US" w:eastAsia="zh-CN"/>
              </w:rPr>
              <w:t>0.208</w:t>
            </w:r>
            <w:r>
              <w:rPr>
                <w:rFonts w:hint="eastAsia" w:ascii="Times New Roman" w:hAnsi="Times New Roman" w:eastAsia="宋体" w:cs="Times New Roman"/>
                <w:b w:val="0"/>
                <w:bCs w:val="0"/>
                <w:color w:val="auto"/>
                <w:spacing w:val="-4"/>
                <w:sz w:val="24"/>
                <w:szCs w:val="22"/>
                <w:u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64" w:firstLineChars="200"/>
              <w:textAlignment w:val="auto"/>
              <w:rPr>
                <w:rFonts w:hint="eastAsia" w:ascii="Times New Roman" w:hAnsi="Times New Roman" w:eastAsia="宋体" w:cs="Times New Roman"/>
                <w:b w:val="0"/>
                <w:bCs w:val="0"/>
                <w:color w:val="auto"/>
                <w:spacing w:val="-4"/>
                <w:sz w:val="24"/>
                <w:szCs w:val="22"/>
                <w:u w:val="none"/>
                <w:lang w:val="en-US" w:eastAsia="zh-CN"/>
              </w:rPr>
            </w:pPr>
            <w:r>
              <w:rPr>
                <w:rFonts w:hint="eastAsia" w:ascii="Times New Roman" w:hAnsi="Times New Roman" w:eastAsia="宋体" w:cs="Times New Roman"/>
                <w:b w:val="0"/>
                <w:bCs w:val="0"/>
                <w:color w:val="auto"/>
                <w:spacing w:val="-4"/>
                <w:sz w:val="24"/>
                <w:szCs w:val="22"/>
                <w:u w:val="none"/>
                <w:lang w:val="en-US" w:eastAsia="zh-CN"/>
              </w:rPr>
              <w:t>本项目设置1座喷塑间，喷塑间设计配套一套“旋风收集+滤筒除尘”设备，弥散在喷房内的未附着</w:t>
            </w:r>
            <w:r>
              <w:rPr>
                <w:rFonts w:hint="eastAsia" w:cs="Times New Roman"/>
                <w:b w:val="0"/>
                <w:bCs w:val="0"/>
                <w:color w:val="auto"/>
                <w:spacing w:val="-4"/>
                <w:sz w:val="24"/>
                <w:szCs w:val="22"/>
                <w:u w:val="none"/>
                <w:lang w:val="en-US" w:eastAsia="zh-CN"/>
              </w:rPr>
              <w:t>颗粒物</w:t>
            </w:r>
            <w:r>
              <w:rPr>
                <w:rFonts w:hint="eastAsia" w:ascii="Times New Roman" w:hAnsi="Times New Roman" w:eastAsia="宋体" w:cs="Times New Roman"/>
                <w:b w:val="0"/>
                <w:bCs w:val="0"/>
                <w:color w:val="auto"/>
                <w:spacing w:val="-4"/>
                <w:sz w:val="24"/>
                <w:szCs w:val="22"/>
                <w:u w:val="none"/>
                <w:lang w:val="en-US" w:eastAsia="zh-CN"/>
              </w:rPr>
              <w:t>经该装置进行收集，一部分粉末在风力的作用下被吸附在多管旋风回收器中，另一部分粉末在二级滤芯脉冲控制仪和电磁阀的作用下，间歇式地对滤芯进行脉冲，将吸附于滤芯表面的粉末振落到位于室体底部供粉器中。设备配备自动回收系统，保证粉末的正常循环，降低粉耗。根据厂家提供资料，设备集气效率为95%，“旋风收集+滤筒除尘”处理效率约为90%，收集的</w:t>
            </w:r>
            <w:r>
              <w:rPr>
                <w:rFonts w:hint="eastAsia" w:cs="Times New Roman"/>
                <w:b w:val="0"/>
                <w:bCs w:val="0"/>
                <w:color w:val="auto"/>
                <w:spacing w:val="-4"/>
                <w:sz w:val="24"/>
                <w:szCs w:val="22"/>
                <w:u w:val="none"/>
                <w:lang w:val="en-US" w:eastAsia="zh-CN"/>
              </w:rPr>
              <w:t>颗粒物</w:t>
            </w:r>
            <w:r>
              <w:rPr>
                <w:rFonts w:hint="eastAsia" w:ascii="Times New Roman" w:hAnsi="Times New Roman" w:eastAsia="宋体" w:cs="Times New Roman"/>
                <w:b w:val="0"/>
                <w:bCs w:val="0"/>
                <w:color w:val="auto"/>
                <w:spacing w:val="-4"/>
                <w:sz w:val="24"/>
                <w:szCs w:val="22"/>
                <w:u w:val="none"/>
                <w:lang w:val="en-US" w:eastAsia="zh-CN"/>
              </w:rPr>
              <w:t>回用于生产，尾气则经管道连接至1套袋式除尘器处理，处理后</w:t>
            </w:r>
            <w:r>
              <w:rPr>
                <w:rFonts w:hint="eastAsia" w:ascii="Times New Roman" w:hAnsi="Times New Roman" w:eastAsia="宋体" w:cs="Times New Roman"/>
                <w:b w:val="0"/>
                <w:bCs w:val="0"/>
                <w:color w:val="auto"/>
                <w:sz w:val="24"/>
                <w:u w:val="none"/>
                <w:lang w:val="en-US" w:eastAsia="zh-CN"/>
              </w:rPr>
              <w:t>由</w:t>
            </w:r>
            <w:r>
              <w:rPr>
                <w:rFonts w:hint="default" w:ascii="Times New Roman" w:hAnsi="Times New Roman" w:eastAsia="宋体" w:cs="Times New Roman"/>
                <w:b w:val="0"/>
                <w:bCs w:val="0"/>
                <w:color w:val="auto"/>
                <w:sz w:val="24"/>
                <w:u w:val="none"/>
              </w:rPr>
              <w:t>1根15m高排气筒排放</w:t>
            </w:r>
            <w:r>
              <w:rPr>
                <w:rFonts w:hint="eastAsia" w:ascii="Times New Roman" w:hAnsi="Times New Roman" w:eastAsia="宋体" w:cs="Times New Roman"/>
                <w:b w:val="0"/>
                <w:bCs w:val="0"/>
                <w:color w:val="auto"/>
                <w:sz w:val="24"/>
                <w:u w:val="none"/>
                <w:lang w:eastAsia="zh-CN"/>
              </w:rPr>
              <w:t>（</w:t>
            </w:r>
            <w:r>
              <w:rPr>
                <w:rFonts w:hint="eastAsia" w:ascii="Times New Roman" w:hAnsi="Times New Roman" w:eastAsia="宋体" w:cs="Times New Roman"/>
                <w:b w:val="0"/>
                <w:bCs w:val="0"/>
                <w:color w:val="auto"/>
                <w:sz w:val="24"/>
                <w:u w:val="none"/>
                <w:lang w:val="en-US" w:eastAsia="zh-CN"/>
              </w:rPr>
              <w:t>DA001</w:t>
            </w:r>
            <w:r>
              <w:rPr>
                <w:rFonts w:hint="eastAsia" w:ascii="Times New Roman" w:hAnsi="Times New Roman" w:eastAsia="宋体" w:cs="Times New Roman"/>
                <w:b w:val="0"/>
                <w:bCs w:val="0"/>
                <w:color w:val="auto"/>
                <w:sz w:val="24"/>
                <w:u w:val="none"/>
                <w:lang w:eastAsia="zh-CN"/>
              </w:rPr>
              <w:t>）</w:t>
            </w:r>
            <w:r>
              <w:rPr>
                <w:rFonts w:hint="eastAsia" w:ascii="Times New Roman" w:hAnsi="Times New Roman" w:eastAsia="宋体" w:cs="Times New Roman"/>
                <w:b w:val="0"/>
                <w:bCs w:val="0"/>
                <w:color w:val="auto"/>
                <w:spacing w:val="-4"/>
                <w:sz w:val="24"/>
                <w:szCs w:val="22"/>
                <w:u w:val="none"/>
                <w:lang w:val="en-US" w:eastAsia="zh-CN"/>
              </w:rPr>
              <w:t>。</w:t>
            </w:r>
            <w:r>
              <w:rPr>
                <w:rFonts w:hint="eastAsia" w:ascii="Times New Roman" w:hAnsi="Times New Roman" w:eastAsia="宋体" w:cs="Times New Roman"/>
                <w:color w:val="auto"/>
                <w:sz w:val="24"/>
                <w:lang w:val="en-US" w:eastAsia="zh-CN"/>
              </w:rPr>
              <w:t>回收后</w:t>
            </w:r>
            <w:r>
              <w:rPr>
                <w:rFonts w:hint="eastAsia" w:ascii="Times New Roman" w:hAnsi="Times New Roman" w:eastAsia="宋体" w:cs="Times New Roman"/>
                <w:b w:val="0"/>
                <w:bCs w:val="0"/>
                <w:color w:val="auto"/>
                <w:spacing w:val="-4"/>
                <w:sz w:val="24"/>
                <w:szCs w:val="22"/>
                <w:u w:val="none"/>
                <w:lang w:val="en-US" w:eastAsia="zh-CN"/>
              </w:rPr>
              <w:t>喷塑</w:t>
            </w:r>
            <w:r>
              <w:rPr>
                <w:rFonts w:hint="eastAsia" w:cs="Times New Roman"/>
                <w:b w:val="0"/>
                <w:bCs w:val="0"/>
                <w:color w:val="auto"/>
                <w:spacing w:val="-4"/>
                <w:sz w:val="24"/>
                <w:szCs w:val="22"/>
                <w:u w:val="none"/>
                <w:lang w:val="en-US" w:eastAsia="zh-CN"/>
              </w:rPr>
              <w:t>颗粒物</w:t>
            </w:r>
            <w:r>
              <w:rPr>
                <w:rFonts w:hint="eastAsia" w:ascii="Times New Roman" w:hAnsi="Times New Roman" w:eastAsia="宋体" w:cs="Times New Roman"/>
                <w:b w:val="0"/>
                <w:bCs w:val="0"/>
                <w:color w:val="auto"/>
                <w:spacing w:val="-4"/>
                <w:sz w:val="24"/>
                <w:szCs w:val="22"/>
                <w:u w:val="none"/>
                <w:lang w:val="en-US" w:eastAsia="zh-CN"/>
              </w:rPr>
              <w:t>有组织产生</w:t>
            </w:r>
            <w:r>
              <w:rPr>
                <w:rFonts w:hint="eastAsia" w:ascii="Times New Roman" w:hAnsi="Times New Roman" w:eastAsia="宋体" w:cs="Times New Roman"/>
                <w:color w:val="auto"/>
                <w:sz w:val="24"/>
                <w:lang w:val="en-US" w:eastAsia="zh-CN"/>
              </w:rPr>
              <w:t>量为0.01976t/a。</w:t>
            </w:r>
            <w:r>
              <w:rPr>
                <w:rFonts w:hint="eastAsia" w:ascii="Times New Roman" w:hAnsi="Times New Roman" w:eastAsia="宋体" w:cs="Times New Roman"/>
                <w:b w:val="0"/>
                <w:bCs w:val="0"/>
                <w:color w:val="auto"/>
                <w:spacing w:val="-4"/>
                <w:sz w:val="24"/>
                <w:szCs w:val="22"/>
                <w:u w:val="none"/>
                <w:lang w:val="en-US" w:eastAsia="zh-CN"/>
              </w:rPr>
              <w:t>袋式除尘器除尘效率</w:t>
            </w:r>
            <w:r>
              <w:rPr>
                <w:rFonts w:hint="default" w:ascii="Times New Roman" w:hAnsi="Times New Roman" w:eastAsia="宋体" w:cs="Times New Roman"/>
                <w:color w:val="auto"/>
                <w:kern w:val="0"/>
                <w:sz w:val="24"/>
                <w:szCs w:val="24"/>
              </w:rPr>
              <w:t>按9</w:t>
            </w:r>
            <w:r>
              <w:rPr>
                <w:rFonts w:hint="default" w:ascii="Times New Roman" w:hAnsi="Times New Roman" w:eastAsia="宋体" w:cs="Times New Roman"/>
                <w:color w:val="auto"/>
                <w:kern w:val="0"/>
                <w:sz w:val="24"/>
                <w:szCs w:val="24"/>
                <w:lang w:val="en-US" w:eastAsia="zh-CN"/>
              </w:rPr>
              <w:t>9</w:t>
            </w:r>
            <w:r>
              <w:rPr>
                <w:rFonts w:hint="default" w:ascii="Times New Roman" w:hAnsi="Times New Roman" w:eastAsia="宋体" w:cs="Times New Roman"/>
                <w:color w:val="auto"/>
                <w:kern w:val="0"/>
                <w:sz w:val="24"/>
                <w:szCs w:val="24"/>
              </w:rPr>
              <w:t>%计</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sz w:val="24"/>
                <w:lang w:eastAsia="zh-CN"/>
              </w:rPr>
              <w:t>经</w:t>
            </w:r>
            <w:r>
              <w:rPr>
                <w:rFonts w:hint="eastAsia" w:ascii="Times New Roman" w:hAnsi="Times New Roman" w:eastAsia="宋体" w:cs="Times New Roman"/>
                <w:color w:val="auto"/>
                <w:sz w:val="24"/>
                <w:lang w:val="en-US" w:eastAsia="zh-CN"/>
              </w:rPr>
              <w:t>处理后，</w:t>
            </w:r>
            <w:r>
              <w:rPr>
                <w:rFonts w:hint="eastAsia" w:ascii="Times New Roman" w:hAnsi="Times New Roman" w:eastAsia="宋体" w:cs="Times New Roman"/>
                <w:b w:val="0"/>
                <w:bCs w:val="0"/>
                <w:color w:val="auto"/>
                <w:spacing w:val="-4"/>
                <w:sz w:val="24"/>
                <w:szCs w:val="22"/>
                <w:u w:val="none"/>
                <w:lang w:val="en-US" w:eastAsia="zh-CN"/>
              </w:rPr>
              <w:t>喷塑</w:t>
            </w:r>
            <w:r>
              <w:rPr>
                <w:rFonts w:hint="eastAsia" w:cs="Times New Roman"/>
                <w:b w:val="0"/>
                <w:bCs w:val="0"/>
                <w:color w:val="auto"/>
                <w:spacing w:val="-4"/>
                <w:sz w:val="24"/>
                <w:szCs w:val="22"/>
                <w:u w:val="none"/>
                <w:lang w:val="en-US" w:eastAsia="zh-CN"/>
              </w:rPr>
              <w:t>颗粒物</w:t>
            </w:r>
            <w:r>
              <w:rPr>
                <w:rFonts w:hint="eastAsia" w:ascii="Times New Roman" w:hAnsi="Times New Roman" w:eastAsia="宋体" w:cs="Times New Roman"/>
                <w:b w:val="0"/>
                <w:bCs w:val="0"/>
                <w:color w:val="auto"/>
                <w:spacing w:val="-4"/>
                <w:sz w:val="24"/>
                <w:szCs w:val="22"/>
                <w:u w:val="none"/>
                <w:lang w:val="en-US" w:eastAsia="zh-CN"/>
              </w:rPr>
              <w:t>有组织</w:t>
            </w:r>
            <w:r>
              <w:rPr>
                <w:rFonts w:hint="eastAsia" w:ascii="Times New Roman" w:hAnsi="Times New Roman" w:eastAsia="宋体" w:cs="Times New Roman"/>
                <w:color w:val="auto"/>
                <w:sz w:val="24"/>
                <w:lang w:val="en-US" w:eastAsia="zh-CN"/>
              </w:rPr>
              <w:t>排放量为0.0001976t/a。</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b w:val="0"/>
                <w:bCs w:val="0"/>
                <w:color w:val="auto"/>
                <w:sz w:val="24"/>
                <w:u w:val="none"/>
                <w:lang w:val="en-US" w:eastAsia="zh-CN"/>
              </w:rPr>
              <w:t>无组织排放按</w:t>
            </w:r>
            <w:r>
              <w:rPr>
                <w:rFonts w:hint="eastAsia" w:ascii="Times New Roman" w:hAnsi="Times New Roman" w:eastAsia="宋体" w:cs="Times New Roman"/>
                <w:b w:val="0"/>
                <w:bCs w:val="0"/>
                <w:color w:val="auto"/>
                <w:sz w:val="24"/>
                <w:u w:val="none"/>
                <w:lang w:val="en-US" w:eastAsia="zh-CN"/>
              </w:rPr>
              <w:t>5</w:t>
            </w:r>
            <w:r>
              <w:rPr>
                <w:rFonts w:hint="default" w:ascii="Times New Roman" w:hAnsi="Times New Roman" w:eastAsia="宋体" w:cs="Times New Roman"/>
                <w:b w:val="0"/>
                <w:bCs w:val="0"/>
                <w:color w:val="auto"/>
                <w:sz w:val="24"/>
                <w:u w:val="none"/>
                <w:lang w:val="en-US" w:eastAsia="zh-CN"/>
              </w:rPr>
              <w:t>%计，</w:t>
            </w:r>
            <w:r>
              <w:rPr>
                <w:rFonts w:hint="eastAsia" w:ascii="Times New Roman" w:hAnsi="Times New Roman" w:eastAsia="宋体" w:cs="Times New Roman"/>
                <w:b w:val="0"/>
                <w:bCs w:val="0"/>
                <w:color w:val="auto"/>
                <w:sz w:val="24"/>
                <w:u w:val="none"/>
                <w:lang w:val="en-US" w:eastAsia="zh-CN"/>
              </w:rPr>
              <w:t>则</w:t>
            </w:r>
            <w:r>
              <w:rPr>
                <w:rFonts w:hint="eastAsia" w:ascii="Times New Roman" w:hAnsi="Times New Roman" w:eastAsia="宋体" w:cs="Times New Roman"/>
                <w:b w:val="0"/>
                <w:bCs w:val="0"/>
                <w:color w:val="auto"/>
                <w:spacing w:val="-4"/>
                <w:sz w:val="24"/>
                <w:szCs w:val="22"/>
                <w:u w:val="none"/>
                <w:lang w:val="en-US" w:eastAsia="zh-CN"/>
              </w:rPr>
              <w:t>喷塑</w:t>
            </w:r>
            <w:r>
              <w:rPr>
                <w:rFonts w:hint="eastAsia" w:cs="Times New Roman"/>
                <w:b w:val="0"/>
                <w:bCs w:val="0"/>
                <w:color w:val="auto"/>
                <w:spacing w:val="-4"/>
                <w:sz w:val="24"/>
                <w:szCs w:val="22"/>
                <w:u w:val="none"/>
                <w:lang w:val="en-US" w:eastAsia="zh-CN"/>
              </w:rPr>
              <w:t>颗粒物</w:t>
            </w:r>
            <w:r>
              <w:rPr>
                <w:rFonts w:hint="eastAsia" w:ascii="Times New Roman" w:hAnsi="Times New Roman" w:eastAsia="宋体" w:cs="Times New Roman"/>
                <w:color w:val="auto"/>
                <w:sz w:val="24"/>
                <w:lang w:eastAsia="zh-CN"/>
              </w:rPr>
              <w:t>无组织排放量为</w:t>
            </w:r>
            <w:r>
              <w:rPr>
                <w:rFonts w:hint="eastAsia" w:ascii="Times New Roman" w:hAnsi="Times New Roman" w:eastAsia="宋体" w:cs="Times New Roman"/>
                <w:color w:val="auto"/>
                <w:sz w:val="24"/>
                <w:lang w:val="en-US" w:eastAsia="zh-CN"/>
              </w:rPr>
              <w:t>0.</w:t>
            </w:r>
            <w:r>
              <w:rPr>
                <w:rFonts w:hint="eastAsia" w:ascii="Times New Roman" w:hAnsi="Times New Roman" w:cs="Times New Roman"/>
                <w:color w:val="auto"/>
                <w:sz w:val="24"/>
                <w:lang w:val="en-US" w:eastAsia="zh-CN"/>
              </w:rPr>
              <w:t>0</w:t>
            </w:r>
            <w:r>
              <w:rPr>
                <w:rFonts w:hint="eastAsia" w:ascii="Times New Roman" w:hAnsi="Times New Roman" w:eastAsia="宋体" w:cs="Times New Roman"/>
                <w:color w:val="auto"/>
                <w:sz w:val="24"/>
                <w:lang w:val="en-US" w:eastAsia="zh-CN"/>
              </w:rPr>
              <w:t>1</w:t>
            </w:r>
            <w:r>
              <w:rPr>
                <w:rFonts w:hint="eastAsia" w:ascii="Times New Roman" w:hAnsi="Times New Roman" w:cs="Times New Roman"/>
                <w:color w:val="auto"/>
                <w:sz w:val="24"/>
                <w:lang w:val="en-US" w:eastAsia="zh-CN"/>
              </w:rPr>
              <w:t>04</w:t>
            </w:r>
            <w:r>
              <w:rPr>
                <w:rFonts w:hint="eastAsia"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eastAsia="zh-CN"/>
              </w:rPr>
              <w:t>。</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right="0" w:firstLine="482" w:firstLineChars="200"/>
              <w:textAlignment w:val="auto"/>
              <w:outlineLvl w:val="0"/>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达标分析</w:t>
            </w:r>
          </w:p>
          <w:p>
            <w:pPr>
              <w:keepNext w:val="0"/>
              <w:keepLines w:val="0"/>
              <w:pageBreakBefore w:val="0"/>
              <w:kinsoku/>
              <w:wordWrap/>
              <w:overflowPunct/>
              <w:topLinePunct w:val="0"/>
              <w:bidi w:val="0"/>
              <w:adjustRightInd w:val="0"/>
              <w:snapToGrid w:val="0"/>
              <w:spacing w:line="360" w:lineRule="auto"/>
              <w:ind w:right="0" w:firstLine="437"/>
              <w:textAlignment w:val="auto"/>
              <w:rPr>
                <w:rFonts w:hint="eastAsia"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rPr>
              <w:t>综上分析，</w:t>
            </w:r>
            <w:r>
              <w:rPr>
                <w:rFonts w:hint="eastAsia"/>
                <w:color w:val="auto"/>
                <w:sz w:val="24"/>
                <w:szCs w:val="21"/>
                <w:u w:val="none"/>
                <w:lang w:val="en-US" w:eastAsia="zh-CN"/>
              </w:rPr>
              <w:t>本项目切割、焊接抛光、喷塑废气</w:t>
            </w:r>
            <w:r>
              <w:rPr>
                <w:rFonts w:hint="eastAsia" w:ascii="Times New Roman" w:hAnsi="Times New Roman" w:eastAsia="宋体" w:cs="Times New Roman"/>
                <w:b w:val="0"/>
                <w:bCs w:val="0"/>
                <w:color w:val="auto"/>
                <w:kern w:val="0"/>
                <w:sz w:val="24"/>
                <w:szCs w:val="24"/>
                <w:highlight w:val="none"/>
                <w:u w:val="none"/>
                <w:lang w:val="en-US" w:eastAsia="zh-CN"/>
              </w:rPr>
              <w:t>采用一套</w:t>
            </w:r>
            <w:r>
              <w:rPr>
                <w:rFonts w:hint="eastAsia"/>
                <w:bCs/>
                <w:color w:val="auto"/>
                <w:sz w:val="24"/>
                <w:szCs w:val="24"/>
                <w:u w:val="none"/>
                <w:lang w:val="en-US" w:eastAsia="zh-CN"/>
              </w:rPr>
              <w:t>袋式除尘器</w:t>
            </w:r>
            <w:r>
              <w:rPr>
                <w:rFonts w:hint="eastAsia"/>
                <w:color w:val="auto"/>
                <w:sz w:val="24"/>
                <w:szCs w:val="21"/>
                <w:u w:val="none"/>
                <w:lang w:val="en-US" w:eastAsia="zh-CN"/>
              </w:rPr>
              <w:t>处理（其中风机风量为15000m</w:t>
            </w:r>
            <w:r>
              <w:rPr>
                <w:rFonts w:hint="eastAsia"/>
                <w:color w:val="auto"/>
                <w:sz w:val="24"/>
                <w:szCs w:val="21"/>
                <w:u w:val="none"/>
                <w:vertAlign w:val="superscript"/>
                <w:lang w:val="en-US" w:eastAsia="zh-CN"/>
              </w:rPr>
              <w:t>3</w:t>
            </w:r>
            <w:r>
              <w:rPr>
                <w:rFonts w:hint="eastAsia"/>
                <w:color w:val="auto"/>
                <w:sz w:val="24"/>
                <w:szCs w:val="21"/>
                <w:u w:val="none"/>
                <w:lang w:val="en-US" w:eastAsia="zh-CN"/>
              </w:rPr>
              <w:t>/h），处理后均由</w:t>
            </w:r>
            <w:r>
              <w:rPr>
                <w:rFonts w:hint="eastAsia" w:ascii="Times New Roman" w:hAnsi="Times New Roman" w:eastAsia="宋体" w:cs="Times New Roman"/>
                <w:color w:val="auto"/>
                <w:sz w:val="24"/>
                <w:szCs w:val="24"/>
                <w:lang w:val="en-US" w:eastAsia="zh-CN"/>
              </w:rPr>
              <w:t>DA001</w:t>
            </w:r>
            <w:r>
              <w:rPr>
                <w:rFonts w:hint="eastAsia"/>
                <w:bCs/>
                <w:color w:val="auto"/>
                <w:sz w:val="24"/>
                <w:szCs w:val="24"/>
                <w:u w:val="none"/>
                <w:lang w:val="en-US" w:eastAsia="zh-CN"/>
              </w:rPr>
              <w:t>排气筒排放；因此</w:t>
            </w:r>
            <w:r>
              <w:rPr>
                <w:rFonts w:hint="eastAsia" w:ascii="Times New Roman" w:hAnsi="Times New Roman" w:eastAsia="宋体" w:cs="Times New Roman"/>
                <w:color w:val="auto"/>
                <w:sz w:val="24"/>
                <w:szCs w:val="24"/>
                <w:lang w:val="en-US" w:eastAsia="zh-CN"/>
              </w:rPr>
              <w:t>DA001</w:t>
            </w:r>
            <w:r>
              <w:rPr>
                <w:rFonts w:hint="eastAsia"/>
                <w:bCs/>
                <w:color w:val="auto"/>
                <w:sz w:val="24"/>
                <w:szCs w:val="24"/>
                <w:u w:val="none"/>
                <w:lang w:val="en-US" w:eastAsia="zh-CN"/>
              </w:rPr>
              <w:t>排气筒颗粒物合计排放量0.0116t/a、排放速率0.00483</w:t>
            </w:r>
            <w:r>
              <w:rPr>
                <w:rFonts w:hint="eastAsia"/>
                <w:bCs/>
                <w:color w:val="auto"/>
                <w:sz w:val="24"/>
                <w:szCs w:val="24"/>
                <w:u w:val="none"/>
              </w:rPr>
              <w:t>kg/h</w:t>
            </w:r>
            <w:r>
              <w:rPr>
                <w:rFonts w:hint="eastAsia"/>
                <w:bCs/>
                <w:color w:val="auto"/>
                <w:sz w:val="24"/>
                <w:szCs w:val="24"/>
                <w:u w:val="none"/>
                <w:lang w:val="en-US" w:eastAsia="zh-CN"/>
              </w:rPr>
              <w:t>、排放浓度0.322</w:t>
            </w:r>
            <w:r>
              <w:rPr>
                <w:bCs/>
                <w:color w:val="auto"/>
                <w:sz w:val="24"/>
                <w:szCs w:val="21"/>
                <w:u w:val="none"/>
              </w:rPr>
              <w:t>mg/m</w:t>
            </w:r>
            <w:r>
              <w:rPr>
                <w:bCs/>
                <w:color w:val="auto"/>
                <w:sz w:val="24"/>
                <w:szCs w:val="21"/>
                <w:u w:val="none"/>
                <w:vertAlign w:val="superscript"/>
              </w:rPr>
              <w:t>3</w:t>
            </w:r>
            <w:r>
              <w:rPr>
                <w:rFonts w:hint="eastAsia"/>
                <w:bCs/>
                <w:color w:val="auto"/>
                <w:sz w:val="24"/>
                <w:szCs w:val="24"/>
                <w:u w:val="none"/>
                <w:lang w:val="en-US" w:eastAsia="zh-CN"/>
              </w:rPr>
              <w:t>，</w:t>
            </w:r>
            <w:r>
              <w:rPr>
                <w:rFonts w:hint="eastAsia"/>
                <w:color w:val="auto"/>
                <w:sz w:val="24"/>
                <w:szCs w:val="21"/>
                <w:u w:val="none"/>
                <w:lang w:eastAsia="zh-CN"/>
              </w:rPr>
              <w:t>颗粒物排放</w:t>
            </w:r>
            <w:r>
              <w:rPr>
                <w:rFonts w:hint="eastAsia" w:ascii="Times New Roman" w:hAnsi="Times New Roman" w:eastAsia="宋体" w:cs="Times New Roman"/>
                <w:b w:val="0"/>
                <w:bCs w:val="0"/>
                <w:color w:val="auto"/>
                <w:kern w:val="0"/>
                <w:sz w:val="24"/>
                <w:szCs w:val="24"/>
                <w:highlight w:val="none"/>
                <w:u w:val="none"/>
                <w:lang w:val="en-US" w:eastAsia="zh-CN"/>
              </w:rPr>
              <w:t>速率</w:t>
            </w:r>
            <w:r>
              <w:rPr>
                <w:rFonts w:hint="eastAsia"/>
                <w:color w:val="auto"/>
                <w:sz w:val="24"/>
                <w:szCs w:val="21"/>
                <w:u w:val="none"/>
                <w:lang w:eastAsia="zh-CN"/>
              </w:rPr>
              <w:t>能够</w:t>
            </w:r>
            <w:r>
              <w:rPr>
                <w:rFonts w:hint="eastAsia"/>
                <w:color w:val="auto"/>
                <w:sz w:val="24"/>
                <w:szCs w:val="21"/>
                <w:u w:val="none"/>
              </w:rPr>
              <w:t>满足</w:t>
            </w:r>
            <w:r>
              <w:rPr>
                <w:color w:val="auto"/>
                <w:sz w:val="24"/>
                <w:szCs w:val="21"/>
                <w:u w:val="none"/>
              </w:rPr>
              <w:t>《大气污染物综合排放标准》</w:t>
            </w:r>
            <w:r>
              <w:rPr>
                <w:rFonts w:hint="eastAsia"/>
                <w:color w:val="auto"/>
                <w:sz w:val="24"/>
                <w:szCs w:val="21"/>
                <w:u w:val="none"/>
              </w:rPr>
              <w:t>（</w:t>
            </w:r>
            <w:r>
              <w:rPr>
                <w:color w:val="auto"/>
                <w:sz w:val="24"/>
                <w:szCs w:val="21"/>
                <w:u w:val="none"/>
              </w:rPr>
              <w:t>GB16297-1996</w:t>
            </w:r>
            <w:r>
              <w:rPr>
                <w:rFonts w:hint="eastAsia"/>
                <w:color w:val="auto"/>
                <w:sz w:val="24"/>
                <w:szCs w:val="21"/>
                <w:u w:val="none"/>
              </w:rPr>
              <w:t>）</w:t>
            </w:r>
            <w:r>
              <w:rPr>
                <w:color w:val="auto"/>
                <w:sz w:val="24"/>
                <w:szCs w:val="21"/>
                <w:u w:val="none"/>
              </w:rPr>
              <w:t>表2中二级标准</w:t>
            </w:r>
            <w:r>
              <w:rPr>
                <w:rFonts w:hint="eastAsia"/>
                <w:color w:val="auto"/>
                <w:sz w:val="24"/>
                <w:szCs w:val="21"/>
                <w:u w:val="none"/>
              </w:rPr>
              <w:t>的要求（排放速率≤3.5kg/h</w:t>
            </w:r>
            <w:r>
              <w:rPr>
                <w:rFonts w:hint="eastAsia"/>
                <w:color w:val="auto"/>
                <w:sz w:val="24"/>
                <w:szCs w:val="21"/>
                <w:u w:val="none"/>
                <w:lang w:eastAsia="zh-CN"/>
              </w:rPr>
              <w:t>，</w:t>
            </w:r>
            <w:r>
              <w:rPr>
                <w:rFonts w:hint="eastAsia"/>
                <w:color w:val="auto"/>
                <w:sz w:val="24"/>
                <w:szCs w:val="21"/>
                <w:u w:val="none"/>
              </w:rPr>
              <w:t>15m高排气筒）</w:t>
            </w:r>
            <w:r>
              <w:rPr>
                <w:rFonts w:hint="eastAsia"/>
                <w:color w:val="auto"/>
                <w:sz w:val="24"/>
                <w:szCs w:val="24"/>
                <w:u w:val="none"/>
                <w:lang w:eastAsia="zh-CN"/>
              </w:rPr>
              <w:t>，同时</w:t>
            </w:r>
            <w:r>
              <w:rPr>
                <w:rFonts w:hint="eastAsia"/>
                <w:bCs/>
                <w:color w:val="auto"/>
                <w:sz w:val="24"/>
                <w:szCs w:val="24"/>
                <w:u w:val="none"/>
                <w:lang w:val="en-US" w:eastAsia="zh-CN"/>
              </w:rPr>
              <w:t>，</w:t>
            </w:r>
            <w:r>
              <w:rPr>
                <w:rFonts w:hint="eastAsia"/>
                <w:color w:val="auto"/>
                <w:sz w:val="24"/>
                <w:szCs w:val="21"/>
                <w:u w:val="none"/>
                <w:lang w:eastAsia="zh-CN"/>
              </w:rPr>
              <w:t>颗粒物排放</w:t>
            </w:r>
            <w:r>
              <w:rPr>
                <w:rFonts w:hint="eastAsia"/>
                <w:color w:val="auto"/>
                <w:sz w:val="24"/>
                <w:szCs w:val="21"/>
                <w:u w:val="none"/>
                <w:lang w:val="en-US" w:eastAsia="zh-CN"/>
              </w:rPr>
              <w:t>浓度能够</w:t>
            </w:r>
            <w:r>
              <w:rPr>
                <w:rFonts w:hint="eastAsia"/>
                <w:color w:val="auto"/>
                <w:sz w:val="24"/>
                <w:szCs w:val="24"/>
                <w:u w:val="none"/>
                <w:lang w:eastAsia="zh-CN"/>
              </w:rPr>
              <w:t>满足</w:t>
            </w:r>
            <w:r>
              <w:rPr>
                <w:rFonts w:hint="default" w:ascii="Times New Roman" w:hAnsi="Times New Roman" w:eastAsia="宋体" w:cs="Times New Roman"/>
                <w:b w:val="0"/>
                <w:bCs w:val="0"/>
                <w:color w:val="auto"/>
                <w:sz w:val="24"/>
                <w:szCs w:val="24"/>
                <w:highlight w:val="none"/>
                <w:lang w:val="en-US" w:eastAsia="zh-CN"/>
              </w:rPr>
              <w:t>《河南省重污染天气通用行业应急减排措施制定技术指南（2021年修订版）》涉锅炉/炉窑企业A级</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其他工序</w:t>
            </w:r>
            <w:r>
              <w:rPr>
                <w:rFonts w:hint="eastAsia" w:ascii="Times New Roman" w:hAnsi="Times New Roman" w:eastAsia="宋体" w:cs="Times New Roman"/>
                <w:b w:val="0"/>
                <w:bCs w:val="0"/>
                <w:color w:val="auto"/>
                <w:sz w:val="24"/>
                <w:szCs w:val="24"/>
                <w:highlight w:val="none"/>
                <w:lang w:val="en-US" w:eastAsia="zh-CN"/>
              </w:rPr>
              <w:t>颗粒物</w:t>
            </w:r>
            <w:r>
              <w:rPr>
                <w:rFonts w:hint="default" w:ascii="Times New Roman" w:hAnsi="Times New Roman" w:eastAsia="宋体" w:cs="Times New Roman"/>
                <w:b w:val="0"/>
                <w:bCs w:val="0"/>
                <w:color w:val="auto"/>
                <w:sz w:val="24"/>
                <w:szCs w:val="24"/>
                <w:highlight w:val="none"/>
                <w:lang w:val="en-US" w:eastAsia="zh-CN"/>
              </w:rPr>
              <w:t>排放要求（颗粒物有组织排放浓度≤10mg/m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66" w:firstLineChars="200"/>
              <w:textAlignment w:val="auto"/>
              <w:rPr>
                <w:rFonts w:hint="default" w:ascii="Times New Roman" w:hAnsi="Times New Roman" w:eastAsia="宋体" w:cs="Times New Roman"/>
                <w:b/>
                <w:bCs/>
                <w:color w:val="auto"/>
                <w:spacing w:val="-4"/>
                <w:sz w:val="24"/>
                <w:szCs w:val="22"/>
                <w:highlight w:val="yellow"/>
                <w:u w:val="none"/>
                <w:lang w:val="en-US" w:eastAsia="zh-CN"/>
              </w:rPr>
            </w:pPr>
            <w:r>
              <w:rPr>
                <w:rFonts w:hint="eastAsia" w:ascii="Times New Roman" w:hAnsi="Times New Roman" w:eastAsia="宋体" w:cs="Times New Roman"/>
                <w:b/>
                <w:bCs/>
                <w:color w:val="auto"/>
                <w:spacing w:val="-4"/>
                <w:sz w:val="24"/>
                <w:szCs w:val="22"/>
                <w:u w:val="none"/>
                <w:lang w:val="en-US" w:eastAsia="zh-CN"/>
              </w:rPr>
              <w:t>（2）烘</w:t>
            </w:r>
            <w:r>
              <w:rPr>
                <w:rFonts w:hint="eastAsia" w:ascii="Times New Roman" w:hAnsi="Times New Roman" w:cs="Times New Roman"/>
                <w:b/>
                <w:bCs/>
                <w:color w:val="auto"/>
                <w:spacing w:val="-4"/>
                <w:sz w:val="24"/>
                <w:szCs w:val="22"/>
                <w:u w:val="none"/>
                <w:lang w:val="en-US" w:eastAsia="zh-CN"/>
              </w:rPr>
              <w:t>烤</w:t>
            </w:r>
            <w:r>
              <w:rPr>
                <w:rFonts w:hint="default" w:ascii="Times New Roman" w:hAnsi="Times New Roman" w:eastAsia="宋体" w:cs="Times New Roman"/>
                <w:b/>
                <w:bCs/>
                <w:color w:val="auto"/>
                <w:spacing w:val="-4"/>
                <w:sz w:val="24"/>
                <w:szCs w:val="22"/>
                <w:highlight w:val="none"/>
                <w:u w:val="none"/>
                <w:lang w:val="en-US" w:eastAsia="zh-CN"/>
              </w:rPr>
              <w:t>废气</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570"/>
              <w:textAlignment w:val="auto"/>
              <w:outlineLvl w:val="0"/>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fldChar w:fldCharType="begin"/>
            </w:r>
            <w:r>
              <w:rPr>
                <w:rFonts w:hint="default" w:ascii="Times New Roman" w:hAnsi="Times New Roman" w:eastAsia="宋体" w:cs="Times New Roman"/>
                <w:b/>
                <w:bCs/>
                <w:color w:val="auto"/>
                <w:kern w:val="0"/>
                <w:sz w:val="24"/>
                <w:szCs w:val="24"/>
                <w:highlight w:val="none"/>
                <w:lang w:val="en-US" w:eastAsia="zh-CN"/>
              </w:rPr>
              <w:instrText xml:space="preserve"> = 1 \* GB3 \* MERGEFORMAT </w:instrText>
            </w:r>
            <w:r>
              <w:rPr>
                <w:rFonts w:hint="default" w:ascii="Times New Roman" w:hAnsi="Times New Roman" w:eastAsia="宋体" w:cs="Times New Roman"/>
                <w:b/>
                <w:bCs/>
                <w:color w:val="auto"/>
                <w:kern w:val="0"/>
                <w:sz w:val="24"/>
                <w:szCs w:val="24"/>
                <w:highlight w:val="none"/>
                <w:lang w:val="en-US" w:eastAsia="zh-CN"/>
              </w:rPr>
              <w:fldChar w:fldCharType="separate"/>
            </w:r>
            <w:r>
              <w:rPr>
                <w:b/>
                <w:bCs/>
                <w:color w:val="auto"/>
              </w:rPr>
              <w:t>①</w:t>
            </w:r>
            <w:r>
              <w:rPr>
                <w:rFonts w:hint="default" w:ascii="Times New Roman" w:hAnsi="Times New Roman" w:eastAsia="宋体" w:cs="Times New Roman"/>
                <w:b/>
                <w:bCs/>
                <w:color w:val="auto"/>
                <w:kern w:val="0"/>
                <w:sz w:val="24"/>
                <w:szCs w:val="24"/>
                <w:highlight w:val="none"/>
                <w:lang w:val="en-US" w:eastAsia="zh-CN"/>
              </w:rPr>
              <w:fldChar w:fldCharType="end"/>
            </w:r>
            <w:r>
              <w:rPr>
                <w:rFonts w:hint="eastAsia" w:ascii="Times New Roman" w:hAnsi="Times New Roman" w:eastAsia="宋体" w:cs="Times New Roman"/>
                <w:b/>
                <w:bCs/>
                <w:color w:val="auto"/>
                <w:spacing w:val="-4"/>
                <w:sz w:val="24"/>
                <w:szCs w:val="22"/>
                <w:u w:val="none"/>
                <w:lang w:val="en-US" w:eastAsia="zh-CN"/>
              </w:rPr>
              <w:t>烘</w:t>
            </w:r>
            <w:r>
              <w:rPr>
                <w:rFonts w:hint="eastAsia" w:ascii="Times New Roman" w:hAnsi="Times New Roman" w:cs="Times New Roman"/>
                <w:b/>
                <w:bCs/>
                <w:color w:val="auto"/>
                <w:spacing w:val="-4"/>
                <w:sz w:val="24"/>
                <w:szCs w:val="22"/>
                <w:u w:val="none"/>
                <w:lang w:val="en-US" w:eastAsia="zh-CN"/>
              </w:rPr>
              <w:t>烤</w:t>
            </w:r>
            <w:r>
              <w:rPr>
                <w:rFonts w:hint="eastAsia" w:ascii="Times New Roman" w:hAnsi="Times New Roman" w:eastAsia="宋体" w:cs="Times New Roman"/>
                <w:b/>
                <w:bCs/>
                <w:color w:val="auto"/>
                <w:spacing w:val="-4"/>
                <w:sz w:val="24"/>
                <w:szCs w:val="22"/>
                <w:u w:val="none"/>
                <w:lang w:val="en-US" w:eastAsia="zh-CN"/>
              </w:rPr>
              <w:t>过程中产生的有机废气</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570"/>
              <w:textAlignment w:val="auto"/>
              <w:outlineLvl w:val="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本项目使用聚酯环氧粉末涂料（不含溶剂成分）作为喷粉原料。根据有关研究资</w:t>
            </w:r>
            <w:r>
              <w:rPr>
                <w:rFonts w:hint="eastAsia" w:ascii="Times New Roman" w:hAnsi="Times New Roman" w:eastAsia="宋体" w:cs="Times New Roman"/>
                <w:color w:val="auto"/>
                <w:kern w:val="0"/>
                <w:sz w:val="24"/>
                <w:szCs w:val="24"/>
                <w:highlight w:val="none"/>
                <w:lang w:val="en-US" w:eastAsia="zh-CN"/>
              </w:rPr>
              <w:t>料，</w:t>
            </w:r>
            <w:r>
              <w:rPr>
                <w:rFonts w:hint="default" w:ascii="Times New Roman" w:hAnsi="Times New Roman" w:eastAsia="宋体" w:cs="Times New Roman"/>
                <w:color w:val="auto"/>
                <w:kern w:val="0"/>
                <w:sz w:val="24"/>
                <w:szCs w:val="24"/>
                <w:highlight w:val="none"/>
                <w:lang w:val="en-US" w:eastAsia="zh-CN"/>
              </w:rPr>
              <w:t>聚酯环氧粉末涂料的热分解温度在350℃以上，</w:t>
            </w:r>
            <w:r>
              <w:rPr>
                <w:rFonts w:hint="eastAsia" w:ascii="Times New Roman" w:hAnsi="Times New Roman" w:eastAsia="宋体" w:cs="Times New Roman"/>
                <w:color w:val="auto"/>
                <w:kern w:val="0"/>
                <w:sz w:val="24"/>
                <w:szCs w:val="24"/>
                <w:highlight w:val="none"/>
                <w:lang w:val="en-US" w:eastAsia="zh-CN"/>
              </w:rPr>
              <w:t>本项目固化温度为180</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故项目所用聚酯环氧粉末涂料烘</w:t>
            </w:r>
            <w:r>
              <w:rPr>
                <w:rFonts w:hint="eastAsia" w:ascii="Times New Roman" w:hAnsi="Times New Roman" w:cs="Times New Roman"/>
                <w:color w:val="auto"/>
                <w:kern w:val="0"/>
                <w:sz w:val="24"/>
                <w:szCs w:val="24"/>
                <w:highlight w:val="none"/>
                <w:lang w:val="en-US" w:eastAsia="zh-CN"/>
              </w:rPr>
              <w:t>烤</w:t>
            </w:r>
            <w:r>
              <w:rPr>
                <w:rFonts w:hint="default" w:ascii="Times New Roman" w:hAnsi="Times New Roman" w:eastAsia="宋体" w:cs="Times New Roman"/>
                <w:color w:val="auto"/>
                <w:kern w:val="0"/>
                <w:sz w:val="24"/>
                <w:szCs w:val="24"/>
                <w:highlight w:val="none"/>
                <w:lang w:val="en-US" w:eastAsia="zh-CN"/>
              </w:rPr>
              <w:t>固化过程中不会造成粉末涂料分解。</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570"/>
              <w:textAlignment w:val="auto"/>
              <w:outlineLvl w:val="0"/>
              <w:rPr>
                <w:rFonts w:hint="default" w:ascii="Times New Roman" w:hAnsi="Times New Roman" w:eastAsia="宋体" w:cs="Times New Roman"/>
                <w:b w:val="0"/>
                <w:bCs w:val="0"/>
                <w:color w:val="auto"/>
                <w:kern w:val="0"/>
                <w:sz w:val="24"/>
                <w:szCs w:val="24"/>
                <w:u w:val="none"/>
                <w:lang w:val="zh-CN"/>
              </w:rPr>
            </w:pPr>
            <w:r>
              <w:rPr>
                <w:rFonts w:hint="default" w:ascii="Times New Roman" w:hAnsi="Times New Roman" w:eastAsia="宋体" w:cs="Times New Roman"/>
                <w:color w:val="auto"/>
                <w:kern w:val="0"/>
                <w:sz w:val="24"/>
                <w:szCs w:val="24"/>
                <w:highlight w:val="none"/>
                <w:lang w:val="en-US" w:eastAsia="zh-CN"/>
              </w:rPr>
              <w:t>根据《环氧-聚酯粉末涂料》（HG/T2597-94）和《熔融结合环氧粉末涂料的防腐蚀涂装》（GB/T18593-2010）可知，聚酯环氧粉末涂料技术指标要求</w:t>
            </w:r>
            <w:r>
              <w:rPr>
                <w:rFonts w:hint="eastAsia" w:cs="Times New Roman"/>
                <w:color w:val="auto"/>
                <w:kern w:val="0"/>
                <w:sz w:val="24"/>
                <w:szCs w:val="24"/>
                <w:highlight w:val="none"/>
                <w:lang w:val="en-US" w:eastAsia="zh-CN"/>
              </w:rPr>
              <w:t>挥发分含量</w:t>
            </w:r>
            <w:r>
              <w:rPr>
                <w:rFonts w:hint="default" w:ascii="Times New Roman" w:hAnsi="Times New Roman" w:eastAsia="宋体" w:cs="Times New Roman"/>
                <w:color w:val="auto"/>
                <w:kern w:val="0"/>
                <w:sz w:val="24"/>
                <w:szCs w:val="24"/>
                <w:highlight w:val="none"/>
                <w:lang w:val="en-US" w:eastAsia="zh-CN"/>
              </w:rPr>
              <w:t>应≤0.6%</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本次评价</w:t>
            </w:r>
            <w:r>
              <w:rPr>
                <w:rFonts w:hint="eastAsia" w:ascii="Times New Roman" w:hAnsi="Times New Roman" w:eastAsia="宋体" w:cs="Times New Roman"/>
                <w:color w:val="auto"/>
                <w:kern w:val="0"/>
                <w:sz w:val="24"/>
                <w:szCs w:val="24"/>
                <w:highlight w:val="none"/>
                <w:lang w:val="en-US" w:eastAsia="zh-CN"/>
              </w:rPr>
              <w:t>取</w:t>
            </w:r>
            <w:r>
              <w:rPr>
                <w:rFonts w:hint="default" w:ascii="Times New Roman" w:hAnsi="Times New Roman" w:eastAsia="宋体" w:cs="Times New Roman"/>
                <w:color w:val="auto"/>
                <w:kern w:val="0"/>
                <w:sz w:val="24"/>
                <w:szCs w:val="24"/>
                <w:highlight w:val="none"/>
                <w:lang w:val="en-US" w:eastAsia="zh-CN"/>
              </w:rPr>
              <w:t>0.6%</w:t>
            </w:r>
            <w:r>
              <w:rPr>
                <w:rFonts w:hint="eastAsia" w:ascii="Times New Roman" w:hAnsi="Times New Roman" w:eastAsia="宋体" w:cs="Times New Roman"/>
                <w:color w:val="auto"/>
                <w:kern w:val="0"/>
                <w:sz w:val="24"/>
                <w:szCs w:val="24"/>
                <w:highlight w:val="none"/>
                <w:lang w:val="en-US" w:eastAsia="zh-CN"/>
              </w:rPr>
              <w:t>进行计算。</w:t>
            </w:r>
            <w:r>
              <w:rPr>
                <w:rFonts w:hint="eastAsia" w:ascii="Times New Roman" w:hAnsi="Times New Roman" w:cs="Times New Roman"/>
                <w:color w:val="auto"/>
                <w:kern w:val="0"/>
                <w:sz w:val="24"/>
                <w:szCs w:val="24"/>
                <w:highlight w:val="none"/>
                <w:lang w:val="en-US" w:eastAsia="zh-CN"/>
              </w:rPr>
              <w:t>本项目</w:t>
            </w:r>
            <w:r>
              <w:rPr>
                <w:rFonts w:hint="default" w:ascii="Times New Roman" w:hAnsi="Times New Roman" w:eastAsia="宋体" w:cs="Times New Roman"/>
                <w:color w:val="auto"/>
                <w:kern w:val="0"/>
                <w:sz w:val="24"/>
                <w:szCs w:val="24"/>
                <w:highlight w:val="none"/>
                <w:lang w:val="en-US" w:eastAsia="zh-CN"/>
              </w:rPr>
              <w:t>塑粉用量为</w:t>
            </w:r>
            <w:r>
              <w:rPr>
                <w:rFonts w:hint="eastAsia" w:cs="Times New Roman"/>
                <w:color w:val="auto"/>
                <w:kern w:val="0"/>
                <w:sz w:val="24"/>
                <w:szCs w:val="24"/>
                <w:highlight w:val="none"/>
                <w:lang w:val="en-US" w:eastAsia="zh-CN"/>
              </w:rPr>
              <w:t>11</w:t>
            </w:r>
            <w:r>
              <w:rPr>
                <w:rFonts w:hint="default" w:ascii="Times New Roman" w:hAnsi="Times New Roman" w:eastAsia="宋体" w:cs="Times New Roman"/>
                <w:color w:val="auto"/>
                <w:kern w:val="0"/>
                <w:sz w:val="24"/>
                <w:szCs w:val="24"/>
                <w:highlight w:val="none"/>
                <w:lang w:val="en-US" w:eastAsia="zh-CN"/>
              </w:rPr>
              <w:t>t/a，喷粉时塑粉附着率按</w:t>
            </w:r>
            <w:r>
              <w:rPr>
                <w:rFonts w:hint="eastAsia" w:cs="Times New Roman"/>
                <w:color w:val="auto"/>
                <w:kern w:val="0"/>
                <w:sz w:val="24"/>
                <w:szCs w:val="24"/>
                <w:highlight w:val="none"/>
                <w:lang w:val="en-US" w:eastAsia="zh-CN"/>
              </w:rPr>
              <w:t>72.7</w:t>
            </w:r>
            <w:r>
              <w:rPr>
                <w:rFonts w:hint="default" w:ascii="Times New Roman" w:hAnsi="Times New Roman" w:eastAsia="宋体" w:cs="Times New Roman"/>
                <w:color w:val="auto"/>
                <w:kern w:val="0"/>
                <w:sz w:val="24"/>
                <w:szCs w:val="24"/>
                <w:highlight w:val="none"/>
                <w:lang w:val="en-US" w:eastAsia="zh-CN"/>
              </w:rPr>
              <w:t>%计，</w:t>
            </w:r>
            <w:r>
              <w:rPr>
                <w:rFonts w:hint="eastAsia" w:ascii="Times New Roman" w:hAnsi="Times New Roman" w:cs="Times New Roman"/>
                <w:color w:val="auto"/>
                <w:kern w:val="0"/>
                <w:sz w:val="24"/>
                <w:szCs w:val="24"/>
                <w:highlight w:val="none"/>
                <w:lang w:val="en-US" w:eastAsia="zh-CN"/>
              </w:rPr>
              <w:t>因此成功附着在原料上的塑粉为8t/a。</w:t>
            </w:r>
            <w:r>
              <w:rPr>
                <w:rFonts w:hint="eastAsia" w:ascii="Times New Roman" w:hAnsi="Times New Roman" w:eastAsia="宋体" w:cs="Times New Roman"/>
                <w:color w:val="auto"/>
                <w:kern w:val="0"/>
                <w:sz w:val="24"/>
                <w:szCs w:val="24"/>
                <w:highlight w:val="none"/>
                <w:lang w:val="en-US" w:eastAsia="zh-CN"/>
              </w:rPr>
              <w:t>则烘</w:t>
            </w:r>
            <w:r>
              <w:rPr>
                <w:rFonts w:hint="eastAsia" w:ascii="Times New Roman" w:hAnsi="Times New Roman" w:cs="Times New Roman"/>
                <w:color w:val="auto"/>
                <w:kern w:val="0"/>
                <w:sz w:val="24"/>
                <w:szCs w:val="24"/>
                <w:highlight w:val="none"/>
                <w:lang w:val="en-US" w:eastAsia="zh-CN"/>
              </w:rPr>
              <w:t>烤</w:t>
            </w:r>
            <w:r>
              <w:rPr>
                <w:rFonts w:hint="default" w:ascii="Times New Roman" w:hAnsi="Times New Roman" w:eastAsia="宋体" w:cs="Times New Roman"/>
                <w:color w:val="auto"/>
                <w:kern w:val="0"/>
                <w:sz w:val="24"/>
                <w:szCs w:val="24"/>
                <w:highlight w:val="none"/>
                <w:lang w:val="en-US" w:eastAsia="zh-CN"/>
              </w:rPr>
              <w:t>固化工段非甲烷总烃产生量为</w:t>
            </w:r>
            <w:r>
              <w:rPr>
                <w:rFonts w:hint="eastAsia" w:ascii="Times New Roman" w:hAnsi="Times New Roman" w:eastAsia="宋体" w:cs="Times New Roman"/>
                <w:color w:val="auto"/>
                <w:kern w:val="0"/>
                <w:sz w:val="24"/>
                <w:szCs w:val="24"/>
                <w:highlight w:val="none"/>
                <w:lang w:val="en-US" w:eastAsia="zh-CN"/>
              </w:rPr>
              <w:t>0.0</w:t>
            </w:r>
            <w:r>
              <w:rPr>
                <w:rFonts w:hint="eastAsia" w:ascii="Times New Roman" w:hAnsi="Times New Roman" w:cs="Times New Roman"/>
                <w:color w:val="auto"/>
                <w:kern w:val="0"/>
                <w:sz w:val="24"/>
                <w:szCs w:val="24"/>
                <w:highlight w:val="none"/>
                <w:lang w:val="en-US" w:eastAsia="zh-CN"/>
              </w:rPr>
              <w:t>48</w:t>
            </w:r>
            <w:r>
              <w:rPr>
                <w:rFonts w:hint="default" w:ascii="Times New Roman" w:hAnsi="Times New Roman" w:eastAsia="宋体" w:cs="Times New Roman"/>
                <w:color w:val="auto"/>
                <w:kern w:val="0"/>
                <w:sz w:val="24"/>
                <w:szCs w:val="24"/>
                <w:highlight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570"/>
              <w:textAlignment w:val="auto"/>
              <w:outlineLvl w:val="0"/>
              <w:rPr>
                <w:rFonts w:hint="eastAsia" w:ascii="Times New Roman" w:hAnsi="Times New Roman" w:eastAsia="宋体" w:cs="Times New Roman"/>
                <w:b w:val="0"/>
                <w:bCs w:val="0"/>
                <w:color w:val="auto"/>
                <w:spacing w:val="-4"/>
                <w:sz w:val="24"/>
                <w:szCs w:val="22"/>
                <w:highlight w:val="yellow"/>
                <w:u w:val="none"/>
                <w:lang w:val="en-US" w:eastAsia="zh-CN"/>
              </w:rPr>
            </w:pPr>
            <w:r>
              <w:rPr>
                <w:rFonts w:hint="default" w:ascii="Times New Roman" w:hAnsi="Times New Roman" w:eastAsia="宋体" w:cs="Times New Roman"/>
                <w:color w:val="auto"/>
                <w:kern w:val="0"/>
                <w:sz w:val="24"/>
                <w:szCs w:val="24"/>
                <w:highlight w:val="none"/>
                <w:lang w:val="en-US" w:eastAsia="zh-CN"/>
              </w:rPr>
              <w:t>项目烘</w:t>
            </w:r>
            <w:r>
              <w:rPr>
                <w:rFonts w:hint="eastAsia" w:ascii="Times New Roman" w:hAnsi="Times New Roman" w:cs="Times New Roman"/>
                <w:color w:val="auto"/>
                <w:kern w:val="0"/>
                <w:sz w:val="24"/>
                <w:szCs w:val="24"/>
                <w:highlight w:val="none"/>
                <w:lang w:val="en-US" w:eastAsia="zh-CN"/>
              </w:rPr>
              <w:t>烤</w:t>
            </w:r>
            <w:r>
              <w:rPr>
                <w:rFonts w:hint="default" w:ascii="Times New Roman" w:hAnsi="Times New Roman" w:eastAsia="宋体" w:cs="Times New Roman"/>
                <w:color w:val="auto"/>
                <w:kern w:val="0"/>
                <w:sz w:val="24"/>
                <w:szCs w:val="24"/>
                <w:highlight w:val="none"/>
                <w:lang w:val="en-US" w:eastAsia="zh-CN"/>
              </w:rPr>
              <w:t>在密闭烘</w:t>
            </w:r>
            <w:r>
              <w:rPr>
                <w:rFonts w:hint="eastAsia" w:ascii="Times New Roman" w:hAnsi="Times New Roman" w:cs="Times New Roman"/>
                <w:color w:val="auto"/>
                <w:kern w:val="0"/>
                <w:sz w:val="24"/>
                <w:szCs w:val="24"/>
                <w:highlight w:val="none"/>
                <w:lang w:val="en-US" w:eastAsia="zh-CN"/>
              </w:rPr>
              <w:t>烤</w:t>
            </w:r>
            <w:r>
              <w:rPr>
                <w:rFonts w:hint="default" w:ascii="Times New Roman" w:hAnsi="Times New Roman" w:eastAsia="宋体" w:cs="Times New Roman"/>
                <w:color w:val="auto"/>
                <w:kern w:val="0"/>
                <w:sz w:val="24"/>
                <w:szCs w:val="24"/>
                <w:highlight w:val="none"/>
                <w:lang w:val="en-US" w:eastAsia="zh-CN"/>
              </w:rPr>
              <w:t>房中进行，烘</w:t>
            </w:r>
            <w:r>
              <w:rPr>
                <w:rFonts w:hint="eastAsia" w:ascii="Times New Roman" w:hAnsi="Times New Roman" w:cs="Times New Roman"/>
                <w:color w:val="auto"/>
                <w:kern w:val="0"/>
                <w:sz w:val="24"/>
                <w:szCs w:val="24"/>
                <w:highlight w:val="none"/>
                <w:lang w:val="en-US" w:eastAsia="zh-CN"/>
              </w:rPr>
              <w:t>烤</w:t>
            </w:r>
            <w:r>
              <w:rPr>
                <w:rFonts w:hint="default" w:ascii="Times New Roman" w:hAnsi="Times New Roman" w:eastAsia="宋体" w:cs="Times New Roman"/>
                <w:color w:val="auto"/>
                <w:kern w:val="0"/>
                <w:sz w:val="24"/>
                <w:szCs w:val="24"/>
                <w:highlight w:val="none"/>
                <w:lang w:val="en-US" w:eastAsia="zh-CN"/>
              </w:rPr>
              <w:t>房内设</w:t>
            </w:r>
            <w:r>
              <w:rPr>
                <w:rFonts w:hint="eastAsia" w:ascii="Times New Roman" w:hAnsi="Times New Roman" w:eastAsia="宋体" w:cs="Times New Roman"/>
                <w:color w:val="auto"/>
                <w:kern w:val="0"/>
                <w:sz w:val="24"/>
                <w:szCs w:val="24"/>
                <w:highlight w:val="none"/>
                <w:lang w:val="en-US" w:eastAsia="zh-CN"/>
              </w:rPr>
              <w:t>有</w:t>
            </w:r>
            <w:r>
              <w:rPr>
                <w:rFonts w:hint="default" w:ascii="Times New Roman" w:hAnsi="Times New Roman" w:eastAsia="宋体" w:cs="Times New Roman"/>
                <w:color w:val="auto"/>
                <w:kern w:val="0"/>
                <w:sz w:val="24"/>
                <w:szCs w:val="24"/>
                <w:highlight w:val="none"/>
                <w:lang w:val="en-US" w:eastAsia="zh-CN"/>
              </w:rPr>
              <w:t>集气管道对有机废气进行收集，</w:t>
            </w:r>
            <w:r>
              <w:rPr>
                <w:rFonts w:hint="default" w:ascii="Times New Roman" w:hAnsi="Times New Roman" w:eastAsia="宋体" w:cs="Times New Roman"/>
                <w:b w:val="0"/>
                <w:bCs w:val="0"/>
                <w:color w:val="auto"/>
                <w:kern w:val="0"/>
                <w:sz w:val="24"/>
                <w:szCs w:val="24"/>
                <w:highlight w:val="none"/>
                <w:u w:val="none"/>
                <w:lang w:val="en-US" w:eastAsia="zh-CN"/>
              </w:rPr>
              <w:t>废气收集后经管道连接至</w:t>
            </w:r>
            <w:r>
              <w:rPr>
                <w:rFonts w:hint="eastAsia" w:ascii="Times New Roman" w:hAnsi="Times New Roman" w:eastAsia="宋体" w:cs="Times New Roman"/>
                <w:b w:val="0"/>
                <w:bCs w:val="0"/>
                <w:color w:val="auto"/>
                <w:kern w:val="0"/>
                <w:sz w:val="24"/>
                <w:szCs w:val="24"/>
                <w:highlight w:val="none"/>
                <w:u w:val="none"/>
                <w:lang w:val="en-US" w:eastAsia="zh-CN"/>
              </w:rPr>
              <w:t>1</w:t>
            </w:r>
            <w:r>
              <w:rPr>
                <w:rFonts w:hint="default" w:ascii="Times New Roman" w:hAnsi="Times New Roman" w:eastAsia="宋体" w:cs="Times New Roman"/>
                <w:b w:val="0"/>
                <w:bCs w:val="0"/>
                <w:color w:val="auto"/>
                <w:kern w:val="0"/>
                <w:sz w:val="24"/>
                <w:szCs w:val="24"/>
                <w:highlight w:val="none"/>
                <w:u w:val="none"/>
                <w:lang w:val="en-US" w:eastAsia="zh-CN"/>
              </w:rPr>
              <w:t>套“</w:t>
            </w:r>
            <w:r>
              <w:rPr>
                <w:rFonts w:hint="default" w:ascii="Times New Roman" w:hAnsi="Times New Roman" w:cs="Times New Roman"/>
                <w:b w:val="0"/>
                <w:bCs w:val="0"/>
                <w:snapToGrid w:val="0"/>
                <w:color w:val="auto"/>
                <w:kern w:val="0"/>
                <w:sz w:val="24"/>
                <w:szCs w:val="20"/>
                <w:u w:val="none"/>
              </w:rPr>
              <w:t>UV光催化氧</w:t>
            </w:r>
            <w:r>
              <w:rPr>
                <w:rFonts w:hint="eastAsia" w:cs="Times New Roman"/>
                <w:b w:val="0"/>
                <w:bCs w:val="0"/>
                <w:snapToGrid w:val="0"/>
                <w:color w:val="auto"/>
                <w:kern w:val="0"/>
                <w:sz w:val="24"/>
                <w:szCs w:val="20"/>
                <w:u w:val="none"/>
                <w:lang w:val="en-US" w:eastAsia="zh-CN"/>
              </w:rPr>
              <w:t>化</w:t>
            </w:r>
            <w:r>
              <w:rPr>
                <w:rFonts w:hint="default" w:ascii="Times New Roman" w:hAnsi="Times New Roman" w:eastAsia="宋体" w:cs="Times New Roman"/>
                <w:b w:val="0"/>
                <w:bCs w:val="0"/>
                <w:color w:val="auto"/>
                <w:kern w:val="0"/>
                <w:sz w:val="24"/>
                <w:szCs w:val="24"/>
                <w:highlight w:val="none"/>
                <w:u w:val="none"/>
                <w:lang w:val="en-US" w:eastAsia="zh-CN"/>
              </w:rPr>
              <w:t>+活性炭吸附装置”进行处理，处理后经</w:t>
            </w:r>
            <w:r>
              <w:rPr>
                <w:rFonts w:hint="eastAsia" w:ascii="Times New Roman" w:hAnsi="Times New Roman" w:eastAsia="宋体" w:cs="Times New Roman"/>
                <w:b w:val="0"/>
                <w:bCs w:val="0"/>
                <w:color w:val="auto"/>
                <w:kern w:val="0"/>
                <w:sz w:val="24"/>
                <w:szCs w:val="24"/>
                <w:highlight w:val="none"/>
                <w:u w:val="none"/>
                <w:lang w:val="en-US" w:eastAsia="zh-CN"/>
              </w:rPr>
              <w:t>1</w:t>
            </w:r>
            <w:r>
              <w:rPr>
                <w:rFonts w:hint="default" w:ascii="Times New Roman" w:hAnsi="Times New Roman" w:eastAsia="宋体" w:cs="Times New Roman"/>
                <w:b w:val="0"/>
                <w:bCs w:val="0"/>
                <w:color w:val="auto"/>
                <w:kern w:val="0"/>
                <w:sz w:val="24"/>
                <w:szCs w:val="24"/>
                <w:highlight w:val="none"/>
                <w:u w:val="none"/>
                <w:lang w:val="en-US" w:eastAsia="zh-CN"/>
              </w:rPr>
              <w:t>根15m高排气筒排放</w:t>
            </w:r>
            <w:r>
              <w:rPr>
                <w:rFonts w:hint="eastAsia" w:ascii="Times New Roman" w:hAnsi="Times New Roman" w:eastAsia="宋体" w:cs="Times New Roman"/>
                <w:b w:val="0"/>
                <w:bCs w:val="0"/>
                <w:color w:val="auto"/>
                <w:sz w:val="24"/>
                <w:u w:val="none"/>
                <w:lang w:eastAsia="zh-CN"/>
              </w:rPr>
              <w:t>（</w:t>
            </w:r>
            <w:r>
              <w:rPr>
                <w:rFonts w:hint="eastAsia" w:ascii="Times New Roman" w:hAnsi="Times New Roman" w:eastAsia="宋体" w:cs="Times New Roman"/>
                <w:b w:val="0"/>
                <w:bCs w:val="0"/>
                <w:color w:val="auto"/>
                <w:sz w:val="24"/>
                <w:u w:val="none"/>
                <w:lang w:val="en-US" w:eastAsia="zh-CN"/>
              </w:rPr>
              <w:t>DA002</w:t>
            </w:r>
            <w:r>
              <w:rPr>
                <w:rFonts w:hint="eastAsia" w:ascii="Times New Roman" w:hAnsi="Times New Roman" w:eastAsia="宋体" w:cs="Times New Roman"/>
                <w:b w:val="0"/>
                <w:bCs w:val="0"/>
                <w:color w:val="auto"/>
                <w:sz w:val="24"/>
                <w:u w:val="none"/>
                <w:lang w:eastAsia="zh-CN"/>
              </w:rPr>
              <w:t>）</w:t>
            </w:r>
            <w:r>
              <w:rPr>
                <w:rFonts w:hint="default" w:ascii="Times New Roman" w:hAnsi="Times New Roman" w:eastAsia="宋体" w:cs="Times New Roman"/>
                <w:b w:val="0"/>
                <w:bCs w:val="0"/>
                <w:color w:val="auto"/>
                <w:kern w:val="0"/>
                <w:sz w:val="24"/>
                <w:szCs w:val="24"/>
                <w:highlight w:val="none"/>
                <w:u w:val="none"/>
                <w:lang w:val="en-US" w:eastAsia="zh-CN"/>
              </w:rPr>
              <w:t>，</w:t>
            </w:r>
            <w:r>
              <w:rPr>
                <w:rFonts w:hint="eastAsia" w:ascii="Times New Roman" w:hAnsi="Times New Roman" w:eastAsia="宋体" w:cs="Times New Roman"/>
                <w:b w:val="0"/>
                <w:bCs w:val="0"/>
                <w:color w:val="auto"/>
                <w:kern w:val="0"/>
                <w:sz w:val="24"/>
                <w:szCs w:val="24"/>
                <w:highlight w:val="none"/>
                <w:u w:val="none"/>
                <w:lang w:val="en-US" w:eastAsia="zh-CN"/>
              </w:rPr>
              <w:t>配套</w:t>
            </w:r>
            <w:r>
              <w:rPr>
                <w:rFonts w:hint="default" w:ascii="Times New Roman" w:hAnsi="Times New Roman" w:eastAsia="宋体" w:cs="Times New Roman"/>
                <w:b w:val="0"/>
                <w:bCs w:val="0"/>
                <w:color w:val="auto"/>
                <w:kern w:val="0"/>
                <w:sz w:val="24"/>
                <w:szCs w:val="24"/>
                <w:highlight w:val="none"/>
                <w:u w:val="none"/>
                <w:lang w:val="en-US" w:eastAsia="zh-CN"/>
              </w:rPr>
              <w:t>风机风量为</w:t>
            </w:r>
            <w:r>
              <w:rPr>
                <w:rFonts w:hint="eastAsia" w:cs="Times New Roman"/>
                <w:b w:val="0"/>
                <w:bCs w:val="0"/>
                <w:color w:val="auto"/>
                <w:kern w:val="0"/>
                <w:sz w:val="24"/>
                <w:szCs w:val="24"/>
                <w:highlight w:val="none"/>
                <w:u w:val="none"/>
                <w:lang w:val="en-US" w:eastAsia="zh-CN"/>
              </w:rPr>
              <w:t>9</w:t>
            </w:r>
            <w:r>
              <w:rPr>
                <w:rFonts w:hint="default" w:ascii="Times New Roman" w:hAnsi="Times New Roman" w:eastAsia="宋体" w:cs="Times New Roman"/>
                <w:b w:val="0"/>
                <w:bCs w:val="0"/>
                <w:color w:val="auto"/>
                <w:kern w:val="0"/>
                <w:sz w:val="24"/>
                <w:szCs w:val="24"/>
                <w:highlight w:val="none"/>
                <w:u w:val="none"/>
                <w:lang w:val="en-US" w:eastAsia="zh-CN"/>
              </w:rPr>
              <w:t>000m</w:t>
            </w:r>
            <w:r>
              <w:rPr>
                <w:rFonts w:hint="default" w:ascii="Times New Roman" w:hAnsi="Times New Roman" w:eastAsia="宋体" w:cs="Times New Roman"/>
                <w:b w:val="0"/>
                <w:bCs w:val="0"/>
                <w:color w:val="auto"/>
                <w:kern w:val="0"/>
                <w:sz w:val="24"/>
                <w:szCs w:val="24"/>
                <w:highlight w:val="none"/>
                <w:u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u w:val="none"/>
                <w:lang w:val="en-US" w:eastAsia="zh-CN"/>
              </w:rPr>
              <w:t>/h。废气的收集效率按9</w:t>
            </w:r>
            <w:r>
              <w:rPr>
                <w:rFonts w:hint="eastAsia" w:ascii="Times New Roman" w:hAnsi="Times New Roman" w:eastAsia="宋体" w:cs="Times New Roman"/>
                <w:b w:val="0"/>
                <w:bCs w:val="0"/>
                <w:color w:val="auto"/>
                <w:kern w:val="0"/>
                <w:sz w:val="24"/>
                <w:szCs w:val="24"/>
                <w:highlight w:val="none"/>
                <w:u w:val="none"/>
                <w:lang w:val="en-US" w:eastAsia="zh-CN"/>
              </w:rPr>
              <w:t>5</w:t>
            </w:r>
            <w:r>
              <w:rPr>
                <w:rFonts w:hint="default" w:ascii="Times New Roman" w:hAnsi="Times New Roman" w:eastAsia="宋体" w:cs="Times New Roman"/>
                <w:b w:val="0"/>
                <w:bCs w:val="0"/>
                <w:color w:val="auto"/>
                <w:kern w:val="0"/>
                <w:sz w:val="24"/>
                <w:szCs w:val="24"/>
                <w:highlight w:val="none"/>
                <w:u w:val="none"/>
                <w:lang w:val="en-US" w:eastAsia="zh-CN"/>
              </w:rPr>
              <w:t>%计，</w:t>
            </w:r>
            <w:r>
              <w:rPr>
                <w:rFonts w:hint="eastAsia" w:ascii="Times New Roman" w:hAnsi="Times New Roman" w:cs="Times New Roman"/>
                <w:b w:val="0"/>
                <w:bCs w:val="0"/>
                <w:color w:val="auto"/>
                <w:kern w:val="0"/>
                <w:sz w:val="24"/>
                <w:szCs w:val="24"/>
                <w:highlight w:val="none"/>
                <w:u w:val="none"/>
                <w:lang w:val="en-US" w:eastAsia="zh-CN"/>
              </w:rPr>
              <w:t>则</w:t>
            </w:r>
            <w:r>
              <w:rPr>
                <w:rFonts w:hint="eastAsia" w:ascii="Times New Roman" w:hAnsi="Times New Roman" w:eastAsia="宋体" w:cs="Times New Roman"/>
                <w:b w:val="0"/>
                <w:bCs w:val="0"/>
                <w:color w:val="auto"/>
                <w:spacing w:val="-4"/>
                <w:sz w:val="24"/>
                <w:szCs w:val="22"/>
                <w:u w:val="none"/>
                <w:lang w:val="en-US" w:eastAsia="zh-CN"/>
              </w:rPr>
              <w:t>烘</w:t>
            </w:r>
            <w:r>
              <w:rPr>
                <w:rFonts w:hint="eastAsia" w:ascii="Times New Roman" w:hAnsi="Times New Roman" w:cs="Times New Roman"/>
                <w:b w:val="0"/>
                <w:bCs w:val="0"/>
                <w:color w:val="auto"/>
                <w:spacing w:val="-4"/>
                <w:sz w:val="24"/>
                <w:szCs w:val="22"/>
                <w:u w:val="none"/>
                <w:lang w:val="en-US" w:eastAsia="zh-CN"/>
              </w:rPr>
              <w:t>烤房</w:t>
            </w:r>
            <w:r>
              <w:rPr>
                <w:rFonts w:hint="eastAsia" w:ascii="Times New Roman" w:hAnsi="Times New Roman" w:eastAsia="宋体" w:cs="Times New Roman"/>
                <w:b w:val="0"/>
                <w:bCs w:val="0"/>
                <w:color w:val="auto"/>
                <w:spacing w:val="-4"/>
                <w:sz w:val="24"/>
                <w:szCs w:val="22"/>
                <w:u w:val="none"/>
                <w:lang w:val="en-US" w:eastAsia="zh-CN"/>
              </w:rPr>
              <w:t>非甲烷总烃有组织产生量0.0456t/a。</w:t>
            </w:r>
            <w:r>
              <w:rPr>
                <w:rFonts w:hint="default" w:ascii="Times New Roman" w:hAnsi="Times New Roman" w:eastAsia="宋体" w:cs="Times New Roman"/>
                <w:b w:val="0"/>
                <w:bCs w:val="0"/>
                <w:color w:val="auto"/>
                <w:kern w:val="0"/>
                <w:sz w:val="24"/>
                <w:szCs w:val="24"/>
                <w:highlight w:val="none"/>
                <w:u w:val="none"/>
                <w:lang w:val="en-US" w:eastAsia="zh-CN"/>
              </w:rPr>
              <w:t>“</w:t>
            </w:r>
            <w:r>
              <w:rPr>
                <w:rFonts w:hint="default" w:ascii="Times New Roman" w:hAnsi="Times New Roman" w:cs="Times New Roman"/>
                <w:b w:val="0"/>
                <w:bCs w:val="0"/>
                <w:snapToGrid w:val="0"/>
                <w:color w:val="auto"/>
                <w:kern w:val="0"/>
                <w:sz w:val="24"/>
                <w:szCs w:val="20"/>
                <w:u w:val="none"/>
              </w:rPr>
              <w:t>UV光催化氧</w:t>
            </w:r>
            <w:r>
              <w:rPr>
                <w:rFonts w:hint="eastAsia" w:cs="Times New Roman"/>
                <w:b w:val="0"/>
                <w:bCs w:val="0"/>
                <w:snapToGrid w:val="0"/>
                <w:color w:val="auto"/>
                <w:kern w:val="0"/>
                <w:sz w:val="24"/>
                <w:szCs w:val="20"/>
                <w:u w:val="none"/>
                <w:lang w:val="en-US" w:eastAsia="zh-CN"/>
              </w:rPr>
              <w:t>化</w:t>
            </w:r>
            <w:r>
              <w:rPr>
                <w:rFonts w:hint="default" w:ascii="Times New Roman" w:hAnsi="Times New Roman" w:eastAsia="宋体" w:cs="Times New Roman"/>
                <w:b w:val="0"/>
                <w:bCs w:val="0"/>
                <w:color w:val="auto"/>
                <w:kern w:val="0"/>
                <w:sz w:val="24"/>
                <w:szCs w:val="24"/>
                <w:highlight w:val="none"/>
                <w:u w:val="none"/>
                <w:lang w:val="en-US" w:eastAsia="zh-CN"/>
              </w:rPr>
              <w:t>+活性炭吸附装置”对非甲烷总烃的处理效率</w:t>
            </w:r>
            <w:r>
              <w:rPr>
                <w:rFonts w:hint="eastAsia" w:ascii="Times New Roman" w:hAnsi="Times New Roman" w:eastAsia="宋体" w:cs="Times New Roman"/>
                <w:b w:val="0"/>
                <w:bCs w:val="0"/>
                <w:color w:val="auto"/>
                <w:kern w:val="0"/>
                <w:sz w:val="24"/>
                <w:szCs w:val="24"/>
                <w:highlight w:val="none"/>
                <w:u w:val="none"/>
                <w:lang w:val="en-US" w:eastAsia="zh-CN"/>
              </w:rPr>
              <w:t>按</w:t>
            </w:r>
            <w:r>
              <w:rPr>
                <w:rFonts w:hint="default" w:ascii="Times New Roman" w:hAnsi="Times New Roman" w:eastAsia="宋体" w:cs="Times New Roman"/>
                <w:b w:val="0"/>
                <w:bCs w:val="0"/>
                <w:color w:val="auto"/>
                <w:kern w:val="0"/>
                <w:sz w:val="24"/>
                <w:szCs w:val="24"/>
                <w:highlight w:val="none"/>
                <w:u w:val="none"/>
                <w:lang w:val="en-US" w:eastAsia="zh-CN"/>
              </w:rPr>
              <w:t>85%</w:t>
            </w:r>
            <w:r>
              <w:rPr>
                <w:rFonts w:hint="eastAsia" w:ascii="Times New Roman" w:hAnsi="Times New Roman" w:eastAsia="宋体" w:cs="Times New Roman"/>
                <w:b w:val="0"/>
                <w:bCs w:val="0"/>
                <w:color w:val="auto"/>
                <w:kern w:val="0"/>
                <w:sz w:val="24"/>
                <w:szCs w:val="24"/>
                <w:highlight w:val="none"/>
                <w:u w:val="none"/>
                <w:lang w:val="en-US" w:eastAsia="zh-CN"/>
              </w:rPr>
              <w:t>计，</w:t>
            </w:r>
            <w:r>
              <w:rPr>
                <w:rFonts w:hint="eastAsia" w:ascii="Times New Roman" w:hAnsi="Times New Roman" w:eastAsia="宋体" w:cs="Times New Roman"/>
                <w:color w:val="auto"/>
                <w:kern w:val="0"/>
                <w:sz w:val="24"/>
                <w:szCs w:val="24"/>
                <w:highlight w:val="none"/>
                <w:lang w:eastAsia="zh-CN"/>
              </w:rPr>
              <w:t>经</w:t>
            </w:r>
            <w:r>
              <w:rPr>
                <w:rFonts w:hint="eastAsia" w:ascii="Times New Roman" w:hAnsi="Times New Roman" w:eastAsia="宋体" w:cs="Times New Roman"/>
                <w:b w:val="0"/>
                <w:bCs w:val="0"/>
                <w:color w:val="auto"/>
                <w:spacing w:val="-4"/>
                <w:sz w:val="24"/>
                <w:szCs w:val="22"/>
                <w:u w:val="none"/>
                <w:lang w:val="en-US" w:eastAsia="zh-CN"/>
              </w:rPr>
              <w:t>处理后，烘</w:t>
            </w:r>
            <w:r>
              <w:rPr>
                <w:rFonts w:hint="eastAsia" w:ascii="Times New Roman" w:hAnsi="Times New Roman" w:cs="Times New Roman"/>
                <w:b w:val="0"/>
                <w:bCs w:val="0"/>
                <w:color w:val="auto"/>
                <w:spacing w:val="-4"/>
                <w:sz w:val="24"/>
                <w:szCs w:val="22"/>
                <w:u w:val="none"/>
                <w:lang w:val="en-US" w:eastAsia="zh-CN"/>
              </w:rPr>
              <w:t>烤房</w:t>
            </w:r>
            <w:r>
              <w:rPr>
                <w:rFonts w:hint="eastAsia" w:ascii="Times New Roman" w:hAnsi="Times New Roman" w:eastAsia="宋体" w:cs="Times New Roman"/>
                <w:b w:val="0"/>
                <w:bCs w:val="0"/>
                <w:color w:val="auto"/>
                <w:spacing w:val="-4"/>
                <w:sz w:val="24"/>
                <w:szCs w:val="22"/>
                <w:u w:val="none"/>
                <w:lang w:val="en-US" w:eastAsia="zh-CN"/>
              </w:rPr>
              <w:t>非甲烷总烃有组织排放量0.006</w:t>
            </w:r>
            <w:r>
              <w:rPr>
                <w:rFonts w:hint="eastAsia" w:ascii="Times New Roman" w:hAnsi="Times New Roman" w:cs="Times New Roman"/>
                <w:b w:val="0"/>
                <w:bCs w:val="0"/>
                <w:color w:val="auto"/>
                <w:spacing w:val="-4"/>
                <w:sz w:val="24"/>
                <w:szCs w:val="22"/>
                <w:u w:val="none"/>
                <w:lang w:val="en-US" w:eastAsia="zh-CN"/>
              </w:rPr>
              <w:t>84</w:t>
            </w:r>
            <w:r>
              <w:rPr>
                <w:rFonts w:hint="eastAsia" w:ascii="Times New Roman" w:hAnsi="Times New Roman" w:eastAsia="宋体" w:cs="Times New Roman"/>
                <w:b w:val="0"/>
                <w:bCs w:val="0"/>
                <w:color w:val="auto"/>
                <w:spacing w:val="-4"/>
                <w:sz w:val="24"/>
                <w:szCs w:val="22"/>
                <w:u w:val="none"/>
                <w:lang w:val="en-US" w:eastAsia="zh-CN"/>
              </w:rPr>
              <w:t>t/a。</w:t>
            </w:r>
          </w:p>
          <w:p>
            <w:pPr>
              <w:pStyle w:val="2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color w:val="auto"/>
                <w:lang w:val="zh-CN"/>
              </w:rPr>
            </w:pPr>
            <w:r>
              <w:rPr>
                <w:rFonts w:hint="default" w:ascii="Times New Roman" w:hAnsi="Times New Roman" w:eastAsia="宋体" w:cs="Times New Roman"/>
                <w:b w:val="0"/>
                <w:bCs w:val="0"/>
                <w:color w:val="auto"/>
                <w:kern w:val="0"/>
                <w:sz w:val="24"/>
                <w:szCs w:val="24"/>
                <w:highlight w:val="none"/>
                <w:u w:val="none"/>
                <w:lang w:val="en-US" w:eastAsia="zh-CN"/>
              </w:rPr>
              <w:t>无组织部分按</w:t>
            </w:r>
            <w:r>
              <w:rPr>
                <w:rFonts w:hint="eastAsia" w:ascii="Times New Roman" w:hAnsi="Times New Roman" w:eastAsia="宋体" w:cs="Times New Roman"/>
                <w:b w:val="0"/>
                <w:bCs w:val="0"/>
                <w:color w:val="auto"/>
                <w:kern w:val="0"/>
                <w:sz w:val="24"/>
                <w:szCs w:val="24"/>
                <w:highlight w:val="none"/>
                <w:u w:val="none"/>
                <w:lang w:val="en-US" w:eastAsia="zh-CN"/>
              </w:rPr>
              <w:t>5</w:t>
            </w:r>
            <w:r>
              <w:rPr>
                <w:rFonts w:hint="default" w:ascii="Times New Roman" w:hAnsi="Times New Roman" w:eastAsia="宋体" w:cs="Times New Roman"/>
                <w:b w:val="0"/>
                <w:bCs w:val="0"/>
                <w:color w:val="auto"/>
                <w:kern w:val="0"/>
                <w:sz w:val="24"/>
                <w:szCs w:val="24"/>
                <w:highlight w:val="none"/>
                <w:u w:val="none"/>
                <w:lang w:val="en-US" w:eastAsia="zh-CN"/>
              </w:rPr>
              <w:t>%计，</w:t>
            </w:r>
            <w:r>
              <w:rPr>
                <w:rFonts w:hint="eastAsia" w:ascii="Times New Roman" w:hAnsi="Times New Roman" w:eastAsia="宋体" w:cs="Times New Roman"/>
                <w:b w:val="0"/>
                <w:bCs w:val="0"/>
                <w:color w:val="auto"/>
                <w:sz w:val="24"/>
                <w:u w:val="none"/>
                <w:lang w:val="en-US" w:eastAsia="zh-CN"/>
              </w:rPr>
              <w:t>则</w:t>
            </w:r>
            <w:r>
              <w:rPr>
                <w:rFonts w:hint="eastAsia" w:ascii="Times New Roman" w:hAnsi="Times New Roman" w:eastAsia="宋体" w:cs="Times New Roman"/>
                <w:b w:val="0"/>
                <w:bCs w:val="0"/>
                <w:color w:val="auto"/>
                <w:spacing w:val="-4"/>
                <w:sz w:val="24"/>
                <w:szCs w:val="22"/>
                <w:u w:val="none"/>
                <w:lang w:val="en-US" w:eastAsia="zh-CN"/>
              </w:rPr>
              <w:t>非甲烷总烃</w:t>
            </w:r>
            <w:r>
              <w:rPr>
                <w:rFonts w:hint="eastAsia" w:ascii="Times New Roman" w:hAnsi="Times New Roman" w:eastAsia="宋体" w:cs="Times New Roman"/>
                <w:color w:val="auto"/>
                <w:sz w:val="24"/>
                <w:lang w:eastAsia="zh-CN"/>
              </w:rPr>
              <w:t>无组织排放量为</w:t>
            </w:r>
            <w:r>
              <w:rPr>
                <w:rFonts w:hint="eastAsia" w:ascii="Times New Roman" w:hAnsi="Times New Roman" w:eastAsia="宋体" w:cs="Times New Roman"/>
                <w:color w:val="auto"/>
                <w:sz w:val="24"/>
                <w:lang w:val="en-US" w:eastAsia="zh-CN"/>
              </w:rPr>
              <w:t>0.00</w:t>
            </w:r>
            <w:r>
              <w:rPr>
                <w:rFonts w:hint="eastAsia" w:ascii="Times New Roman" w:hAnsi="Times New Roman" w:cs="Times New Roman"/>
                <w:color w:val="auto"/>
                <w:sz w:val="24"/>
                <w:lang w:val="en-US" w:eastAsia="zh-CN"/>
              </w:rPr>
              <w:t>24</w:t>
            </w:r>
            <w:r>
              <w:rPr>
                <w:rFonts w:hint="eastAsia"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70"/>
              <w:textAlignment w:val="auto"/>
              <w:outlineLvl w:val="0"/>
              <w:rPr>
                <w:rFonts w:hint="default" w:ascii="Times New Roman" w:hAnsi="Times New Roman" w:eastAsia="宋体" w:cs="Times New Roman"/>
                <w:b/>
                <w:bCs w:val="0"/>
                <w:color w:val="auto"/>
                <w:kern w:val="0"/>
                <w:sz w:val="24"/>
                <w:szCs w:val="24"/>
                <w:u w:val="none"/>
                <w:lang w:val="en-US"/>
              </w:rPr>
            </w:pPr>
            <w:r>
              <w:rPr>
                <w:rFonts w:hint="eastAsia" w:ascii="Times New Roman" w:hAnsi="Times New Roman" w:eastAsia="宋体" w:cs="Times New Roman"/>
                <w:b/>
                <w:bCs w:val="0"/>
                <w:color w:val="auto"/>
                <w:kern w:val="0"/>
                <w:sz w:val="24"/>
                <w:szCs w:val="24"/>
                <w:lang w:val="en-US" w:eastAsia="zh-CN"/>
              </w:rPr>
              <w:fldChar w:fldCharType="begin"/>
            </w:r>
            <w:r>
              <w:rPr>
                <w:rFonts w:hint="eastAsia" w:ascii="Times New Roman" w:hAnsi="Times New Roman" w:eastAsia="宋体" w:cs="Times New Roman"/>
                <w:b/>
                <w:bCs w:val="0"/>
                <w:color w:val="auto"/>
                <w:kern w:val="0"/>
                <w:sz w:val="24"/>
                <w:szCs w:val="24"/>
                <w:lang w:val="en-US" w:eastAsia="zh-CN"/>
              </w:rPr>
              <w:instrText xml:space="preserve"> = 2 \* GB3 \* MERGEFORMAT </w:instrText>
            </w:r>
            <w:r>
              <w:rPr>
                <w:rFonts w:hint="eastAsia" w:ascii="Times New Roman" w:hAnsi="Times New Roman" w:eastAsia="宋体" w:cs="Times New Roman"/>
                <w:b/>
                <w:bCs w:val="0"/>
                <w:color w:val="auto"/>
                <w:kern w:val="0"/>
                <w:sz w:val="24"/>
                <w:szCs w:val="24"/>
                <w:lang w:val="en-US" w:eastAsia="zh-CN"/>
              </w:rPr>
              <w:fldChar w:fldCharType="separate"/>
            </w:r>
            <w:r>
              <w:rPr>
                <w:rFonts w:hint="eastAsia" w:ascii="Times New Roman" w:hAnsi="Times New Roman" w:eastAsia="宋体" w:cs="Times New Roman"/>
                <w:b/>
                <w:bCs w:val="0"/>
                <w:color w:val="auto"/>
                <w:kern w:val="0"/>
                <w:sz w:val="24"/>
                <w:szCs w:val="24"/>
                <w:lang w:val="en-US" w:eastAsia="zh-CN"/>
              </w:rPr>
              <w:t>②</w:t>
            </w:r>
            <w:r>
              <w:rPr>
                <w:rFonts w:hint="eastAsia" w:ascii="Times New Roman" w:hAnsi="Times New Roman" w:eastAsia="宋体" w:cs="Times New Roman"/>
                <w:b/>
                <w:bCs w:val="0"/>
                <w:color w:val="auto"/>
                <w:kern w:val="0"/>
                <w:sz w:val="24"/>
                <w:szCs w:val="24"/>
                <w:lang w:val="en-US" w:eastAsia="zh-CN"/>
              </w:rPr>
              <w:fldChar w:fldCharType="end"/>
            </w:r>
            <w:r>
              <w:rPr>
                <w:rFonts w:hint="eastAsia" w:ascii="Times New Roman" w:hAnsi="Times New Roman" w:eastAsia="宋体" w:cs="Times New Roman"/>
                <w:b/>
                <w:bCs w:val="0"/>
                <w:color w:val="auto"/>
                <w:spacing w:val="-4"/>
                <w:sz w:val="24"/>
                <w:szCs w:val="22"/>
                <w:u w:val="none"/>
                <w:lang w:val="en-US" w:eastAsia="zh-CN"/>
              </w:rPr>
              <w:t>烘</w:t>
            </w:r>
            <w:r>
              <w:rPr>
                <w:rFonts w:hint="eastAsia" w:ascii="Times New Roman" w:hAnsi="Times New Roman" w:cs="Times New Roman"/>
                <w:b/>
                <w:bCs w:val="0"/>
                <w:color w:val="auto"/>
                <w:spacing w:val="-4"/>
                <w:sz w:val="24"/>
                <w:szCs w:val="22"/>
                <w:u w:val="none"/>
                <w:lang w:val="en-US" w:eastAsia="zh-CN"/>
              </w:rPr>
              <w:t>烤</w:t>
            </w:r>
            <w:r>
              <w:rPr>
                <w:rFonts w:hint="eastAsia" w:ascii="Times New Roman" w:hAnsi="Times New Roman" w:eastAsia="宋体" w:cs="Times New Roman"/>
                <w:b/>
                <w:bCs w:val="0"/>
                <w:color w:val="auto"/>
                <w:spacing w:val="-4"/>
                <w:sz w:val="24"/>
                <w:szCs w:val="22"/>
                <w:u w:val="none"/>
                <w:lang w:val="en-US" w:eastAsia="zh-CN"/>
              </w:rPr>
              <w:t>过程中产生的</w:t>
            </w:r>
            <w:r>
              <w:rPr>
                <w:rFonts w:hint="eastAsia" w:ascii="Times New Roman" w:hAnsi="Times New Roman" w:eastAsia="宋体" w:cs="Times New Roman"/>
                <w:b/>
                <w:bCs w:val="0"/>
                <w:color w:val="auto"/>
                <w:kern w:val="0"/>
                <w:sz w:val="24"/>
                <w:szCs w:val="24"/>
                <w:lang w:val="en-US" w:eastAsia="zh-CN"/>
              </w:rPr>
              <w:t>燃烧</w:t>
            </w:r>
            <w:r>
              <w:rPr>
                <w:rFonts w:hint="eastAsia" w:ascii="Times New Roman" w:hAnsi="Times New Roman" w:cs="Times New Roman"/>
                <w:b/>
                <w:bCs w:val="0"/>
                <w:color w:val="auto"/>
                <w:kern w:val="0"/>
                <w:sz w:val="24"/>
                <w:szCs w:val="24"/>
                <w:lang w:val="en-US" w:eastAsia="zh-CN"/>
              </w:rPr>
              <w:t>废气</w:t>
            </w:r>
          </w:p>
          <w:p>
            <w:pPr>
              <w:pStyle w:val="22"/>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color w:val="auto"/>
                <w:sz w:val="24"/>
                <w:szCs w:val="24"/>
              </w:rPr>
            </w:pPr>
            <w:r>
              <w:rPr>
                <w:rFonts w:hint="eastAsia"/>
                <w:color w:val="auto"/>
                <w:sz w:val="24"/>
                <w:szCs w:val="24"/>
              </w:rPr>
              <w:t>本项目固化工序采取热风炉燃烧</w:t>
            </w:r>
            <w:r>
              <w:rPr>
                <w:rFonts w:hint="eastAsia"/>
                <w:color w:val="auto"/>
                <w:sz w:val="24"/>
                <w:szCs w:val="24"/>
                <w:lang w:val="en-US" w:eastAsia="zh-CN"/>
              </w:rPr>
              <w:t>天然气</w:t>
            </w:r>
            <w:r>
              <w:rPr>
                <w:rFonts w:hint="eastAsia"/>
                <w:color w:val="auto"/>
                <w:sz w:val="24"/>
                <w:szCs w:val="24"/>
              </w:rPr>
              <w:t>直接对固化房加热。</w:t>
            </w:r>
            <w:r>
              <w:rPr>
                <w:rFonts w:hint="eastAsia"/>
                <w:color w:val="auto"/>
                <w:sz w:val="24"/>
                <w:szCs w:val="24"/>
                <w:lang w:val="en-US" w:eastAsia="zh-CN"/>
              </w:rPr>
              <w:t>天然气</w:t>
            </w:r>
            <w:r>
              <w:rPr>
                <w:rFonts w:hint="eastAsia"/>
                <w:color w:val="auto"/>
                <w:sz w:val="24"/>
                <w:szCs w:val="24"/>
              </w:rPr>
              <w:t>燃烧后主要产生的污染物为</w:t>
            </w:r>
            <w:r>
              <w:rPr>
                <w:rFonts w:hint="eastAsia"/>
                <w:color w:val="auto"/>
                <w:sz w:val="24"/>
                <w:szCs w:val="24"/>
                <w:lang w:val="en-US" w:eastAsia="zh-CN"/>
              </w:rPr>
              <w:t>颗粒物</w:t>
            </w:r>
            <w:r>
              <w:rPr>
                <w:rFonts w:hint="eastAsia"/>
                <w:color w:val="auto"/>
                <w:sz w:val="24"/>
                <w:szCs w:val="24"/>
                <w:lang w:eastAsia="zh-CN"/>
              </w:rPr>
              <w:t>、</w:t>
            </w:r>
            <w:r>
              <w:rPr>
                <w:rFonts w:hint="eastAsia"/>
                <w:color w:val="auto"/>
                <w:sz w:val="24"/>
                <w:szCs w:val="24"/>
              </w:rPr>
              <w:t>SO</w:t>
            </w:r>
            <w:r>
              <w:rPr>
                <w:rFonts w:hint="eastAsia"/>
                <w:color w:val="auto"/>
                <w:sz w:val="24"/>
                <w:szCs w:val="24"/>
                <w:vertAlign w:val="subscript"/>
              </w:rPr>
              <w:t>2</w:t>
            </w:r>
            <w:r>
              <w:rPr>
                <w:rFonts w:hint="eastAsia"/>
                <w:color w:val="auto"/>
                <w:sz w:val="24"/>
                <w:szCs w:val="24"/>
              </w:rPr>
              <w:t>和NOx，其废气通过15m排气筒（</w:t>
            </w:r>
            <w:r>
              <w:rPr>
                <w:rFonts w:hint="eastAsia"/>
                <w:color w:val="auto"/>
                <w:sz w:val="24"/>
                <w:szCs w:val="24"/>
                <w:lang w:val="en-US" w:eastAsia="zh-CN"/>
              </w:rPr>
              <w:t>DA002</w:t>
            </w:r>
            <w:r>
              <w:rPr>
                <w:rFonts w:hint="eastAsia"/>
                <w:color w:val="auto"/>
                <w:sz w:val="24"/>
                <w:szCs w:val="24"/>
              </w:rPr>
              <w:t>）排放。项目热风炉工作时间为</w:t>
            </w:r>
            <w:r>
              <w:rPr>
                <w:rFonts w:hint="eastAsia"/>
                <w:color w:val="auto"/>
                <w:sz w:val="24"/>
                <w:szCs w:val="24"/>
                <w:lang w:val="en-US" w:eastAsia="zh-CN"/>
              </w:rPr>
              <w:t>150</w:t>
            </w:r>
            <w:r>
              <w:rPr>
                <w:rFonts w:hint="eastAsia"/>
                <w:color w:val="auto"/>
                <w:sz w:val="24"/>
                <w:szCs w:val="24"/>
              </w:rPr>
              <w:t>天，每天</w:t>
            </w:r>
            <w:r>
              <w:rPr>
                <w:rFonts w:hint="eastAsia"/>
                <w:color w:val="auto"/>
                <w:sz w:val="24"/>
                <w:szCs w:val="24"/>
                <w:lang w:val="en-US" w:eastAsia="zh-CN"/>
              </w:rPr>
              <w:t>1</w:t>
            </w:r>
            <w:r>
              <w:rPr>
                <w:rFonts w:hint="eastAsia"/>
                <w:color w:val="auto"/>
                <w:sz w:val="24"/>
                <w:szCs w:val="24"/>
              </w:rPr>
              <w:t>小时，则</w:t>
            </w:r>
            <w:r>
              <w:rPr>
                <w:rFonts w:hint="eastAsia"/>
                <w:color w:val="auto"/>
                <w:sz w:val="24"/>
                <w:szCs w:val="24"/>
                <w:lang w:eastAsia="zh-CN"/>
              </w:rPr>
              <w:t>天然气</w:t>
            </w:r>
            <w:r>
              <w:rPr>
                <w:rFonts w:hint="eastAsia"/>
                <w:color w:val="auto"/>
                <w:sz w:val="24"/>
                <w:szCs w:val="24"/>
              </w:rPr>
              <w:t>燃烧污染物年排放时间为</w:t>
            </w:r>
            <w:r>
              <w:rPr>
                <w:rFonts w:hint="eastAsia"/>
                <w:color w:val="auto"/>
                <w:sz w:val="24"/>
                <w:szCs w:val="24"/>
                <w:lang w:val="en-US" w:eastAsia="zh-CN"/>
              </w:rPr>
              <w:t>150</w:t>
            </w:r>
            <w:r>
              <w:rPr>
                <w:rFonts w:hint="eastAsia"/>
                <w:color w:val="auto"/>
                <w:sz w:val="24"/>
                <w:szCs w:val="24"/>
              </w:rPr>
              <w:t>小时，本项目</w:t>
            </w:r>
            <w:r>
              <w:rPr>
                <w:rFonts w:hint="eastAsia"/>
                <w:color w:val="auto"/>
                <w:sz w:val="24"/>
                <w:szCs w:val="24"/>
                <w:lang w:eastAsia="zh-CN"/>
              </w:rPr>
              <w:t>天然气</w:t>
            </w:r>
            <w:r>
              <w:rPr>
                <w:rFonts w:hint="eastAsia"/>
                <w:color w:val="auto"/>
                <w:sz w:val="24"/>
                <w:szCs w:val="24"/>
              </w:rPr>
              <w:t>使用量为</w:t>
            </w:r>
            <w:r>
              <w:rPr>
                <w:rFonts w:hint="eastAsia"/>
                <w:color w:val="auto"/>
                <w:sz w:val="24"/>
                <w:szCs w:val="24"/>
                <w:lang w:val="en-US" w:eastAsia="zh-CN"/>
              </w:rPr>
              <w:t>6.59t/a（其中天然气密度为0.75kg/m</w:t>
            </w:r>
            <w:r>
              <w:rPr>
                <w:rFonts w:hint="eastAsia"/>
                <w:color w:val="auto"/>
                <w:sz w:val="24"/>
                <w:szCs w:val="24"/>
                <w:vertAlign w:val="superscript"/>
                <w:lang w:val="en-US" w:eastAsia="zh-CN"/>
              </w:rPr>
              <w:t>3</w:t>
            </w:r>
            <w:r>
              <w:rPr>
                <w:rFonts w:hint="eastAsia"/>
                <w:color w:val="auto"/>
                <w:sz w:val="24"/>
                <w:szCs w:val="24"/>
                <w:lang w:val="en-US" w:eastAsia="zh-CN"/>
              </w:rPr>
              <w:t>）</w:t>
            </w:r>
            <w:r>
              <w:rPr>
                <w:rFonts w:hint="eastAsia"/>
                <w:color w:val="auto"/>
                <w:sz w:val="24"/>
                <w:szCs w:val="24"/>
                <w:vertAlign w:val="baseline"/>
                <w:lang w:val="en-US" w:eastAsia="zh-CN"/>
              </w:rPr>
              <w:t>，换算为体积为8787m</w:t>
            </w:r>
            <w:r>
              <w:rPr>
                <w:rFonts w:hint="eastAsia"/>
                <w:color w:val="auto"/>
                <w:sz w:val="24"/>
                <w:szCs w:val="24"/>
                <w:vertAlign w:val="superscript"/>
                <w:lang w:val="en-US" w:eastAsia="zh-CN"/>
              </w:rPr>
              <w:t>3</w:t>
            </w:r>
            <w:r>
              <w:rPr>
                <w:rFonts w:hint="eastAsia"/>
                <w:color w:val="auto"/>
                <w:sz w:val="24"/>
                <w:szCs w:val="24"/>
                <w:vertAlign w:val="baseline"/>
                <w:lang w:val="en-US" w:eastAsia="zh-CN"/>
              </w:rPr>
              <w:t>/a</w:t>
            </w:r>
            <w:r>
              <w:rPr>
                <w:rFonts w:hint="eastAsia"/>
                <w:color w:val="auto"/>
                <w:sz w:val="24"/>
                <w:szCs w:val="24"/>
              </w:rPr>
              <w:t>。</w:t>
            </w:r>
          </w:p>
          <w:p>
            <w:pPr>
              <w:keepNext w:val="0"/>
              <w:keepLines w:val="0"/>
              <w:pageBreakBefore w:val="0"/>
              <w:widowControl w:val="0"/>
              <w:tabs>
                <w:tab w:val="center" w:pos="4772"/>
              </w:tabs>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color w:val="auto"/>
                <w:kern w:val="0"/>
                <w:sz w:val="24"/>
                <w:szCs w:val="24"/>
                <w:u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天然气燃烧烟气产生的污染物主要为颗粒物、SO</w:t>
            </w:r>
            <w:r>
              <w:rPr>
                <w:rFonts w:hint="eastAsia" w:ascii="Times New Roman" w:hAnsi="Times New Roman" w:eastAsia="宋体" w:cs="Times New Roman"/>
                <w:b w:val="0"/>
                <w:bCs w:val="0"/>
                <w:color w:val="auto"/>
                <w:sz w:val="24"/>
                <w:szCs w:val="24"/>
                <w:highlight w:val="none"/>
                <w:u w:val="none"/>
                <w:vertAlign w:val="subscript"/>
                <w:lang w:val="en-US" w:eastAsia="zh-CN"/>
              </w:rPr>
              <w:t>2</w:t>
            </w:r>
            <w:r>
              <w:rPr>
                <w:rFonts w:hint="eastAsia" w:ascii="Times New Roman" w:hAnsi="Times New Roman" w:eastAsia="宋体" w:cs="Times New Roman"/>
                <w:b w:val="0"/>
                <w:bCs w:val="0"/>
                <w:color w:val="auto"/>
                <w:sz w:val="24"/>
                <w:szCs w:val="24"/>
                <w:highlight w:val="none"/>
                <w:u w:val="none"/>
                <w:lang w:val="en-US" w:eastAsia="zh-CN"/>
              </w:rPr>
              <w:t>、NO</w:t>
            </w:r>
            <w:r>
              <w:rPr>
                <w:rFonts w:hint="eastAsia" w:ascii="Times New Roman" w:hAnsi="Times New Roman" w:eastAsia="宋体" w:cs="Times New Roman"/>
                <w:b w:val="0"/>
                <w:bCs w:val="0"/>
                <w:color w:val="auto"/>
                <w:sz w:val="24"/>
                <w:szCs w:val="24"/>
                <w:highlight w:val="none"/>
                <w:u w:val="none"/>
                <w:vertAlign w:val="subscript"/>
                <w:lang w:val="en-US" w:eastAsia="zh-CN"/>
              </w:rPr>
              <w:t>X</w:t>
            </w:r>
            <w:r>
              <w:rPr>
                <w:rFonts w:hint="eastAsia" w:ascii="Times New Roman" w:hAnsi="Times New Roman" w:eastAsia="宋体" w:cs="Times New Roman"/>
                <w:b w:val="0"/>
                <w:bCs w:val="0"/>
                <w:color w:val="auto"/>
                <w:sz w:val="24"/>
                <w:szCs w:val="24"/>
                <w:highlight w:val="none"/>
                <w:u w:val="none"/>
                <w:lang w:val="en-US" w:eastAsia="zh-CN"/>
              </w:rPr>
              <w:t>。根据建设单位提供的资料，项目天然气用量为</w:t>
            </w:r>
            <w:r>
              <w:rPr>
                <w:rFonts w:hint="eastAsia" w:ascii="Times New Roman" w:hAnsi="Times New Roman" w:cs="Times New Roman"/>
                <w:b w:val="0"/>
                <w:bCs w:val="0"/>
                <w:color w:val="auto"/>
                <w:sz w:val="24"/>
                <w:szCs w:val="24"/>
                <w:highlight w:val="none"/>
                <w:u w:val="none"/>
                <w:lang w:val="en-US" w:eastAsia="zh-CN"/>
              </w:rPr>
              <w:t>9000</w:t>
            </w:r>
            <w:r>
              <w:rPr>
                <w:rFonts w:hint="eastAsia" w:ascii="Times New Roman" w:hAnsi="Times New Roman" w:eastAsia="宋体" w:cs="Times New Roman"/>
                <w:b w:val="0"/>
                <w:bCs w:val="0"/>
                <w:color w:val="auto"/>
                <w:sz w:val="24"/>
                <w:szCs w:val="24"/>
                <w:highlight w:val="none"/>
                <w:u w:val="none"/>
                <w:lang w:val="en-US" w:eastAsia="zh-CN"/>
              </w:rPr>
              <w:t>m</w:t>
            </w:r>
            <w:r>
              <w:rPr>
                <w:rFonts w:hint="eastAsia" w:ascii="Times New Roman" w:hAnsi="Times New Roman" w:eastAsia="宋体" w:cs="Times New Roman"/>
                <w:b w:val="0"/>
                <w:bCs w:val="0"/>
                <w:color w:val="auto"/>
                <w:sz w:val="24"/>
                <w:szCs w:val="24"/>
                <w:highlight w:val="none"/>
                <w:u w:val="none"/>
                <w:vertAlign w:val="superscript"/>
                <w:lang w:val="en-US" w:eastAsia="zh-CN"/>
              </w:rPr>
              <w:t>3</w:t>
            </w:r>
            <w:r>
              <w:rPr>
                <w:rFonts w:hint="eastAsia" w:ascii="Times New Roman" w:hAnsi="Times New Roman" w:eastAsia="宋体" w:cs="Times New Roman"/>
                <w:b w:val="0"/>
                <w:bCs w:val="0"/>
                <w:color w:val="auto"/>
                <w:sz w:val="24"/>
                <w:szCs w:val="24"/>
                <w:highlight w:val="none"/>
                <w:u w:val="none"/>
                <w:lang w:val="en-US" w:eastAsia="zh-CN"/>
              </w:rPr>
              <w:t>/a。</w:t>
            </w:r>
            <w:r>
              <w:rPr>
                <w:rFonts w:hint="default" w:ascii="Times New Roman" w:hAnsi="Times New Roman" w:eastAsia="宋体" w:cs="Times New Roman"/>
                <w:b w:val="0"/>
                <w:bCs/>
                <w:color w:val="auto"/>
                <w:kern w:val="0"/>
                <w:sz w:val="24"/>
                <w:szCs w:val="24"/>
                <w:u w:val="none"/>
                <w:lang w:val="en-US" w:eastAsia="zh-CN"/>
              </w:rPr>
              <w:t>根据《排污许可证申请与核发技术规范 工业炉窑》（HJ1121-2020）中绩效值法计算加热炉天然气燃烧烟气中二氧化硫、氮氧化物、颗粒物排放量。计算公式如下：</w:t>
            </w:r>
          </w:p>
          <w:p>
            <w:pPr>
              <w:pStyle w:val="32"/>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default" w:ascii="Times New Roman" w:hAnsi="Times New Roman" w:eastAsia="宋体" w:cs="Times New Roman"/>
                <w:b w:val="0"/>
                <w:bCs/>
                <w:color w:val="auto"/>
                <w:kern w:val="0"/>
                <w:sz w:val="24"/>
                <w:szCs w:val="24"/>
                <w:u w:val="none"/>
                <w:lang w:val="en-US" w:eastAsia="zh-CN"/>
              </w:rPr>
            </w:pPr>
            <w:r>
              <w:rPr>
                <w:rFonts w:hint="default" w:ascii="Times New Roman" w:hAnsi="Times New Roman" w:eastAsia="宋体" w:cs="Times New Roman"/>
                <w:b w:val="0"/>
                <w:bCs/>
                <w:color w:val="auto"/>
                <w:kern w:val="0"/>
                <w:sz w:val="24"/>
                <w:szCs w:val="24"/>
                <w:u w:val="none"/>
                <w:lang w:val="en-US" w:eastAsia="zh-CN"/>
              </w:rPr>
              <w:object>
                <v:shape id="_x0000_i1026" o:spt="75" type="#_x0000_t75" style="height:36.7pt;width:101.95pt;" o:ole="t" filled="f" o:preferrelative="t" stroked="f" coordsize="21600,21600">
                  <v:path/>
                  <v:fill on="f" focussize="0,0"/>
                  <v:stroke on="f"/>
                  <v:imagedata r:id="rId21" o:title=""/>
                  <o:lock v:ext="edit" aspectratio="f"/>
                  <w10:wrap type="none"/>
                  <w10:anchorlock/>
                </v:shape>
                <o:OLEObject Type="Embed" ProgID="Visio.Drawing.11" ShapeID="_x0000_i1026" DrawAspect="Content" ObjectID="_1468075726" r:id="rId20">
                  <o:LockedField>false</o:LockedField>
                </o:OLEObject>
              </w:object>
            </w:r>
          </w:p>
          <w:p>
            <w:pPr>
              <w:pStyle w:val="32"/>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both"/>
              <w:textAlignment w:val="auto"/>
              <w:rPr>
                <w:rFonts w:hint="default" w:ascii="Times New Roman" w:hAnsi="Times New Roman" w:eastAsia="宋体" w:cs="Times New Roman"/>
                <w:b w:val="0"/>
                <w:bCs/>
                <w:color w:val="auto"/>
                <w:kern w:val="0"/>
                <w:sz w:val="24"/>
                <w:szCs w:val="24"/>
                <w:u w:val="none"/>
                <w:lang w:val="zh-CN" w:eastAsia="zh-CN"/>
              </w:rPr>
            </w:pPr>
            <w:r>
              <w:rPr>
                <w:rFonts w:hint="default" w:ascii="Times New Roman" w:hAnsi="Times New Roman" w:eastAsia="宋体" w:cs="Times New Roman"/>
                <w:b w:val="0"/>
                <w:bCs/>
                <w:i/>
                <w:iCs/>
                <w:color w:val="auto"/>
                <w:kern w:val="0"/>
                <w:sz w:val="24"/>
                <w:szCs w:val="24"/>
                <w:u w:val="none"/>
                <w:lang w:val="zh-CN" w:eastAsia="zh-CN"/>
              </w:rPr>
              <w:t>Mi</w:t>
            </w:r>
            <w:r>
              <w:rPr>
                <w:rFonts w:hint="default" w:ascii="Times New Roman" w:hAnsi="Times New Roman" w:eastAsia="宋体" w:cs="Times New Roman"/>
                <w:b w:val="0"/>
                <w:bCs/>
                <w:color w:val="auto"/>
                <w:kern w:val="0"/>
                <w:sz w:val="24"/>
                <w:szCs w:val="24"/>
                <w:u w:val="none"/>
                <w:lang w:val="zh-CN" w:eastAsia="zh-CN"/>
              </w:rPr>
              <w:t>—第i个排放口污染物年许可排放量，t</w:t>
            </w:r>
          </w:p>
          <w:p>
            <w:pPr>
              <w:pStyle w:val="32"/>
              <w:keepNext w:val="0"/>
              <w:keepLines w:val="0"/>
              <w:pageBreakBefore w:val="0"/>
              <w:kinsoku/>
              <w:wordWrap/>
              <w:overflowPunct/>
              <w:topLinePunct w:val="0"/>
              <w:bidi w:val="0"/>
              <w:adjustRightInd w:val="0"/>
              <w:snapToGrid w:val="0"/>
              <w:spacing w:line="360" w:lineRule="auto"/>
              <w:ind w:right="0" w:firstLine="480" w:firstLineChars="200"/>
              <w:jc w:val="both"/>
              <w:textAlignment w:val="auto"/>
              <w:rPr>
                <w:rFonts w:hint="default" w:ascii="Times New Roman" w:hAnsi="Times New Roman" w:eastAsia="宋体" w:cs="Times New Roman"/>
                <w:b w:val="0"/>
                <w:bCs/>
                <w:color w:val="auto"/>
                <w:kern w:val="0"/>
                <w:sz w:val="24"/>
                <w:szCs w:val="24"/>
                <w:u w:val="none"/>
                <w:vertAlign w:val="baseline"/>
                <w:lang w:val="zh-CN" w:eastAsia="zh-CN"/>
              </w:rPr>
            </w:pPr>
            <w:r>
              <w:rPr>
                <w:rFonts w:hint="default" w:ascii="Times New Roman" w:hAnsi="Times New Roman" w:eastAsia="宋体" w:cs="Times New Roman"/>
                <w:b w:val="0"/>
                <w:bCs/>
                <w:i/>
                <w:iCs/>
                <w:color w:val="auto"/>
                <w:kern w:val="0"/>
                <w:sz w:val="24"/>
                <w:szCs w:val="24"/>
                <w:u w:val="none"/>
                <w:lang w:val="en-US" w:eastAsia="zh-CN"/>
              </w:rPr>
              <w:t>R</w:t>
            </w:r>
            <w:r>
              <w:rPr>
                <w:rFonts w:hint="default" w:ascii="Times New Roman" w:hAnsi="Times New Roman" w:eastAsia="宋体" w:cs="Times New Roman"/>
                <w:b w:val="0"/>
                <w:bCs/>
                <w:color w:val="auto"/>
                <w:kern w:val="0"/>
                <w:sz w:val="24"/>
                <w:szCs w:val="24"/>
                <w:u w:val="none"/>
                <w:lang w:val="zh-CN" w:eastAsia="zh-CN"/>
              </w:rPr>
              <w:t>—第i个排放口对应工业炉窑前三年实际产量最大值（若不足一年或前三年实际产量最大值超过设计产能，则以设计产能为准）或前三年实际燃料消耗量最大值（若不足一年或前三年实际燃料消耗量最大值超过设计消耗量，则以设计消耗量为准），万t或万m</w:t>
            </w:r>
            <w:r>
              <w:rPr>
                <w:rFonts w:hint="default" w:ascii="Times New Roman" w:hAnsi="Times New Roman" w:eastAsia="宋体" w:cs="Times New Roman"/>
                <w:b w:val="0"/>
                <w:bCs/>
                <w:color w:val="auto"/>
                <w:kern w:val="0"/>
                <w:sz w:val="24"/>
                <w:szCs w:val="24"/>
                <w:u w:val="none"/>
                <w:vertAlign w:val="superscript"/>
                <w:lang w:val="zh-CN" w:eastAsia="zh-CN"/>
              </w:rPr>
              <w:t>3</w:t>
            </w:r>
            <w:r>
              <w:rPr>
                <w:rFonts w:hint="default" w:ascii="Times New Roman" w:hAnsi="Times New Roman" w:eastAsia="宋体" w:cs="Times New Roman"/>
                <w:b w:val="0"/>
                <w:bCs/>
                <w:color w:val="auto"/>
                <w:kern w:val="0"/>
                <w:sz w:val="24"/>
                <w:szCs w:val="24"/>
                <w:u w:val="none"/>
                <w:vertAlign w:val="baseline"/>
                <w:lang w:val="zh-CN" w:eastAsia="zh-CN"/>
              </w:rPr>
              <w:t>，</w:t>
            </w:r>
          </w:p>
          <w:p>
            <w:pPr>
              <w:pStyle w:val="32"/>
              <w:keepNext w:val="0"/>
              <w:keepLines w:val="0"/>
              <w:pageBreakBefore w:val="0"/>
              <w:kinsoku/>
              <w:wordWrap/>
              <w:overflowPunct/>
              <w:topLinePunct w:val="0"/>
              <w:bidi w:val="0"/>
              <w:adjustRightInd w:val="0"/>
              <w:snapToGrid w:val="0"/>
              <w:spacing w:line="360" w:lineRule="auto"/>
              <w:ind w:right="0" w:firstLine="480" w:firstLineChars="200"/>
              <w:jc w:val="both"/>
              <w:textAlignment w:val="auto"/>
              <w:rPr>
                <w:rFonts w:hint="default" w:ascii="Times New Roman" w:hAnsi="Times New Roman" w:eastAsia="宋体" w:cs="Times New Roman"/>
                <w:b w:val="0"/>
                <w:bCs/>
                <w:color w:val="auto"/>
                <w:kern w:val="0"/>
                <w:sz w:val="24"/>
                <w:szCs w:val="24"/>
                <w:u w:val="none"/>
                <w:lang w:val="en-US" w:eastAsia="zh-CN"/>
              </w:rPr>
            </w:pPr>
            <w:r>
              <w:rPr>
                <w:rFonts w:hint="default" w:ascii="Times New Roman" w:hAnsi="Times New Roman" w:eastAsia="宋体" w:cs="Times New Roman"/>
                <w:b w:val="0"/>
                <w:bCs/>
                <w:i/>
                <w:iCs/>
                <w:color w:val="auto"/>
                <w:kern w:val="0"/>
                <w:sz w:val="24"/>
                <w:szCs w:val="24"/>
                <w:u w:val="none"/>
                <w:lang w:val="zh-CN" w:eastAsia="zh-CN"/>
              </w:rPr>
              <w:t>G</w:t>
            </w:r>
            <w:r>
              <w:rPr>
                <w:rFonts w:hint="default" w:ascii="Times New Roman" w:hAnsi="Times New Roman" w:eastAsia="宋体" w:cs="Times New Roman"/>
                <w:b w:val="0"/>
                <w:bCs/>
                <w:color w:val="auto"/>
                <w:kern w:val="0"/>
                <w:sz w:val="24"/>
                <w:szCs w:val="24"/>
                <w:u w:val="none"/>
                <w:lang w:val="zh-CN" w:eastAsia="zh-CN"/>
              </w:rPr>
              <w:t>—绩效值，kg/t产品，kg/t燃料或kg/m</w:t>
            </w:r>
            <w:r>
              <w:rPr>
                <w:rFonts w:hint="default" w:ascii="Times New Roman" w:hAnsi="Times New Roman" w:eastAsia="宋体" w:cs="Times New Roman"/>
                <w:b w:val="0"/>
                <w:bCs/>
                <w:color w:val="auto"/>
                <w:kern w:val="0"/>
                <w:sz w:val="24"/>
                <w:szCs w:val="24"/>
                <w:u w:val="none"/>
                <w:vertAlign w:val="superscript"/>
                <w:lang w:val="zh-CN" w:eastAsia="zh-CN"/>
              </w:rPr>
              <w:t>3</w:t>
            </w:r>
            <w:r>
              <w:rPr>
                <w:rFonts w:hint="default" w:ascii="Times New Roman" w:hAnsi="Times New Roman" w:eastAsia="宋体" w:cs="Times New Roman"/>
                <w:b w:val="0"/>
                <w:bCs/>
                <w:color w:val="auto"/>
                <w:kern w:val="0"/>
                <w:sz w:val="24"/>
                <w:szCs w:val="24"/>
                <w:u w:val="none"/>
                <w:lang w:val="zh-CN" w:eastAsia="zh-CN"/>
              </w:rPr>
              <w:t>燃料。</w:t>
            </w:r>
            <w:r>
              <w:rPr>
                <w:rFonts w:hint="default" w:ascii="Times New Roman" w:hAnsi="Times New Roman" w:eastAsia="宋体" w:cs="Times New Roman"/>
                <w:b w:val="0"/>
                <w:bCs/>
                <w:color w:val="auto"/>
                <w:kern w:val="0"/>
                <w:sz w:val="24"/>
                <w:szCs w:val="24"/>
                <w:u w:val="none"/>
                <w:lang w:val="en-US" w:eastAsia="zh-CN"/>
              </w:rPr>
              <w:t>根据天然气低位热值选取的绩效值见下表。</w:t>
            </w:r>
          </w:p>
          <w:p>
            <w:pPr>
              <w:pStyle w:val="10"/>
              <w:widowControl w:val="0"/>
              <w:spacing w:line="240" w:lineRule="auto"/>
              <w:ind w:firstLine="0" w:firstLineChars="0"/>
              <w:jc w:val="center"/>
              <w:rPr>
                <w:rFonts w:hint="eastAsia" w:ascii="Times New Roman" w:hAnsi="Times New Roman" w:cs="Times New Roman"/>
                <w:b/>
                <w:bCs/>
                <w:lang w:val="en-US" w:eastAsia="zh-CN"/>
              </w:rPr>
            </w:pPr>
          </w:p>
          <w:p>
            <w:pPr>
              <w:pStyle w:val="10"/>
              <w:widowControl w:val="0"/>
              <w:spacing w:line="240" w:lineRule="auto"/>
              <w:ind w:firstLine="0" w:firstLineChars="0"/>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表4-1  绩效选取值</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7"/>
              <w:gridCol w:w="3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89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w:t>
                  </w:r>
                </w:p>
              </w:tc>
              <w:tc>
                <w:tcPr>
                  <w:tcW w:w="210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89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颗粒物绩效值（g/m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原料）</w:t>
                  </w:r>
                </w:p>
              </w:tc>
              <w:tc>
                <w:tcPr>
                  <w:tcW w:w="210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0.</w:t>
                  </w:r>
                  <w:r>
                    <w:rPr>
                      <w:rFonts w:hint="eastAsia" w:ascii="Times New Roman" w:hAnsi="Times New Roman" w:cs="Times New Roman"/>
                      <w:color w:val="auto"/>
                      <w:kern w:val="0"/>
                      <w:sz w:val="21"/>
                      <w:szCs w:val="21"/>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89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二氧化硫绩效值（g/m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原料）</w:t>
                  </w:r>
                </w:p>
              </w:tc>
              <w:tc>
                <w:tcPr>
                  <w:tcW w:w="210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0.</w:t>
                  </w:r>
                  <w:r>
                    <w:rPr>
                      <w:rFonts w:hint="eastAsia" w:ascii="Times New Roman" w:hAnsi="Times New Roman" w:cs="Times New Roman"/>
                      <w:color w:val="auto"/>
                      <w:kern w:val="0"/>
                      <w:sz w:val="21"/>
                      <w:szCs w:val="21"/>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89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氮氧化物绩效值（g/m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原料）</w:t>
                  </w:r>
                </w:p>
              </w:tc>
              <w:tc>
                <w:tcPr>
                  <w:tcW w:w="210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2.524</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cs="Times New Roman"/>
                <w:color w:val="auto"/>
                <w:sz w:val="24"/>
                <w:szCs w:val="24"/>
                <w:u w:val="none"/>
                <w:lang w:eastAsia="zh-CN"/>
              </w:rPr>
            </w:pPr>
            <w:r>
              <w:rPr>
                <w:rFonts w:hint="eastAsia" w:ascii="Times New Roman" w:cs="Times New Roman"/>
                <w:color w:val="auto"/>
                <w:sz w:val="24"/>
                <w:szCs w:val="24"/>
                <w:u w:val="none"/>
                <w:lang w:eastAsia="zh-CN"/>
              </w:rPr>
              <w:t>经计算，</w:t>
            </w:r>
            <w:r>
              <w:rPr>
                <w:rFonts w:hint="eastAsia" w:ascii="Times New Roman" w:hAnsi="Times New Roman" w:cs="Times New Roman"/>
                <w:color w:val="auto"/>
                <w:sz w:val="24"/>
                <w:szCs w:val="24"/>
                <w:u w:val="none"/>
                <w:lang w:eastAsia="zh-CN"/>
              </w:rPr>
              <w:t>天然气燃烧产生</w:t>
            </w:r>
            <w:r>
              <w:rPr>
                <w:rFonts w:hint="eastAsia" w:cs="Times New Roman"/>
                <w:color w:val="auto"/>
                <w:sz w:val="24"/>
                <w:szCs w:val="24"/>
                <w:u w:val="none"/>
                <w:lang w:val="en-US" w:eastAsia="zh-CN"/>
              </w:rPr>
              <w:t>颗粒物0.001476t/a、</w:t>
            </w:r>
            <w:r>
              <w:rPr>
                <w:rFonts w:hint="eastAsia" w:ascii="Times New Roman" w:hAnsi="Times New Roman" w:cs="Times New Roman"/>
                <w:color w:val="auto"/>
                <w:sz w:val="24"/>
                <w:szCs w:val="24"/>
                <w:u w:val="none"/>
              </w:rPr>
              <w:t>SO</w:t>
            </w:r>
            <w:r>
              <w:rPr>
                <w:rFonts w:hint="eastAsia" w:cs="Times New Roman"/>
                <w:color w:val="auto"/>
                <w:sz w:val="24"/>
                <w:szCs w:val="24"/>
                <w:u w:val="none"/>
                <w:vertAlign w:val="subscript"/>
                <w:lang w:val="en-US" w:eastAsia="zh-CN"/>
              </w:rPr>
              <w:t>2</w:t>
            </w:r>
            <w:r>
              <w:rPr>
                <w:rFonts w:hint="eastAsia" w:cs="Times New Roman"/>
                <w:color w:val="auto"/>
                <w:sz w:val="24"/>
                <w:szCs w:val="24"/>
                <w:u w:val="none"/>
                <w:lang w:val="en-US" w:eastAsia="zh-CN"/>
              </w:rPr>
              <w:t>0.001476</w:t>
            </w:r>
            <w:r>
              <w:rPr>
                <w:rFonts w:hint="eastAsia" w:ascii="Times New Roman" w:hAnsi="Times New Roman" w:cs="Times New Roman"/>
                <w:color w:val="auto"/>
                <w:sz w:val="24"/>
                <w:szCs w:val="24"/>
                <w:u w:val="none"/>
                <w:lang w:val="en-US" w:eastAsia="zh-CN"/>
              </w:rPr>
              <w:t>t</w:t>
            </w:r>
            <w:r>
              <w:rPr>
                <w:rFonts w:hint="eastAsia" w:ascii="Times New Roman" w:hAnsi="Times New Roman" w:cs="Times New Roman"/>
                <w:color w:val="auto"/>
                <w:sz w:val="24"/>
                <w:szCs w:val="24"/>
                <w:u w:val="none"/>
              </w:rPr>
              <w:t>/a</w:t>
            </w:r>
            <w:r>
              <w:rPr>
                <w:rFonts w:hint="eastAsia" w:ascii="Times New Roman" w:hAnsi="Times New Roman" w:cs="Times New Roman"/>
                <w:color w:val="auto"/>
                <w:sz w:val="24"/>
                <w:szCs w:val="24"/>
                <w:u w:val="none"/>
                <w:lang w:eastAsia="zh-CN"/>
              </w:rPr>
              <w:t>、氮氧化物0.0221</w:t>
            </w:r>
            <w:r>
              <w:rPr>
                <w:rFonts w:hint="eastAsia" w:cs="Times New Roman"/>
                <w:color w:val="auto"/>
                <w:sz w:val="24"/>
                <w:szCs w:val="24"/>
                <w:u w:val="none"/>
                <w:lang w:val="en-US" w:eastAsia="zh-CN"/>
              </w:rPr>
              <w:t>8</w:t>
            </w:r>
            <w:r>
              <w:rPr>
                <w:rFonts w:hint="eastAsia" w:ascii="Times New Roman" w:hAnsi="Times New Roman" w:cs="Times New Roman"/>
                <w:color w:val="auto"/>
                <w:sz w:val="24"/>
                <w:szCs w:val="24"/>
                <w:u w:val="none"/>
              </w:rPr>
              <w:t>t/a</w:t>
            </w:r>
            <w:r>
              <w:rPr>
                <w:rFonts w:hint="eastAsia" w:ascii="Times New Roman" w:hAnsi="Times New Roman" w:cs="Times New Roman"/>
                <w:color w:val="auto"/>
                <w:sz w:val="24"/>
                <w:szCs w:val="24"/>
                <w:u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outlineLvl w:val="0"/>
              <w:rPr>
                <w:rFonts w:hint="default"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本次评价要求企业配备低氮燃烧装置，减少燃烧过程中的氮氧化物的产生。参考《排放源统计调查产排污核算方法和系数手册》中“14-涂装-天然气工业炉窑产排污系数”，天然气工业炉窑低氮燃烧法效率为50%。因此本项目天然气燃烧产生</w:t>
            </w:r>
            <w:r>
              <w:rPr>
                <w:rFonts w:hint="eastAsia" w:cs="Times New Roman"/>
                <w:color w:val="auto"/>
                <w:sz w:val="24"/>
                <w:szCs w:val="24"/>
                <w:u w:val="none"/>
                <w:lang w:val="en-US" w:eastAsia="zh-CN"/>
              </w:rPr>
              <w:t>颗粒物0.001476t/a、</w:t>
            </w:r>
            <w:r>
              <w:rPr>
                <w:rFonts w:hint="eastAsia" w:ascii="Times New Roman" w:hAnsi="Times New Roman" w:cs="Times New Roman"/>
                <w:color w:val="auto"/>
                <w:sz w:val="24"/>
                <w:szCs w:val="24"/>
                <w:u w:val="none"/>
              </w:rPr>
              <w:t>SO</w:t>
            </w:r>
            <w:r>
              <w:rPr>
                <w:rFonts w:hint="eastAsia" w:cs="Times New Roman"/>
                <w:color w:val="auto"/>
                <w:sz w:val="24"/>
                <w:szCs w:val="24"/>
                <w:u w:val="none"/>
                <w:vertAlign w:val="subscript"/>
                <w:lang w:val="en-US" w:eastAsia="zh-CN"/>
              </w:rPr>
              <w:t>2</w:t>
            </w:r>
            <w:r>
              <w:rPr>
                <w:rFonts w:hint="eastAsia" w:cs="Times New Roman"/>
                <w:color w:val="auto"/>
                <w:sz w:val="24"/>
                <w:szCs w:val="24"/>
                <w:u w:val="none"/>
                <w:lang w:val="en-US" w:eastAsia="zh-CN"/>
              </w:rPr>
              <w:t>0.001476</w:t>
            </w:r>
            <w:r>
              <w:rPr>
                <w:rFonts w:hint="eastAsia" w:ascii="Times New Roman" w:hAnsi="Times New Roman" w:cs="Times New Roman"/>
                <w:color w:val="auto"/>
                <w:sz w:val="24"/>
                <w:szCs w:val="24"/>
                <w:u w:val="none"/>
                <w:lang w:val="en-US" w:eastAsia="zh-CN"/>
              </w:rPr>
              <w:t>t</w:t>
            </w:r>
            <w:r>
              <w:rPr>
                <w:rFonts w:hint="eastAsia" w:ascii="Times New Roman" w:hAnsi="Times New Roman" w:cs="Times New Roman"/>
                <w:color w:val="auto"/>
                <w:sz w:val="24"/>
                <w:szCs w:val="24"/>
                <w:u w:val="none"/>
              </w:rPr>
              <w:t>/a</w:t>
            </w:r>
            <w:r>
              <w:rPr>
                <w:rFonts w:hint="eastAsia" w:ascii="Times New Roman" w:hAnsi="Times New Roman" w:cs="Times New Roman"/>
                <w:color w:val="auto"/>
                <w:sz w:val="24"/>
                <w:szCs w:val="24"/>
                <w:u w:val="none"/>
                <w:lang w:eastAsia="zh-CN"/>
              </w:rPr>
              <w:t>、氮氧化物0.0</w:t>
            </w:r>
            <w:r>
              <w:rPr>
                <w:rFonts w:hint="eastAsia" w:cs="Times New Roman"/>
                <w:color w:val="auto"/>
                <w:sz w:val="24"/>
                <w:szCs w:val="24"/>
                <w:u w:val="none"/>
                <w:lang w:val="en-US" w:eastAsia="zh-CN"/>
              </w:rPr>
              <w:t>1109</w:t>
            </w:r>
            <w:r>
              <w:rPr>
                <w:rFonts w:hint="eastAsia" w:ascii="Times New Roman" w:hAnsi="Times New Roman" w:cs="Times New Roman"/>
                <w:color w:val="auto"/>
                <w:sz w:val="24"/>
                <w:szCs w:val="24"/>
                <w:u w:val="none"/>
              </w:rPr>
              <w:t>t/a</w:t>
            </w:r>
            <w:r>
              <w:rPr>
                <w:rFonts w:hint="eastAsia" w:ascii="Times New Roman" w:hAnsi="Times New Roman" w:cs="Times New Roman"/>
                <w:color w:val="auto"/>
                <w:sz w:val="24"/>
                <w:szCs w:val="24"/>
                <w:u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outlineLvl w:val="0"/>
              <w:rPr>
                <w:rFonts w:hint="eastAsia" w:cs="Times New Roman"/>
                <w:b w:val="0"/>
                <w:bCs w:val="0"/>
                <w:color w:val="auto"/>
                <w:kern w:val="0"/>
                <w:sz w:val="24"/>
                <w:szCs w:val="24"/>
                <w:highlight w:val="none"/>
                <w:u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本项目</w:t>
            </w:r>
            <w:r>
              <w:rPr>
                <w:rFonts w:hint="eastAsia" w:cs="Times New Roman"/>
                <w:b w:val="0"/>
                <w:bCs w:val="0"/>
                <w:color w:val="auto"/>
                <w:sz w:val="24"/>
                <w:szCs w:val="24"/>
                <w:highlight w:val="none"/>
                <w:u w:val="none"/>
                <w:lang w:val="en-US" w:eastAsia="zh-CN"/>
              </w:rPr>
              <w:t>天然气</w:t>
            </w:r>
            <w:r>
              <w:rPr>
                <w:rFonts w:hint="eastAsia" w:ascii="Times New Roman" w:hAnsi="Times New Roman" w:eastAsia="宋体" w:cs="Times New Roman"/>
                <w:b w:val="0"/>
                <w:bCs w:val="0"/>
                <w:color w:val="auto"/>
                <w:sz w:val="24"/>
                <w:szCs w:val="24"/>
                <w:highlight w:val="none"/>
                <w:u w:val="none"/>
                <w:lang w:val="en-US" w:eastAsia="zh-CN"/>
              </w:rPr>
              <w:t>燃烧烟气进入</w:t>
            </w:r>
            <w:r>
              <w:rPr>
                <w:rFonts w:hint="eastAsia" w:cs="Times New Roman"/>
                <w:b w:val="0"/>
                <w:bCs w:val="0"/>
                <w:color w:val="auto"/>
                <w:sz w:val="24"/>
                <w:szCs w:val="24"/>
                <w:highlight w:val="none"/>
                <w:u w:val="none"/>
                <w:lang w:val="en-US" w:eastAsia="zh-CN"/>
              </w:rPr>
              <w:t>烘烤房</w:t>
            </w:r>
            <w:r>
              <w:rPr>
                <w:rFonts w:hint="eastAsia" w:ascii="Times New Roman" w:hAnsi="Times New Roman" w:eastAsia="宋体" w:cs="Times New Roman"/>
                <w:b w:val="0"/>
                <w:bCs w:val="0"/>
                <w:color w:val="auto"/>
                <w:sz w:val="24"/>
                <w:szCs w:val="24"/>
                <w:highlight w:val="none"/>
                <w:u w:val="none"/>
                <w:lang w:val="en-US" w:eastAsia="zh-CN"/>
              </w:rPr>
              <w:t>与</w:t>
            </w:r>
            <w:r>
              <w:rPr>
                <w:rFonts w:hint="eastAsia" w:cs="Times New Roman"/>
                <w:b w:val="0"/>
                <w:bCs w:val="0"/>
                <w:color w:val="auto"/>
                <w:sz w:val="24"/>
                <w:szCs w:val="24"/>
                <w:u w:val="none"/>
                <w:lang w:val="en-US" w:eastAsia="zh-CN"/>
              </w:rPr>
              <w:t>烘烤房</w:t>
            </w:r>
            <w:r>
              <w:rPr>
                <w:rFonts w:hint="eastAsia" w:ascii="Times New Roman" w:hAnsi="Times New Roman" w:eastAsia="宋体" w:cs="Times New Roman"/>
                <w:b w:val="0"/>
                <w:bCs w:val="0"/>
                <w:color w:val="auto"/>
                <w:sz w:val="24"/>
                <w:szCs w:val="24"/>
                <w:u w:val="none"/>
                <w:lang w:val="en-US" w:eastAsia="zh-CN"/>
              </w:rPr>
              <w:t>内有机</w:t>
            </w:r>
            <w:r>
              <w:rPr>
                <w:rFonts w:hint="eastAsia" w:ascii="Times New Roman" w:hAnsi="Times New Roman" w:eastAsia="宋体" w:cs="Times New Roman"/>
                <w:color w:val="auto"/>
                <w:kern w:val="0"/>
                <w:sz w:val="24"/>
                <w:szCs w:val="21"/>
                <w:highlight w:val="none"/>
                <w:lang w:val="en-US" w:eastAsia="zh-CN"/>
              </w:rPr>
              <w:t>废气一起收集后</w:t>
            </w:r>
            <w:r>
              <w:rPr>
                <w:rFonts w:hint="default" w:ascii="Times New Roman" w:hAnsi="Times New Roman" w:eastAsia="宋体" w:cs="Times New Roman"/>
                <w:b w:val="0"/>
                <w:bCs w:val="0"/>
                <w:color w:val="auto"/>
                <w:kern w:val="0"/>
                <w:sz w:val="24"/>
                <w:szCs w:val="24"/>
                <w:highlight w:val="none"/>
                <w:u w:val="none"/>
                <w:lang w:val="en-US" w:eastAsia="zh-CN"/>
              </w:rPr>
              <w:t>经15m高排气筒排放</w:t>
            </w:r>
            <w:r>
              <w:rPr>
                <w:rFonts w:hint="eastAsia" w:ascii="Times New Roman" w:hAnsi="Times New Roman" w:eastAsia="宋体" w:cs="Times New Roman"/>
                <w:b w:val="0"/>
                <w:bCs w:val="0"/>
                <w:color w:val="auto"/>
                <w:sz w:val="24"/>
                <w:u w:val="none"/>
                <w:lang w:eastAsia="zh-CN"/>
              </w:rPr>
              <w:t>（</w:t>
            </w:r>
            <w:r>
              <w:rPr>
                <w:rFonts w:hint="eastAsia" w:ascii="Times New Roman" w:hAnsi="Times New Roman" w:eastAsia="宋体" w:cs="Times New Roman"/>
                <w:b w:val="0"/>
                <w:bCs w:val="0"/>
                <w:color w:val="auto"/>
                <w:sz w:val="24"/>
                <w:u w:val="none"/>
                <w:lang w:val="en-US" w:eastAsia="zh-CN"/>
              </w:rPr>
              <w:t>DA002</w:t>
            </w:r>
            <w:r>
              <w:rPr>
                <w:rFonts w:hint="eastAsia" w:ascii="Times New Roman" w:hAnsi="Times New Roman" w:eastAsia="宋体" w:cs="Times New Roman"/>
                <w:b w:val="0"/>
                <w:bCs w:val="0"/>
                <w:color w:val="auto"/>
                <w:sz w:val="24"/>
                <w:u w:val="none"/>
                <w:lang w:eastAsia="zh-CN"/>
              </w:rPr>
              <w:t>）</w:t>
            </w:r>
            <w:r>
              <w:rPr>
                <w:rFonts w:hint="eastAsia" w:ascii="Times New Roman" w:hAnsi="Times New Roman" w:eastAsia="宋体" w:cs="Times New Roman"/>
                <w:b w:val="0"/>
                <w:bCs w:val="0"/>
                <w:color w:val="auto"/>
                <w:sz w:val="24"/>
                <w:szCs w:val="24"/>
                <w:highlight w:val="none"/>
                <w:u w:val="none"/>
                <w:lang w:val="en-US" w:eastAsia="zh-CN"/>
              </w:rPr>
              <w:t>，</w:t>
            </w:r>
            <w:r>
              <w:rPr>
                <w:rFonts w:hint="eastAsia" w:cs="Times New Roman"/>
                <w:b w:val="0"/>
                <w:bCs w:val="0"/>
                <w:color w:val="auto"/>
                <w:sz w:val="24"/>
                <w:szCs w:val="24"/>
                <w:u w:val="none"/>
                <w:lang w:val="en-US" w:eastAsia="zh-CN"/>
              </w:rPr>
              <w:t>烘烤房</w:t>
            </w:r>
            <w:r>
              <w:rPr>
                <w:rFonts w:hint="eastAsia" w:ascii="Times New Roman" w:hAnsi="Times New Roman" w:eastAsia="宋体" w:cs="Times New Roman"/>
                <w:b w:val="0"/>
                <w:bCs w:val="0"/>
                <w:color w:val="auto"/>
                <w:sz w:val="24"/>
                <w:szCs w:val="24"/>
                <w:u w:val="none"/>
                <w:lang w:val="en-US" w:eastAsia="zh-CN"/>
              </w:rPr>
              <w:t>废气收集系统</w:t>
            </w:r>
            <w:r>
              <w:rPr>
                <w:rFonts w:hint="eastAsia" w:ascii="Times New Roman" w:hAnsi="Times New Roman" w:eastAsia="宋体" w:cs="Times New Roman"/>
                <w:b w:val="0"/>
                <w:bCs w:val="0"/>
                <w:color w:val="auto"/>
                <w:kern w:val="0"/>
                <w:sz w:val="24"/>
                <w:szCs w:val="24"/>
                <w:highlight w:val="none"/>
                <w:u w:val="none"/>
                <w:lang w:val="en-US" w:eastAsia="zh-CN"/>
              </w:rPr>
              <w:t>配套</w:t>
            </w:r>
            <w:r>
              <w:rPr>
                <w:rFonts w:hint="default" w:ascii="Times New Roman" w:hAnsi="Times New Roman" w:eastAsia="宋体" w:cs="Times New Roman"/>
                <w:b w:val="0"/>
                <w:bCs w:val="0"/>
                <w:color w:val="auto"/>
                <w:kern w:val="0"/>
                <w:sz w:val="24"/>
                <w:szCs w:val="24"/>
                <w:highlight w:val="none"/>
                <w:u w:val="none"/>
                <w:lang w:val="en-US" w:eastAsia="zh-CN"/>
              </w:rPr>
              <w:t>风机风量为</w:t>
            </w:r>
            <w:r>
              <w:rPr>
                <w:rFonts w:hint="eastAsia" w:cs="Times New Roman"/>
                <w:b w:val="0"/>
                <w:bCs w:val="0"/>
                <w:color w:val="auto"/>
                <w:kern w:val="0"/>
                <w:sz w:val="24"/>
                <w:szCs w:val="24"/>
                <w:highlight w:val="none"/>
                <w:u w:val="none"/>
                <w:lang w:val="en-US" w:eastAsia="zh-CN"/>
              </w:rPr>
              <w:t>9</w:t>
            </w:r>
            <w:r>
              <w:rPr>
                <w:rFonts w:hint="default" w:ascii="Times New Roman" w:hAnsi="Times New Roman" w:eastAsia="宋体" w:cs="Times New Roman"/>
                <w:b w:val="0"/>
                <w:bCs w:val="0"/>
                <w:color w:val="auto"/>
                <w:kern w:val="0"/>
                <w:sz w:val="24"/>
                <w:szCs w:val="24"/>
                <w:highlight w:val="none"/>
                <w:u w:val="none"/>
                <w:lang w:val="en-US" w:eastAsia="zh-CN"/>
              </w:rPr>
              <w:t>000m</w:t>
            </w:r>
            <w:r>
              <w:rPr>
                <w:rFonts w:hint="default" w:ascii="Times New Roman" w:hAnsi="Times New Roman" w:eastAsia="宋体" w:cs="Times New Roman"/>
                <w:b w:val="0"/>
                <w:bCs w:val="0"/>
                <w:color w:val="auto"/>
                <w:kern w:val="0"/>
                <w:sz w:val="24"/>
                <w:szCs w:val="24"/>
                <w:highlight w:val="none"/>
                <w:u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u w:val="none"/>
                <w:lang w:val="en-US" w:eastAsia="zh-CN"/>
              </w:rPr>
              <w:t>/h。</w:t>
            </w:r>
            <w:r>
              <w:rPr>
                <w:rFonts w:hint="eastAsia" w:cs="Times New Roman"/>
                <w:b w:val="0"/>
                <w:bCs w:val="0"/>
                <w:color w:val="auto"/>
                <w:kern w:val="0"/>
                <w:sz w:val="24"/>
                <w:szCs w:val="24"/>
                <w:highlight w:val="none"/>
                <w:u w:val="none"/>
                <w:lang w:val="en-US" w:eastAsia="zh-CN"/>
              </w:rPr>
              <w:t>烘烤房烘烤</w:t>
            </w:r>
            <w:r>
              <w:rPr>
                <w:rFonts w:hint="eastAsia" w:ascii="Times New Roman" w:hAnsi="Times New Roman" w:eastAsia="宋体" w:cs="Times New Roman"/>
                <w:b w:val="0"/>
                <w:bCs w:val="0"/>
                <w:color w:val="auto"/>
                <w:kern w:val="0"/>
                <w:sz w:val="24"/>
                <w:szCs w:val="24"/>
                <w:highlight w:val="none"/>
                <w:u w:val="none"/>
                <w:lang w:val="en-US" w:eastAsia="zh-CN"/>
              </w:rPr>
              <w:t>过程保持密闭，仅进出料时有少量废气逸散，</w:t>
            </w:r>
            <w:r>
              <w:rPr>
                <w:rFonts w:hint="default" w:ascii="Times New Roman" w:hAnsi="Times New Roman" w:eastAsia="宋体" w:cs="Times New Roman"/>
                <w:b w:val="0"/>
                <w:bCs w:val="0"/>
                <w:color w:val="auto"/>
                <w:kern w:val="0"/>
                <w:sz w:val="24"/>
                <w:szCs w:val="24"/>
                <w:highlight w:val="none"/>
                <w:u w:val="none"/>
                <w:lang w:val="en-US" w:eastAsia="zh-CN"/>
              </w:rPr>
              <w:t>废气的收集效率按9</w:t>
            </w:r>
            <w:r>
              <w:rPr>
                <w:rFonts w:hint="eastAsia" w:ascii="Times New Roman" w:hAnsi="Times New Roman" w:eastAsia="宋体" w:cs="Times New Roman"/>
                <w:b w:val="0"/>
                <w:bCs w:val="0"/>
                <w:color w:val="auto"/>
                <w:kern w:val="0"/>
                <w:sz w:val="24"/>
                <w:szCs w:val="24"/>
                <w:highlight w:val="none"/>
                <w:u w:val="none"/>
                <w:lang w:val="en-US" w:eastAsia="zh-CN"/>
              </w:rPr>
              <w:t>5</w:t>
            </w:r>
            <w:r>
              <w:rPr>
                <w:rFonts w:hint="default" w:ascii="Times New Roman" w:hAnsi="Times New Roman" w:eastAsia="宋体" w:cs="Times New Roman"/>
                <w:b w:val="0"/>
                <w:bCs w:val="0"/>
                <w:color w:val="auto"/>
                <w:kern w:val="0"/>
                <w:sz w:val="24"/>
                <w:szCs w:val="24"/>
                <w:highlight w:val="none"/>
                <w:u w:val="none"/>
                <w:lang w:val="en-US" w:eastAsia="zh-CN"/>
              </w:rPr>
              <w:t>%计，</w:t>
            </w:r>
            <w:r>
              <w:rPr>
                <w:rFonts w:hint="eastAsia" w:cs="Times New Roman"/>
                <w:b w:val="0"/>
                <w:bCs w:val="0"/>
                <w:color w:val="auto"/>
                <w:kern w:val="0"/>
                <w:sz w:val="24"/>
                <w:szCs w:val="24"/>
                <w:highlight w:val="none"/>
                <w:u w:val="none"/>
                <w:lang w:val="en-US" w:eastAsia="zh-CN"/>
              </w:rPr>
              <w:t>其中低氮燃烧装置处理效率为</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64" w:firstLineChars="200"/>
              <w:textAlignment w:val="auto"/>
              <w:outlineLvl w:val="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b w:val="0"/>
                <w:bCs w:val="0"/>
                <w:color w:val="auto"/>
                <w:spacing w:val="-4"/>
                <w:sz w:val="24"/>
                <w:szCs w:val="22"/>
                <w:u w:val="none"/>
                <w:lang w:val="en-US" w:eastAsia="zh-CN"/>
              </w:rPr>
              <w:t>则</w:t>
            </w:r>
            <w:r>
              <w:rPr>
                <w:rFonts w:hint="eastAsia" w:cs="Times New Roman"/>
                <w:b w:val="0"/>
                <w:bCs w:val="0"/>
                <w:color w:val="auto"/>
                <w:spacing w:val="-4"/>
                <w:sz w:val="24"/>
                <w:szCs w:val="22"/>
                <w:u w:val="none"/>
                <w:lang w:val="en-US" w:eastAsia="zh-CN"/>
              </w:rPr>
              <w:t>天然气颗粒物有组织排放量为0.0014022t/a，</w:t>
            </w:r>
            <w:r>
              <w:rPr>
                <w:rFonts w:hint="eastAsia" w:ascii="Times New Roman" w:hAnsi="Times New Roman" w:eastAsia="宋体" w:cs="Times New Roman"/>
                <w:b w:val="0"/>
                <w:bCs w:val="0"/>
                <w:color w:val="auto"/>
                <w:sz w:val="24"/>
                <w:szCs w:val="24"/>
                <w:highlight w:val="none"/>
                <w:u w:val="none"/>
                <w:lang w:val="en-US" w:eastAsia="zh-CN"/>
              </w:rPr>
              <w:t>燃烧</w:t>
            </w:r>
            <w:r>
              <w:rPr>
                <w:rFonts w:hint="eastAsia" w:ascii="Times New Roman" w:hAnsi="Times New Roman" w:cs="Times New Roman"/>
                <w:color w:val="auto"/>
                <w:sz w:val="24"/>
                <w:szCs w:val="24"/>
                <w:u w:val="none"/>
              </w:rPr>
              <w:t>SO</w:t>
            </w:r>
            <w:r>
              <w:rPr>
                <w:rFonts w:hint="eastAsia" w:cs="Times New Roman"/>
                <w:color w:val="auto"/>
                <w:sz w:val="24"/>
                <w:szCs w:val="24"/>
                <w:u w:val="none"/>
                <w:vertAlign w:val="subscript"/>
                <w:lang w:val="en-US" w:eastAsia="zh-CN"/>
              </w:rPr>
              <w:t>2</w:t>
            </w:r>
            <w:r>
              <w:rPr>
                <w:rFonts w:hint="eastAsia" w:ascii="Times New Roman" w:hAnsi="Times New Roman" w:eastAsia="宋体" w:cs="Times New Roman"/>
                <w:b w:val="0"/>
                <w:bCs w:val="0"/>
                <w:color w:val="auto"/>
                <w:spacing w:val="-4"/>
                <w:sz w:val="24"/>
                <w:szCs w:val="22"/>
                <w:u w:val="none"/>
                <w:lang w:val="en-US" w:eastAsia="zh-CN"/>
              </w:rPr>
              <w:t>有组织排放量</w:t>
            </w:r>
            <w:r>
              <w:rPr>
                <w:rFonts w:hint="eastAsia" w:ascii="Times New Roman" w:hAnsi="Times New Roman" w:eastAsia="宋体" w:cs="Times New Roman"/>
                <w:color w:val="auto"/>
                <w:sz w:val="24"/>
                <w:lang w:eastAsia="zh-CN"/>
              </w:rPr>
              <w:t>为0.0014022</w:t>
            </w:r>
            <w:r>
              <w:rPr>
                <w:rFonts w:hint="eastAsia" w:ascii="Times New Roman" w:hAnsi="Times New Roman" w:eastAsia="宋体" w:cs="Times New Roman"/>
                <w:b w:val="0"/>
                <w:bCs w:val="0"/>
                <w:color w:val="auto"/>
                <w:spacing w:val="-4"/>
                <w:sz w:val="24"/>
                <w:szCs w:val="22"/>
                <w:u w:val="none"/>
                <w:lang w:val="en-US" w:eastAsia="zh-CN"/>
              </w:rPr>
              <w:t>t/a、</w:t>
            </w:r>
            <w:r>
              <w:rPr>
                <w:rFonts w:hint="default" w:ascii="Times New Roman" w:hAnsi="Times New Roman" w:eastAsia="宋体" w:cs="Times New Roman"/>
                <w:b w:val="0"/>
                <w:bCs w:val="0"/>
                <w:color w:val="auto"/>
                <w:kern w:val="0"/>
                <w:sz w:val="24"/>
                <w:szCs w:val="24"/>
                <w:highlight w:val="none"/>
                <w:u w:val="none"/>
                <w:lang w:val="zh-CN" w:eastAsia="zh-CN"/>
              </w:rPr>
              <w:t>氮氧化物</w:t>
            </w:r>
            <w:r>
              <w:rPr>
                <w:rFonts w:hint="eastAsia" w:ascii="Times New Roman" w:hAnsi="Times New Roman" w:eastAsia="宋体" w:cs="Times New Roman"/>
                <w:b w:val="0"/>
                <w:bCs w:val="0"/>
                <w:color w:val="auto"/>
                <w:kern w:val="0"/>
                <w:sz w:val="24"/>
                <w:szCs w:val="24"/>
                <w:highlight w:val="none"/>
                <w:u w:val="none"/>
                <w:lang w:val="en-US" w:eastAsia="zh-CN"/>
              </w:rPr>
              <w:t>有</w:t>
            </w:r>
            <w:r>
              <w:rPr>
                <w:rFonts w:hint="eastAsia" w:ascii="Times New Roman" w:hAnsi="Times New Roman" w:eastAsia="宋体" w:cs="Times New Roman"/>
                <w:b w:val="0"/>
                <w:bCs w:val="0"/>
                <w:color w:val="auto"/>
                <w:spacing w:val="-4"/>
                <w:sz w:val="24"/>
                <w:szCs w:val="22"/>
                <w:u w:val="none"/>
                <w:lang w:val="en-US" w:eastAsia="zh-CN"/>
              </w:rPr>
              <w:t>组织排放量</w:t>
            </w:r>
            <w:r>
              <w:rPr>
                <w:rFonts w:hint="eastAsia" w:ascii="Times New Roman" w:hAnsi="Times New Roman" w:eastAsia="宋体" w:cs="Times New Roman"/>
                <w:color w:val="auto"/>
                <w:sz w:val="24"/>
                <w:lang w:eastAsia="zh-CN"/>
              </w:rPr>
              <w:t>为0.0105</w:t>
            </w:r>
            <w:r>
              <w:rPr>
                <w:rFonts w:hint="eastAsia" w:cs="Times New Roman"/>
                <w:color w:val="auto"/>
                <w:sz w:val="24"/>
                <w:lang w:val="en-US" w:eastAsia="zh-CN"/>
              </w:rPr>
              <w:t>355</w:t>
            </w:r>
            <w:r>
              <w:rPr>
                <w:rFonts w:hint="eastAsia" w:ascii="Times New Roman" w:hAnsi="Times New Roman" w:eastAsia="宋体" w:cs="Times New Roman"/>
                <w:b w:val="0"/>
                <w:bCs w:val="0"/>
                <w:color w:val="auto"/>
                <w:spacing w:val="-4"/>
                <w:sz w:val="24"/>
                <w:szCs w:val="22"/>
                <w:u w:val="none"/>
                <w:lang w:val="en-US" w:eastAsia="zh-CN"/>
              </w:rPr>
              <w:t>t/a</w:t>
            </w:r>
            <w:r>
              <w:rPr>
                <w:rFonts w:hint="eastAsia"/>
                <w:bCs/>
                <w:color w:val="auto"/>
                <w:sz w:val="24"/>
                <w:szCs w:val="24"/>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kern w:val="0"/>
                <w:sz w:val="24"/>
                <w:szCs w:val="24"/>
                <w:highlight w:val="none"/>
                <w:u w:val="none"/>
                <w:lang w:val="en-US" w:eastAsia="zh-CN"/>
              </w:rPr>
              <w:t>无组织部分按</w:t>
            </w:r>
            <w:r>
              <w:rPr>
                <w:rFonts w:hint="eastAsia" w:ascii="Times New Roman" w:hAnsi="Times New Roman" w:eastAsia="宋体" w:cs="Times New Roman"/>
                <w:b w:val="0"/>
                <w:bCs w:val="0"/>
                <w:color w:val="auto"/>
                <w:kern w:val="0"/>
                <w:sz w:val="24"/>
                <w:szCs w:val="24"/>
                <w:highlight w:val="none"/>
                <w:u w:val="none"/>
                <w:lang w:val="en-US" w:eastAsia="zh-CN"/>
              </w:rPr>
              <w:t>5</w:t>
            </w:r>
            <w:r>
              <w:rPr>
                <w:rFonts w:hint="default" w:ascii="Times New Roman" w:hAnsi="Times New Roman" w:eastAsia="宋体" w:cs="Times New Roman"/>
                <w:b w:val="0"/>
                <w:bCs w:val="0"/>
                <w:color w:val="auto"/>
                <w:kern w:val="0"/>
                <w:sz w:val="24"/>
                <w:szCs w:val="24"/>
                <w:highlight w:val="none"/>
                <w:u w:val="none"/>
                <w:lang w:val="en-US" w:eastAsia="zh-CN"/>
              </w:rPr>
              <w:t>%计，</w:t>
            </w:r>
            <w:r>
              <w:rPr>
                <w:rFonts w:hint="eastAsia" w:ascii="Times New Roman" w:hAnsi="Times New Roman" w:eastAsia="宋体" w:cs="Times New Roman"/>
                <w:b w:val="0"/>
                <w:bCs w:val="0"/>
                <w:color w:val="auto"/>
                <w:sz w:val="24"/>
                <w:u w:val="none"/>
                <w:lang w:val="en-US" w:eastAsia="zh-CN"/>
              </w:rPr>
              <w:t>则</w:t>
            </w:r>
            <w:r>
              <w:rPr>
                <w:rFonts w:hint="eastAsia" w:cs="Times New Roman"/>
                <w:b w:val="0"/>
                <w:bCs w:val="0"/>
                <w:color w:val="auto"/>
                <w:sz w:val="24"/>
                <w:u w:val="none"/>
                <w:lang w:val="en-US" w:eastAsia="zh-CN"/>
              </w:rPr>
              <w:t>颗粒物无组织排放量为0.0000738t/a、排放量为</w:t>
            </w:r>
            <w:r>
              <w:rPr>
                <w:rFonts w:hint="eastAsia" w:ascii="Times New Roman" w:hAnsi="Times New Roman" w:cs="Times New Roman"/>
                <w:color w:val="auto"/>
                <w:sz w:val="24"/>
                <w:szCs w:val="24"/>
                <w:u w:val="none"/>
              </w:rPr>
              <w:t>SO</w:t>
            </w:r>
            <w:r>
              <w:rPr>
                <w:rFonts w:hint="eastAsia" w:cs="Times New Roman"/>
                <w:color w:val="auto"/>
                <w:sz w:val="24"/>
                <w:szCs w:val="24"/>
                <w:u w:val="none"/>
                <w:vertAlign w:val="subscript"/>
                <w:lang w:val="en-US" w:eastAsia="zh-CN"/>
              </w:rPr>
              <w:t>2</w:t>
            </w:r>
            <w:r>
              <w:rPr>
                <w:rFonts w:hint="eastAsia" w:ascii="Times New Roman" w:hAnsi="Times New Roman" w:eastAsia="宋体" w:cs="Times New Roman"/>
                <w:color w:val="auto"/>
                <w:sz w:val="24"/>
                <w:lang w:eastAsia="zh-CN"/>
              </w:rPr>
              <w:t>无组织</w:t>
            </w:r>
            <w:r>
              <w:rPr>
                <w:rFonts w:hint="eastAsia" w:ascii="Times New Roman" w:hAnsi="Times New Roman" w:eastAsia="宋体" w:cs="Times New Roman"/>
                <w:color w:val="auto"/>
                <w:sz w:val="24"/>
                <w:lang w:val="en-US" w:eastAsia="zh-CN"/>
              </w:rPr>
              <w:t>排放量为0.0000738t/a、氮氧化物</w:t>
            </w:r>
            <w:r>
              <w:rPr>
                <w:rFonts w:hint="eastAsia" w:ascii="Times New Roman" w:hAnsi="Times New Roman" w:eastAsia="宋体" w:cs="Times New Roman"/>
                <w:color w:val="auto"/>
                <w:sz w:val="24"/>
                <w:lang w:eastAsia="zh-CN"/>
              </w:rPr>
              <w:t>无组织</w:t>
            </w:r>
            <w:r>
              <w:rPr>
                <w:rFonts w:hint="eastAsia" w:ascii="Times New Roman" w:hAnsi="Times New Roman" w:eastAsia="宋体" w:cs="Times New Roman"/>
                <w:color w:val="auto"/>
                <w:sz w:val="24"/>
                <w:lang w:val="en-US" w:eastAsia="zh-CN"/>
              </w:rPr>
              <w:t>排放量为0.0005545t/a</w:t>
            </w:r>
            <w:r>
              <w:rPr>
                <w:rFonts w:hint="eastAsia" w:ascii="Times New Roman" w:hAnsi="Times New Roman" w:eastAsia="宋体" w:cs="Times New Roman"/>
                <w:color w:val="auto"/>
                <w:sz w:val="24"/>
                <w:lang w:eastAsia="zh-CN"/>
              </w:rPr>
              <w:t>。</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right="0" w:firstLine="482" w:firstLineChars="200"/>
              <w:textAlignment w:val="auto"/>
              <w:outlineLvl w:val="0"/>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达标分析</w:t>
            </w:r>
          </w:p>
          <w:p>
            <w:pPr>
              <w:keepNext w:val="0"/>
              <w:keepLines w:val="0"/>
              <w:pageBreakBefore w:val="0"/>
              <w:widowControl w:val="0"/>
              <w:tabs>
                <w:tab w:val="center" w:pos="4772"/>
              </w:tabs>
              <w:kinsoku/>
              <w:wordWrap/>
              <w:overflowPunct/>
              <w:topLinePunct w:val="0"/>
              <w:autoSpaceDE/>
              <w:autoSpaceDN/>
              <w:bidi w:val="0"/>
              <w:adjustRightInd w:val="0"/>
              <w:snapToGrid w:val="0"/>
              <w:spacing w:line="360" w:lineRule="auto"/>
              <w:ind w:right="0" w:firstLine="480" w:firstLineChars="200"/>
              <w:textAlignment w:val="auto"/>
              <w:rPr>
                <w:rFonts w:hint="eastAsia"/>
                <w:bCs/>
                <w:color w:val="FF0000"/>
                <w:sz w:val="24"/>
                <w:szCs w:val="24"/>
                <w:u w:val="none"/>
                <w:lang w:val="en-US" w:eastAsia="zh-CN"/>
              </w:rPr>
            </w:pPr>
            <w:r>
              <w:rPr>
                <w:rFonts w:hint="eastAsia" w:ascii="Times New Roman" w:hAnsi="Times New Roman" w:eastAsia="宋体" w:cs="Times New Roman"/>
                <w:color w:val="auto"/>
                <w:kern w:val="0"/>
                <w:sz w:val="24"/>
                <w:szCs w:val="24"/>
                <w:highlight w:val="none"/>
                <w:lang w:val="en-US" w:eastAsia="zh-CN"/>
              </w:rPr>
              <w:t>综上分析，本项目</w:t>
            </w:r>
            <w:r>
              <w:rPr>
                <w:rFonts w:hint="eastAsia" w:cs="Times New Roman"/>
                <w:color w:val="auto"/>
                <w:kern w:val="0"/>
                <w:sz w:val="24"/>
                <w:szCs w:val="24"/>
                <w:highlight w:val="none"/>
                <w:lang w:val="en-US" w:eastAsia="zh-CN"/>
              </w:rPr>
              <w:t>烘烤</w:t>
            </w:r>
            <w:r>
              <w:rPr>
                <w:rFonts w:hint="eastAsia" w:ascii="Times New Roman" w:hAnsi="Times New Roman" w:eastAsia="宋体" w:cs="Times New Roman"/>
                <w:color w:val="auto"/>
                <w:kern w:val="0"/>
                <w:sz w:val="24"/>
                <w:szCs w:val="24"/>
                <w:highlight w:val="none"/>
                <w:lang w:val="en-US" w:eastAsia="zh-CN"/>
              </w:rPr>
              <w:t>废气采用一套“</w:t>
            </w:r>
            <w:r>
              <w:rPr>
                <w:rFonts w:hint="default" w:ascii="Times New Roman" w:hAnsi="Times New Roman" w:cs="Times New Roman"/>
                <w:b w:val="0"/>
                <w:bCs w:val="0"/>
                <w:snapToGrid w:val="0"/>
                <w:color w:val="auto"/>
                <w:kern w:val="0"/>
                <w:sz w:val="24"/>
                <w:szCs w:val="20"/>
                <w:u w:val="none"/>
              </w:rPr>
              <w:t>UV光催化氧</w:t>
            </w:r>
            <w:r>
              <w:rPr>
                <w:rFonts w:hint="eastAsia" w:cs="Times New Roman"/>
                <w:b w:val="0"/>
                <w:bCs w:val="0"/>
                <w:snapToGrid w:val="0"/>
                <w:color w:val="auto"/>
                <w:kern w:val="0"/>
                <w:sz w:val="24"/>
                <w:szCs w:val="20"/>
                <w:u w:val="none"/>
                <w:lang w:val="en-US" w:eastAsia="zh-CN"/>
              </w:rPr>
              <w:t>化</w:t>
            </w:r>
            <w:r>
              <w:rPr>
                <w:rFonts w:hint="eastAsia" w:ascii="Times New Roman" w:hAnsi="Times New Roman" w:eastAsia="宋体" w:cs="Times New Roman"/>
                <w:color w:val="auto"/>
                <w:kern w:val="0"/>
                <w:sz w:val="24"/>
                <w:szCs w:val="24"/>
                <w:highlight w:val="none"/>
                <w:lang w:val="en-US" w:eastAsia="zh-CN"/>
              </w:rPr>
              <w:t>+活性炭吸附装置”处理</w:t>
            </w:r>
            <w:r>
              <w:rPr>
                <w:rFonts w:hint="eastAsia"/>
                <w:color w:val="auto"/>
                <w:sz w:val="24"/>
                <w:szCs w:val="21"/>
                <w:u w:val="none"/>
                <w:lang w:val="en-US" w:eastAsia="zh-CN"/>
              </w:rPr>
              <w:t>（其中风机风量为9000m</w:t>
            </w:r>
            <w:r>
              <w:rPr>
                <w:rFonts w:hint="eastAsia"/>
                <w:color w:val="auto"/>
                <w:sz w:val="24"/>
                <w:szCs w:val="21"/>
                <w:u w:val="none"/>
                <w:vertAlign w:val="superscript"/>
                <w:lang w:val="en-US" w:eastAsia="zh-CN"/>
              </w:rPr>
              <w:t>3</w:t>
            </w:r>
            <w:r>
              <w:rPr>
                <w:rFonts w:hint="eastAsia"/>
                <w:color w:val="auto"/>
                <w:sz w:val="24"/>
                <w:szCs w:val="21"/>
                <w:u w:val="none"/>
                <w:lang w:val="en-US" w:eastAsia="zh-CN"/>
              </w:rPr>
              <w:t>/h）</w:t>
            </w:r>
            <w:r>
              <w:rPr>
                <w:rFonts w:hint="eastAsia" w:ascii="Times New Roman" w:hAnsi="Times New Roman" w:eastAsia="宋体" w:cs="Times New Roman"/>
                <w:color w:val="auto"/>
                <w:kern w:val="0"/>
                <w:sz w:val="24"/>
                <w:szCs w:val="24"/>
                <w:highlight w:val="none"/>
                <w:lang w:val="en-US" w:eastAsia="zh-CN"/>
              </w:rPr>
              <w:t>，处理后由DA002排气筒排放，DA002排气筒非甲烷总烃</w:t>
            </w:r>
            <w:r>
              <w:rPr>
                <w:rFonts w:hint="eastAsia" w:ascii="Times New Roman" w:hAnsi="Times New Roman" w:eastAsia="宋体" w:cs="Times New Roman"/>
                <w:b w:val="0"/>
                <w:bCs w:val="0"/>
                <w:color w:val="auto"/>
                <w:spacing w:val="-4"/>
                <w:sz w:val="24"/>
                <w:szCs w:val="22"/>
                <w:u w:val="none"/>
                <w:lang w:val="en-US" w:eastAsia="zh-CN"/>
              </w:rPr>
              <w:t>排放量0.00</w:t>
            </w:r>
            <w:r>
              <w:rPr>
                <w:rFonts w:hint="eastAsia" w:cs="Times New Roman"/>
                <w:b w:val="0"/>
                <w:bCs w:val="0"/>
                <w:color w:val="auto"/>
                <w:spacing w:val="-4"/>
                <w:sz w:val="24"/>
                <w:szCs w:val="22"/>
                <w:u w:val="none"/>
                <w:lang w:val="en-US" w:eastAsia="zh-CN"/>
              </w:rPr>
              <w:t>684</w:t>
            </w:r>
            <w:r>
              <w:rPr>
                <w:rFonts w:hint="eastAsia" w:ascii="Times New Roman" w:hAnsi="Times New Roman" w:eastAsia="宋体" w:cs="Times New Roman"/>
                <w:b w:val="0"/>
                <w:bCs w:val="0"/>
                <w:color w:val="auto"/>
                <w:spacing w:val="-4"/>
                <w:sz w:val="24"/>
                <w:szCs w:val="22"/>
                <w:u w:val="none"/>
                <w:lang w:val="en-US" w:eastAsia="zh-CN"/>
              </w:rPr>
              <w:t>t/a、</w:t>
            </w:r>
            <w:r>
              <w:rPr>
                <w:rFonts w:hint="eastAsia" w:ascii="Times New Roman" w:hAnsi="Times New Roman" w:eastAsia="宋体" w:cs="Times New Roman"/>
                <w:b w:val="0"/>
                <w:bCs w:val="0"/>
                <w:color w:val="auto"/>
                <w:kern w:val="0"/>
                <w:sz w:val="24"/>
                <w:szCs w:val="24"/>
                <w:highlight w:val="none"/>
                <w:u w:val="none"/>
                <w:lang w:val="en-US" w:eastAsia="zh-CN"/>
              </w:rPr>
              <w:t>排放速率0.00285kg/h、排放浓度</w:t>
            </w:r>
            <w:r>
              <w:rPr>
                <w:rFonts w:hint="eastAsia" w:cs="Times New Roman"/>
                <w:b w:val="0"/>
                <w:bCs w:val="0"/>
                <w:color w:val="auto"/>
                <w:kern w:val="0"/>
                <w:sz w:val="24"/>
                <w:szCs w:val="24"/>
                <w:highlight w:val="none"/>
                <w:u w:val="none"/>
                <w:lang w:val="en-US" w:eastAsia="zh-CN"/>
              </w:rPr>
              <w:t>0.32</w:t>
            </w:r>
            <w:r>
              <w:rPr>
                <w:rFonts w:hint="default" w:ascii="Times New Roman" w:hAnsi="Times New Roman" w:eastAsia="宋体" w:cs="Times New Roman"/>
                <w:b w:val="0"/>
                <w:bCs w:val="0"/>
                <w:color w:val="auto"/>
                <w:kern w:val="0"/>
                <w:sz w:val="24"/>
                <w:szCs w:val="24"/>
                <w:highlight w:val="none"/>
                <w:u w:val="none"/>
                <w:lang w:val="en-US" w:eastAsia="zh-CN"/>
              </w:rPr>
              <w:t>mg/m</w:t>
            </w:r>
            <w:r>
              <w:rPr>
                <w:rFonts w:hint="default" w:ascii="Times New Roman" w:hAnsi="Times New Roman" w:eastAsia="宋体" w:cs="Times New Roman"/>
                <w:b w:val="0"/>
                <w:bCs w:val="0"/>
                <w:color w:val="auto"/>
                <w:kern w:val="0"/>
                <w:sz w:val="24"/>
                <w:szCs w:val="24"/>
                <w:highlight w:val="none"/>
                <w:u w:val="none"/>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cs="Times New Roman"/>
                <w:b w:val="0"/>
                <w:bCs w:val="0"/>
                <w:color w:val="auto"/>
                <w:spacing w:val="-4"/>
                <w:sz w:val="24"/>
                <w:szCs w:val="22"/>
                <w:u w:val="none"/>
                <w:lang w:val="en-US" w:eastAsia="zh-CN"/>
              </w:rPr>
              <w:t>颗粒物</w:t>
            </w:r>
            <w:r>
              <w:rPr>
                <w:rFonts w:hint="eastAsia" w:ascii="Times New Roman" w:hAnsi="Times New Roman" w:eastAsia="宋体" w:cs="Times New Roman"/>
                <w:b w:val="0"/>
                <w:bCs w:val="0"/>
                <w:color w:val="auto"/>
                <w:spacing w:val="-4"/>
                <w:sz w:val="24"/>
                <w:szCs w:val="22"/>
                <w:u w:val="none"/>
                <w:lang w:val="en-US" w:eastAsia="zh-CN"/>
              </w:rPr>
              <w:t>排放量</w:t>
            </w:r>
            <w:r>
              <w:rPr>
                <w:rFonts w:hint="eastAsia" w:cs="Times New Roman"/>
                <w:b w:val="0"/>
                <w:bCs w:val="0"/>
                <w:color w:val="auto"/>
                <w:spacing w:val="-4"/>
                <w:sz w:val="24"/>
                <w:szCs w:val="22"/>
                <w:u w:val="none"/>
                <w:lang w:val="en-US" w:eastAsia="zh-CN"/>
              </w:rPr>
              <w:t>0.0014022</w:t>
            </w:r>
            <w:r>
              <w:rPr>
                <w:rFonts w:hint="eastAsia" w:ascii="Times New Roman" w:hAnsi="Times New Roman" w:eastAsia="宋体" w:cs="Times New Roman"/>
                <w:b w:val="0"/>
                <w:bCs w:val="0"/>
                <w:color w:val="auto"/>
                <w:spacing w:val="-4"/>
                <w:sz w:val="24"/>
                <w:szCs w:val="22"/>
                <w:u w:val="none"/>
                <w:lang w:val="en-US" w:eastAsia="zh-CN"/>
              </w:rPr>
              <w:t>t/a、排放速率0.009348kg/h</w:t>
            </w:r>
            <w:r>
              <w:rPr>
                <w:rFonts w:hint="eastAsia" w:ascii="Times New Roman" w:hAnsi="Times New Roman" w:cs="Times New Roman"/>
                <w:b w:val="0"/>
                <w:bCs w:val="0"/>
                <w:color w:val="auto"/>
                <w:spacing w:val="-4"/>
                <w:sz w:val="24"/>
                <w:szCs w:val="22"/>
                <w:u w:val="none"/>
                <w:lang w:val="en-US" w:eastAsia="zh-CN"/>
              </w:rPr>
              <w:t>、排放浓度1.03</w:t>
            </w:r>
            <w:r>
              <w:rPr>
                <w:rFonts w:hint="eastAsia" w:cs="Times New Roman"/>
                <w:b w:val="0"/>
                <w:bCs w:val="0"/>
                <w:color w:val="auto"/>
                <w:spacing w:val="-4"/>
                <w:sz w:val="24"/>
                <w:szCs w:val="22"/>
                <w:u w:val="none"/>
                <w:lang w:val="en-US" w:eastAsia="zh-CN"/>
              </w:rPr>
              <w:t>9</w:t>
            </w:r>
            <w:r>
              <w:rPr>
                <w:rFonts w:hint="eastAsia" w:ascii="Times New Roman" w:hAnsi="Times New Roman" w:eastAsia="宋体" w:cs="Times New Roman"/>
                <w:caps w:val="0"/>
                <w:color w:val="auto"/>
                <w:kern w:val="0"/>
                <w:sz w:val="24"/>
                <w:szCs w:val="24"/>
                <w:u w:val="none"/>
                <w:lang w:val="en-US" w:eastAsia="zh-CN" w:bidi="ar-SA"/>
              </w:rPr>
              <w:t>mg/m</w:t>
            </w:r>
            <w:r>
              <w:rPr>
                <w:rFonts w:hint="eastAsia" w:ascii="Times New Roman" w:hAnsi="Times New Roman" w:eastAsia="宋体" w:cs="Times New Roman"/>
                <w:caps w:val="0"/>
                <w:color w:val="auto"/>
                <w:kern w:val="0"/>
                <w:sz w:val="24"/>
                <w:szCs w:val="24"/>
                <w:u w:val="none"/>
                <w:vertAlign w:val="superscript"/>
                <w:lang w:val="en-US" w:eastAsia="zh-CN" w:bidi="ar-SA"/>
              </w:rPr>
              <w:t>3</w:t>
            </w:r>
            <w:r>
              <w:rPr>
                <w:rFonts w:hint="eastAsia" w:ascii="Times New Roman" w:hAnsi="Times New Roman" w:cs="Times New Roman"/>
                <w:b w:val="0"/>
                <w:bCs w:val="0"/>
                <w:color w:val="auto"/>
                <w:spacing w:val="-4"/>
                <w:sz w:val="24"/>
                <w:szCs w:val="22"/>
                <w:u w:val="none"/>
                <w:lang w:val="en-US" w:eastAsia="zh-CN"/>
              </w:rPr>
              <w:t>；</w:t>
            </w:r>
            <w:r>
              <w:rPr>
                <w:rFonts w:hint="eastAsia" w:ascii="Times New Roman" w:hAnsi="Times New Roman" w:eastAsia="宋体" w:cs="Times New Roman"/>
                <w:b w:val="0"/>
                <w:bCs w:val="0"/>
                <w:color w:val="auto"/>
                <w:spacing w:val="-4"/>
                <w:sz w:val="24"/>
                <w:szCs w:val="22"/>
                <w:u w:val="none"/>
                <w:lang w:val="en-US" w:eastAsia="zh-CN"/>
              </w:rPr>
              <w:t>二氧化硫排放量</w:t>
            </w:r>
            <w:r>
              <w:rPr>
                <w:rFonts w:hint="eastAsia" w:cs="Times New Roman"/>
                <w:b w:val="0"/>
                <w:bCs w:val="0"/>
                <w:color w:val="auto"/>
                <w:spacing w:val="-4"/>
                <w:sz w:val="24"/>
                <w:szCs w:val="22"/>
                <w:u w:val="none"/>
                <w:lang w:val="en-US" w:eastAsia="zh-CN"/>
              </w:rPr>
              <w:t>0.0014022</w:t>
            </w:r>
            <w:r>
              <w:rPr>
                <w:rFonts w:hint="eastAsia" w:ascii="Times New Roman" w:hAnsi="Times New Roman" w:eastAsia="宋体" w:cs="Times New Roman"/>
                <w:b w:val="0"/>
                <w:bCs w:val="0"/>
                <w:color w:val="auto"/>
                <w:spacing w:val="-4"/>
                <w:sz w:val="24"/>
                <w:szCs w:val="22"/>
                <w:u w:val="none"/>
                <w:lang w:val="en-US" w:eastAsia="zh-CN"/>
              </w:rPr>
              <w:t>t/a、排放速率0.009348kg/h、</w:t>
            </w:r>
            <w:r>
              <w:rPr>
                <w:rFonts w:hint="eastAsia" w:ascii="Times New Roman" w:hAnsi="Times New Roman" w:eastAsia="宋体" w:cs="Times New Roman"/>
                <w:caps w:val="0"/>
                <w:color w:val="auto"/>
                <w:kern w:val="0"/>
                <w:sz w:val="24"/>
                <w:szCs w:val="24"/>
                <w:u w:val="none"/>
                <w:lang w:val="en-US" w:eastAsia="zh-CN" w:bidi="ar-SA"/>
              </w:rPr>
              <w:t>排放浓度</w:t>
            </w:r>
            <w:r>
              <w:rPr>
                <w:rFonts w:hint="eastAsia" w:cs="Times New Roman"/>
                <w:caps w:val="0"/>
                <w:color w:val="auto"/>
                <w:kern w:val="0"/>
                <w:sz w:val="24"/>
                <w:szCs w:val="24"/>
                <w:u w:val="none"/>
                <w:lang w:val="en-US" w:eastAsia="zh-CN" w:bidi="ar-SA"/>
              </w:rPr>
              <w:t>1.039</w:t>
            </w:r>
            <w:r>
              <w:rPr>
                <w:rFonts w:hint="eastAsia" w:ascii="Times New Roman" w:hAnsi="Times New Roman" w:eastAsia="宋体" w:cs="Times New Roman"/>
                <w:caps w:val="0"/>
                <w:color w:val="auto"/>
                <w:kern w:val="0"/>
                <w:sz w:val="24"/>
                <w:szCs w:val="24"/>
                <w:u w:val="none"/>
                <w:lang w:val="en-US" w:eastAsia="zh-CN" w:bidi="ar-SA"/>
              </w:rPr>
              <w:t>mg/m</w:t>
            </w:r>
            <w:r>
              <w:rPr>
                <w:rFonts w:hint="eastAsia" w:ascii="Times New Roman" w:hAnsi="Times New Roman" w:eastAsia="宋体" w:cs="Times New Roman"/>
                <w:caps w:val="0"/>
                <w:color w:val="auto"/>
                <w:kern w:val="0"/>
                <w:sz w:val="24"/>
                <w:szCs w:val="24"/>
                <w:u w:val="none"/>
                <w:vertAlign w:val="superscript"/>
                <w:lang w:val="en-US" w:eastAsia="zh-CN" w:bidi="ar-SA"/>
              </w:rPr>
              <w:t>3</w:t>
            </w:r>
            <w:r>
              <w:rPr>
                <w:rFonts w:hint="eastAsia" w:ascii="Times New Roman" w:hAnsi="Times New Roman" w:eastAsia="宋体" w:cs="Times New Roman"/>
                <w:caps w:val="0"/>
                <w:color w:val="auto"/>
                <w:kern w:val="0"/>
                <w:sz w:val="24"/>
                <w:szCs w:val="24"/>
                <w:u w:val="none"/>
                <w:vertAlign w:val="baseline"/>
                <w:lang w:val="en-US" w:eastAsia="zh-CN" w:bidi="ar-SA"/>
              </w:rPr>
              <w:t>；</w:t>
            </w:r>
            <w:r>
              <w:rPr>
                <w:rFonts w:hint="default" w:ascii="Times New Roman" w:hAnsi="Times New Roman" w:eastAsia="宋体" w:cs="Times New Roman"/>
                <w:b w:val="0"/>
                <w:bCs w:val="0"/>
                <w:color w:val="auto"/>
                <w:kern w:val="0"/>
                <w:sz w:val="24"/>
                <w:szCs w:val="24"/>
                <w:highlight w:val="none"/>
                <w:u w:val="none"/>
                <w:lang w:val="zh-CN" w:eastAsia="zh-CN"/>
              </w:rPr>
              <w:t>氮氧化物</w:t>
            </w:r>
            <w:r>
              <w:rPr>
                <w:rFonts w:hint="eastAsia" w:ascii="Times New Roman" w:hAnsi="Times New Roman" w:eastAsia="宋体" w:cs="Times New Roman"/>
                <w:b w:val="0"/>
                <w:bCs w:val="0"/>
                <w:color w:val="auto"/>
                <w:spacing w:val="-4"/>
                <w:sz w:val="24"/>
                <w:szCs w:val="22"/>
                <w:u w:val="none"/>
                <w:lang w:val="en-US" w:eastAsia="zh-CN"/>
              </w:rPr>
              <w:t>排放量</w:t>
            </w:r>
            <w:r>
              <w:rPr>
                <w:rFonts w:hint="eastAsia" w:ascii="Times New Roman" w:hAnsi="Times New Roman" w:eastAsia="宋体" w:cs="Times New Roman"/>
                <w:color w:val="auto"/>
                <w:sz w:val="24"/>
                <w:lang w:eastAsia="zh-CN"/>
              </w:rPr>
              <w:t>0.0105</w:t>
            </w:r>
            <w:r>
              <w:rPr>
                <w:rFonts w:hint="eastAsia" w:cs="Times New Roman"/>
                <w:color w:val="auto"/>
                <w:sz w:val="24"/>
                <w:lang w:val="en-US" w:eastAsia="zh-CN"/>
              </w:rPr>
              <w:t>355</w:t>
            </w:r>
            <w:r>
              <w:rPr>
                <w:rFonts w:hint="eastAsia" w:ascii="Times New Roman" w:hAnsi="Times New Roman" w:eastAsia="宋体" w:cs="Times New Roman"/>
                <w:b w:val="0"/>
                <w:bCs w:val="0"/>
                <w:color w:val="auto"/>
                <w:spacing w:val="-4"/>
                <w:sz w:val="24"/>
                <w:szCs w:val="22"/>
                <w:u w:val="none"/>
                <w:lang w:val="en-US" w:eastAsia="zh-CN"/>
              </w:rPr>
              <w:t>t/a、排放速率0.07025kg/h、</w:t>
            </w:r>
            <w:r>
              <w:rPr>
                <w:rFonts w:hint="eastAsia" w:ascii="Times New Roman" w:hAnsi="Times New Roman" w:eastAsia="宋体" w:cs="Times New Roman"/>
                <w:caps w:val="0"/>
                <w:color w:val="auto"/>
                <w:kern w:val="0"/>
                <w:sz w:val="24"/>
                <w:szCs w:val="24"/>
                <w:u w:val="none"/>
                <w:lang w:val="en-US" w:eastAsia="zh-CN" w:bidi="ar-SA"/>
              </w:rPr>
              <w:t>排放浓度7.805mg/m</w:t>
            </w:r>
            <w:r>
              <w:rPr>
                <w:rFonts w:hint="eastAsia" w:ascii="Times New Roman" w:hAnsi="Times New Roman" w:eastAsia="宋体" w:cs="Times New Roman"/>
                <w:caps w:val="0"/>
                <w:color w:val="auto"/>
                <w:kern w:val="0"/>
                <w:sz w:val="24"/>
                <w:szCs w:val="24"/>
                <w:u w:val="none"/>
                <w:vertAlign w:val="superscript"/>
                <w:lang w:val="en-US" w:eastAsia="zh-CN" w:bidi="ar-SA"/>
              </w:rPr>
              <w:t>3</w:t>
            </w:r>
            <w:r>
              <w:rPr>
                <w:rFonts w:hint="eastAsia"/>
                <w:bCs/>
                <w:color w:val="auto"/>
                <w:sz w:val="24"/>
                <w:szCs w:val="24"/>
                <w:u w:val="none"/>
                <w:lang w:val="en-US" w:eastAsia="zh-CN"/>
              </w:rPr>
              <w:t>。</w:t>
            </w:r>
          </w:p>
          <w:p>
            <w:pPr>
              <w:keepNext w:val="0"/>
              <w:keepLines w:val="0"/>
              <w:pageBreakBefore w:val="0"/>
              <w:widowControl w:val="0"/>
              <w:tabs>
                <w:tab w:val="center" w:pos="4772"/>
              </w:tabs>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eastAsia="宋体" w:cs="Times New Roman"/>
                <w:b w:val="0"/>
                <w:bCs w:val="0"/>
                <w:color w:val="auto"/>
                <w:spacing w:val="-4"/>
                <w:sz w:val="24"/>
                <w:szCs w:val="22"/>
                <w:u w:val="none"/>
                <w:lang w:val="en-US" w:eastAsia="zh-CN"/>
              </w:rPr>
            </w:pPr>
            <w:r>
              <w:rPr>
                <w:rFonts w:hint="eastAsia"/>
                <w:bCs/>
                <w:color w:val="auto"/>
                <w:sz w:val="24"/>
                <w:szCs w:val="24"/>
                <w:u w:val="none"/>
                <w:lang w:val="en-US" w:eastAsia="zh-CN"/>
              </w:rPr>
              <w:t>其中，</w:t>
            </w:r>
            <w:r>
              <w:rPr>
                <w:rFonts w:hint="eastAsia" w:ascii="Times New Roman" w:hAnsi="Times New Roman" w:eastAsia="宋体" w:cs="Times New Roman"/>
                <w:color w:val="auto"/>
                <w:kern w:val="0"/>
                <w:sz w:val="24"/>
                <w:szCs w:val="24"/>
                <w:highlight w:val="none"/>
                <w:lang w:val="en-US" w:eastAsia="zh-CN"/>
              </w:rPr>
              <w:t>非甲烷总烃排放浓度及排放速率能够满足《大气污染物综合排放标准》（GB16297-1996）表2中二级标准的要求（排放速率≤10kg/h</w:t>
            </w:r>
            <w:r>
              <w:rPr>
                <w:rFonts w:hint="eastAsia"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15m高排气筒）</w:t>
            </w:r>
            <w:r>
              <w:rPr>
                <w:rFonts w:hint="eastAsia" w:ascii="Times New Roman" w:hAnsi="Times New Roman" w:eastAsia="宋体" w:cs="Times New Roman"/>
                <w:color w:val="auto"/>
                <w:kern w:val="0"/>
                <w:sz w:val="24"/>
                <w:szCs w:val="24"/>
                <w:highlight w:val="none"/>
                <w:lang w:val="zh-CN" w:eastAsia="zh-CN"/>
              </w:rPr>
              <w:t>，同时也能够满足《工业涂装工序挥发性有机物排放标准》（DB41/1951-2020）限值（非甲烷总烃排放浓度</w:t>
            </w:r>
            <w:r>
              <w:rPr>
                <w:rFonts w:hint="eastAsia" w:ascii="Times New Roman" w:hAnsi="Times New Roman" w:eastAsia="宋体" w:cs="Times New Roman"/>
                <w:color w:val="auto"/>
                <w:kern w:val="0"/>
                <w:sz w:val="24"/>
                <w:szCs w:val="24"/>
                <w:highlight w:val="none"/>
                <w:lang w:val="en-US" w:eastAsia="zh-CN"/>
              </w:rPr>
              <w:t>≤50mg/m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ascii="Times New Roman" w:hAnsi="Times New Roman" w:eastAsia="宋体" w:cs="Times New Roman"/>
                <w:color w:val="auto"/>
                <w:kern w:val="0"/>
                <w:sz w:val="24"/>
                <w:szCs w:val="24"/>
                <w:highlight w:val="none"/>
                <w:lang w:val="zh-CN" w:eastAsia="zh-CN"/>
              </w:rPr>
              <w:t>）和</w:t>
            </w:r>
            <w:r>
              <w:rPr>
                <w:rFonts w:hint="eastAsia" w:ascii="Times New Roman" w:hAnsi="Times New Roman" w:eastAsia="宋体" w:cs="Times New Roman"/>
                <w:color w:val="auto"/>
                <w:kern w:val="0"/>
                <w:sz w:val="24"/>
                <w:szCs w:val="24"/>
                <w:highlight w:val="none"/>
                <w:lang w:val="en-US" w:eastAsia="zh-CN"/>
              </w:rPr>
              <w:t>《关于全省开展工业企业挥发性有机物专项治理工作中排放建议值的通知》（豫环攻坚办〔2017〕162号）的相关要求（表面涂装业有机废气排放建议值要求非甲烷总烃≤60mg/m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、建议去除效率≥70%）；</w:t>
            </w:r>
            <w:r>
              <w:rPr>
                <w:rFonts w:hint="eastAsia" w:ascii="Times New Roman" w:hAnsi="Times New Roman" w:eastAsia="宋体" w:cs="Times New Roman"/>
                <w:caps w:val="0"/>
                <w:color w:val="auto"/>
                <w:kern w:val="0"/>
                <w:sz w:val="24"/>
                <w:szCs w:val="24"/>
                <w:u w:val="none"/>
                <w:lang w:val="en-US" w:eastAsia="zh-CN" w:bidi="ar-SA"/>
              </w:rPr>
              <w:t>二氧化硫、氮氧化物排放浓度均能够满足</w:t>
            </w:r>
            <w:r>
              <w:rPr>
                <w:rFonts w:hint="eastAsia" w:ascii="Times New Roman" w:hAnsi="Times New Roman" w:eastAsia="宋体" w:cs="Times New Roman"/>
                <w:color w:val="auto"/>
                <w:kern w:val="2"/>
                <w:sz w:val="24"/>
                <w:szCs w:val="24"/>
                <w:u w:val="none"/>
                <w:lang w:val="en-US" w:eastAsia="zh-CN"/>
              </w:rPr>
              <w:t>《</w:t>
            </w:r>
            <w:r>
              <w:rPr>
                <w:rFonts w:hint="default" w:ascii="Times New Roman" w:hAnsi="Times New Roman" w:eastAsia="宋体" w:cs="Times New Roman"/>
                <w:color w:val="auto"/>
                <w:kern w:val="2"/>
                <w:sz w:val="24"/>
                <w:szCs w:val="24"/>
                <w:u w:val="none"/>
                <w:lang w:val="en-US" w:eastAsia="zh-CN"/>
              </w:rPr>
              <w:t>河南省重污染天气</w:t>
            </w:r>
            <w:r>
              <w:rPr>
                <w:rFonts w:hint="eastAsia" w:cs="Times New Roman"/>
                <w:color w:val="auto"/>
                <w:kern w:val="2"/>
                <w:sz w:val="24"/>
                <w:szCs w:val="24"/>
                <w:u w:val="none"/>
                <w:lang w:val="en-US" w:eastAsia="zh-CN"/>
              </w:rPr>
              <w:t>重点</w:t>
            </w:r>
            <w:r>
              <w:rPr>
                <w:rFonts w:hint="default" w:ascii="Times New Roman" w:hAnsi="Times New Roman" w:eastAsia="宋体" w:cs="Times New Roman"/>
                <w:color w:val="auto"/>
                <w:kern w:val="2"/>
                <w:sz w:val="24"/>
                <w:szCs w:val="24"/>
                <w:u w:val="none"/>
                <w:lang w:val="en-US" w:eastAsia="zh-CN"/>
              </w:rPr>
              <w:t>行业应急减排措施制定技术指南</w:t>
            </w:r>
            <w:r>
              <w:rPr>
                <w:rFonts w:hint="eastAsia" w:ascii="Times New Roman" w:hAnsi="Times New Roman" w:eastAsia="宋体" w:cs="Times New Roman"/>
                <w:color w:val="auto"/>
                <w:kern w:val="2"/>
                <w:sz w:val="24"/>
                <w:szCs w:val="24"/>
                <w:u w:val="none"/>
                <w:lang w:val="en-US" w:eastAsia="zh-CN"/>
              </w:rPr>
              <w:t>》</w:t>
            </w:r>
            <w:r>
              <w:rPr>
                <w:rFonts w:hint="default" w:ascii="Times New Roman" w:hAnsi="Times New Roman" w:eastAsia="宋体" w:cs="Times New Roman"/>
                <w:color w:val="auto"/>
                <w:kern w:val="2"/>
                <w:sz w:val="24"/>
                <w:szCs w:val="24"/>
                <w:u w:val="none"/>
                <w:lang w:val="en-US" w:eastAsia="zh-CN"/>
              </w:rPr>
              <w:t>（2021年修订版）</w:t>
            </w:r>
            <w:r>
              <w:rPr>
                <w:rFonts w:hint="eastAsia"/>
                <w:color w:val="auto"/>
                <w:sz w:val="24"/>
                <w:szCs w:val="24"/>
                <w:lang w:eastAsia="zh-CN"/>
              </w:rPr>
              <w:t>涉锅炉/炉窑企业A级－其他工序颗粒物排放要</w:t>
            </w:r>
            <w:r>
              <w:rPr>
                <w:rFonts w:hint="default" w:ascii="Times New Roman" w:hAnsi="Times New Roman" w:cs="Times New Roman"/>
                <w:color w:val="auto"/>
                <w:sz w:val="24"/>
                <w:szCs w:val="24"/>
                <w:lang w:eastAsia="zh-CN"/>
              </w:rPr>
              <w:t>求（</w:t>
            </w:r>
            <w:r>
              <w:rPr>
                <w:rFonts w:hint="default" w:ascii="Times New Roman" w:hAnsi="Times New Roman" w:eastAsia="宋体" w:cs="Times New Roman"/>
                <w:color w:val="auto"/>
                <w:kern w:val="0"/>
                <w:sz w:val="21"/>
                <w:szCs w:val="21"/>
                <w:lang w:val="en-US" w:eastAsia="zh-CN"/>
              </w:rPr>
              <w:t>PM</w:t>
            </w:r>
            <w:r>
              <w:rPr>
                <w:rFonts w:hint="default" w:ascii="Times New Roman" w:hAnsi="Times New Roman" w:cs="Times New Roman"/>
                <w:color w:val="auto"/>
                <w:kern w:val="0"/>
                <w:sz w:val="21"/>
                <w:szCs w:val="21"/>
                <w:lang w:val="en-US" w:eastAsia="zh-CN"/>
              </w:rPr>
              <w:t>排放浓度≤10</w:t>
            </w:r>
            <w:r>
              <w:rPr>
                <w:rFonts w:hint="default" w:ascii="Times New Roman" w:hAnsi="Times New Roman" w:cs="Times New Roman"/>
                <w:color w:val="auto"/>
                <w:sz w:val="24"/>
                <w:szCs w:val="24"/>
                <w:lang w:eastAsia="zh-CN"/>
              </w:rPr>
              <w:t>mg/m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vertAlign w:val="baseline"/>
                <w:lang w:eastAsia="zh-CN"/>
              </w:rPr>
              <w:t>，</w:t>
            </w:r>
            <w:r>
              <w:rPr>
                <w:rFonts w:hint="eastAsia" w:cs="Times New Roman"/>
                <w:color w:val="auto"/>
                <w:kern w:val="2"/>
                <w:sz w:val="24"/>
                <w:szCs w:val="24"/>
                <w:lang w:val="en-US" w:eastAsia="zh-CN" w:bidi="ar-SA"/>
              </w:rPr>
              <w:t>SO</w:t>
            </w:r>
            <w:r>
              <w:rPr>
                <w:rFonts w:hint="eastAsia" w:cs="Times New Roman"/>
                <w:color w:val="auto"/>
                <w:kern w:val="2"/>
                <w:sz w:val="24"/>
                <w:szCs w:val="24"/>
                <w:vertAlign w:val="subscript"/>
                <w:lang w:val="en-US" w:eastAsia="zh-CN" w:bidi="ar-SA"/>
              </w:rPr>
              <w:t>2</w:t>
            </w:r>
            <w:r>
              <w:rPr>
                <w:rFonts w:hint="eastAsia"/>
                <w:color w:val="auto"/>
                <w:sz w:val="24"/>
                <w:szCs w:val="24"/>
                <w:lang w:eastAsia="zh-CN"/>
              </w:rPr>
              <w:t>排放浓度≤</w:t>
            </w:r>
            <w:r>
              <w:rPr>
                <w:rFonts w:hint="eastAsia"/>
                <w:color w:val="auto"/>
                <w:sz w:val="24"/>
                <w:szCs w:val="24"/>
                <w:lang w:val="en-US" w:eastAsia="zh-CN"/>
              </w:rPr>
              <w:t>35</w:t>
            </w:r>
            <w:r>
              <w:rPr>
                <w:rFonts w:hint="eastAsia"/>
                <w:color w:val="auto"/>
                <w:sz w:val="24"/>
                <w:szCs w:val="24"/>
                <w:lang w:eastAsia="zh-CN"/>
              </w:rPr>
              <w:t>mg/m</w:t>
            </w:r>
            <w:r>
              <w:rPr>
                <w:rFonts w:hint="eastAsia"/>
                <w:color w:val="auto"/>
                <w:sz w:val="24"/>
                <w:szCs w:val="24"/>
                <w:vertAlign w:val="superscript"/>
                <w:lang w:eastAsia="zh-CN"/>
              </w:rPr>
              <w:t>3</w:t>
            </w:r>
            <w:r>
              <w:rPr>
                <w:rFonts w:hint="eastAsia"/>
                <w:color w:val="auto"/>
                <w:sz w:val="24"/>
                <w:szCs w:val="24"/>
                <w:vertAlign w:val="baseline"/>
                <w:lang w:eastAsia="zh-CN"/>
              </w:rPr>
              <w:t>，</w:t>
            </w:r>
            <w:r>
              <w:rPr>
                <w:rFonts w:hint="eastAsia" w:cs="Times New Roman"/>
                <w:color w:val="auto"/>
                <w:kern w:val="2"/>
                <w:sz w:val="24"/>
                <w:szCs w:val="24"/>
                <w:lang w:val="en-US" w:eastAsia="zh-CN" w:bidi="ar-SA"/>
              </w:rPr>
              <w:t>NOx</w:t>
            </w:r>
            <w:r>
              <w:rPr>
                <w:rFonts w:hint="eastAsia"/>
                <w:color w:val="auto"/>
                <w:sz w:val="24"/>
                <w:szCs w:val="24"/>
                <w:lang w:eastAsia="zh-CN"/>
              </w:rPr>
              <w:t>排放浓度≤</w:t>
            </w:r>
            <w:r>
              <w:rPr>
                <w:rFonts w:hint="eastAsia"/>
                <w:color w:val="auto"/>
                <w:sz w:val="24"/>
                <w:szCs w:val="24"/>
                <w:lang w:val="en-US" w:eastAsia="zh-CN"/>
              </w:rPr>
              <w:t>50</w:t>
            </w:r>
            <w:r>
              <w:rPr>
                <w:rFonts w:hint="eastAsia"/>
                <w:color w:val="auto"/>
                <w:sz w:val="24"/>
                <w:szCs w:val="24"/>
                <w:lang w:eastAsia="zh-CN"/>
              </w:rPr>
              <w:t>mg/m</w:t>
            </w:r>
            <w:r>
              <w:rPr>
                <w:rFonts w:hint="eastAsia"/>
                <w:color w:val="auto"/>
                <w:sz w:val="24"/>
                <w:szCs w:val="24"/>
                <w:vertAlign w:val="superscript"/>
                <w:lang w:eastAsia="zh-CN"/>
              </w:rPr>
              <w:t>3</w:t>
            </w:r>
            <w:r>
              <w:rPr>
                <w:rFonts w:hint="eastAsia"/>
                <w:color w:val="auto"/>
                <w:sz w:val="24"/>
                <w:szCs w:val="24"/>
                <w:lang w:eastAsia="zh-CN"/>
              </w:rPr>
              <w:t>）</w:t>
            </w:r>
            <w:r>
              <w:rPr>
                <w:rFonts w:hint="eastAsia" w:ascii="Times New Roman" w:hAnsi="Times New Roman" w:eastAsia="宋体" w:cs="Times New Roman"/>
                <w:color w:val="auto"/>
                <w:kern w:val="2"/>
                <w:sz w:val="24"/>
                <w:szCs w:val="24"/>
                <w:u w:val="none"/>
                <w:lang w:val="en-US" w:eastAsia="zh-CN"/>
              </w:rPr>
              <w:t>。</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none"/>
                <w:lang w:val="en-US" w:eastAsia="zh-CN"/>
              </w:rPr>
            </w:pPr>
            <w:r>
              <w:rPr>
                <w:rFonts w:hint="default" w:ascii="Times New Roman" w:hAnsi="Times New Roman" w:eastAsia="宋体" w:cs="Times New Roman"/>
                <w:b/>
                <w:bCs w:val="0"/>
                <w:sz w:val="24"/>
                <w:szCs w:val="24"/>
                <w:u w:val="none"/>
                <w:lang w:val="en-US" w:eastAsia="zh-CN"/>
              </w:rPr>
              <w:t>污染物治理设施可行性</w:t>
            </w:r>
          </w:p>
          <w:p>
            <w:pPr>
              <w:pStyle w:val="10"/>
              <w:keepNext w:val="0"/>
              <w:keepLines w:val="0"/>
              <w:pageBreakBefore w:val="0"/>
              <w:widowControl/>
              <w:numPr>
                <w:ilvl w:val="0"/>
                <w:numId w:val="5"/>
              </w:numPr>
              <w:kinsoku/>
              <w:wordWrap/>
              <w:overflowPunct/>
              <w:topLinePunct w:val="0"/>
              <w:autoSpaceDE/>
              <w:autoSpaceDN/>
              <w:bidi w:val="0"/>
              <w:adjustRightInd/>
              <w:snapToGrid w:val="0"/>
              <w:ind w:left="0" w:leftChars="0" w:right="0" w:rightChars="0" w:firstLine="482" w:firstLineChars="200"/>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有组织</w:t>
            </w:r>
            <w:r>
              <w:rPr>
                <w:rFonts w:hint="eastAsia" w:cs="Times New Roman"/>
                <w:b/>
                <w:bCs/>
                <w:lang w:val="en-US" w:eastAsia="zh-CN"/>
              </w:rPr>
              <w:t>颗粒物</w:t>
            </w:r>
            <w:r>
              <w:rPr>
                <w:rFonts w:hint="default" w:ascii="Times New Roman" w:hAnsi="Times New Roman" w:eastAsia="宋体" w:cs="Times New Roman"/>
                <w:b/>
                <w:bCs/>
                <w:lang w:val="en-US" w:eastAsia="zh-CN"/>
              </w:rPr>
              <w:t>污染控制措施</w:t>
            </w:r>
          </w:p>
          <w:p>
            <w:pPr>
              <w:pStyle w:val="10"/>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本项目针对</w:t>
            </w:r>
            <w:r>
              <w:rPr>
                <w:rFonts w:hint="eastAsia" w:cs="Times New Roman"/>
                <w:lang w:val="en-US" w:eastAsia="zh-CN"/>
              </w:rPr>
              <w:t>生产过程中产尘公祖</w:t>
            </w:r>
            <w:r>
              <w:rPr>
                <w:rFonts w:hint="default" w:ascii="Times New Roman" w:hAnsi="Times New Roman" w:cs="Times New Roman"/>
                <w:lang w:val="en-US" w:eastAsia="zh-CN"/>
              </w:rPr>
              <w:t>采取</w:t>
            </w:r>
            <w:r>
              <w:rPr>
                <w:rFonts w:hint="eastAsia" w:cs="Times New Roman"/>
                <w:lang w:val="en-US" w:eastAsia="zh-CN"/>
              </w:rPr>
              <w:t>全密闭</w:t>
            </w:r>
            <w:r>
              <w:rPr>
                <w:rFonts w:hint="default" w:ascii="Times New Roman" w:hAnsi="Times New Roman" w:cs="Times New Roman"/>
                <w:lang w:val="en-US" w:eastAsia="zh-CN"/>
              </w:rPr>
              <w:t>集气设施</w:t>
            </w:r>
            <w:r>
              <w:rPr>
                <w:rFonts w:hint="eastAsia" w:cs="Times New Roman"/>
                <w:lang w:val="en-US" w:eastAsia="zh-CN"/>
              </w:rPr>
              <w:t>收集</w:t>
            </w:r>
            <w:r>
              <w:rPr>
                <w:rFonts w:hint="default" w:ascii="Times New Roman" w:hAnsi="Times New Roman" w:cs="Times New Roman"/>
                <w:lang w:val="en-US" w:eastAsia="zh-CN"/>
              </w:rPr>
              <w:t>+袋式除尘器进行处理，最终经</w:t>
            </w:r>
            <w:r>
              <w:rPr>
                <w:rFonts w:hint="eastAsia" w:cs="Times New Roman"/>
                <w:lang w:val="en-US" w:eastAsia="zh-CN"/>
              </w:rPr>
              <w:t>15</w:t>
            </w:r>
            <w:r>
              <w:rPr>
                <w:rFonts w:hint="default" w:ascii="Times New Roman" w:hAnsi="Times New Roman" w:cs="Times New Roman"/>
                <w:lang w:val="en-US" w:eastAsia="zh-CN"/>
              </w:rPr>
              <w:t>m排气筒P</w:t>
            </w:r>
            <w:r>
              <w:rPr>
                <w:rFonts w:hint="eastAsia" w:cs="Times New Roman"/>
                <w:lang w:val="en-US" w:eastAsia="zh-CN"/>
              </w:rPr>
              <w:t>1</w:t>
            </w:r>
            <w:r>
              <w:rPr>
                <w:rFonts w:hint="default" w:ascii="Times New Roman" w:hAnsi="Times New Roman" w:cs="Times New Roman"/>
                <w:lang w:val="en-US" w:eastAsia="zh-CN"/>
              </w:rPr>
              <w:t>（DA00</w:t>
            </w:r>
            <w:r>
              <w:rPr>
                <w:rFonts w:hint="eastAsia" w:cs="Times New Roman"/>
                <w:lang w:val="en-US" w:eastAsia="zh-CN"/>
              </w:rPr>
              <w:t>1</w:t>
            </w:r>
            <w:r>
              <w:rPr>
                <w:rFonts w:hint="default" w:ascii="Times New Roman" w:hAnsi="Times New Roman" w:cs="Times New Roman"/>
                <w:lang w:val="en-US" w:eastAsia="zh-CN"/>
              </w:rPr>
              <w:t>）达标排放。</w:t>
            </w:r>
          </w:p>
          <w:p>
            <w:pPr>
              <w:pStyle w:val="10"/>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其中袋式除尘器的优点主要如下：①除尘效率高，其除尘效率可达到95%—99.9%，可捕集粒径大于0.3µm的细小</w:t>
            </w:r>
            <w:r>
              <w:rPr>
                <w:rFonts w:hint="eastAsia" w:cs="Times New Roman"/>
                <w:lang w:val="en-US" w:eastAsia="zh-CN"/>
              </w:rPr>
              <w:t>颗粒物</w:t>
            </w:r>
            <w:r>
              <w:rPr>
                <w:rFonts w:hint="default" w:ascii="Times New Roman" w:hAnsi="Times New Roman" w:cs="Times New Roman"/>
                <w:lang w:val="en-US" w:eastAsia="zh-CN"/>
              </w:rPr>
              <w:t>颗粒，能满足严格的环保要求；②性能稳定，处理风量、气体含尘量、温度等工作条件的变化，对袋式除尘器的除尘效果影响不大；③</w:t>
            </w:r>
            <w:r>
              <w:rPr>
                <w:rFonts w:hint="eastAsia" w:cs="Times New Roman"/>
                <w:lang w:val="en-US" w:eastAsia="zh-CN"/>
              </w:rPr>
              <w:t>颗粒物</w:t>
            </w:r>
            <w:r>
              <w:rPr>
                <w:rFonts w:hint="default" w:ascii="Times New Roman" w:hAnsi="Times New Roman" w:cs="Times New Roman"/>
                <w:lang w:val="en-US" w:eastAsia="zh-CN"/>
              </w:rPr>
              <w:t>处理容易，袋式除尘器是一种干式净化设备，不需用水，所以不存在污水处理或泥浆处理问题，收集的</w:t>
            </w:r>
            <w:r>
              <w:rPr>
                <w:rFonts w:hint="eastAsia" w:cs="Times New Roman"/>
                <w:lang w:val="en-US" w:eastAsia="zh-CN"/>
              </w:rPr>
              <w:t>颗粒物</w:t>
            </w:r>
            <w:r>
              <w:rPr>
                <w:rFonts w:hint="default" w:ascii="Times New Roman" w:hAnsi="Times New Roman" w:cs="Times New Roman"/>
                <w:lang w:val="en-US" w:eastAsia="zh-CN"/>
              </w:rPr>
              <w:t>容易回收利用；④使用灵活，处理风量可由每小时数百立方米到每小时数十万立方米，可以作为直接设于室内、机床附近的小型机组，也可做成大型的除尘室；⑤结构比较简单，运行比较稳定，维护方便；⑥袋式除尘器比静电除尘器有更高的除尘效率，尤其对人体有严重影响的重金属粒子及亚微米级尘粒的捕集更为有效，通常除尘效率可达99.9%以上。袋式除尘器的可捕集粒径大于0.3µm的细小</w:t>
            </w:r>
            <w:r>
              <w:rPr>
                <w:rFonts w:hint="eastAsia" w:cs="Times New Roman"/>
                <w:lang w:val="en-US" w:eastAsia="zh-CN"/>
              </w:rPr>
              <w:t>颗粒物</w:t>
            </w:r>
            <w:r>
              <w:rPr>
                <w:rFonts w:hint="default" w:ascii="Times New Roman" w:hAnsi="Times New Roman" w:cs="Times New Roman"/>
                <w:lang w:val="en-US" w:eastAsia="zh-CN"/>
              </w:rPr>
              <w:t>颗粒；因此本项目颗粒物处理措施选取袋式除尘器处理的措施可行。</w:t>
            </w:r>
          </w:p>
          <w:p>
            <w:pPr>
              <w:keepNext w:val="0"/>
              <w:keepLines w:val="0"/>
              <w:pageBreakBefore w:val="0"/>
              <w:kinsoku/>
              <w:wordWrap/>
              <w:overflowPunct/>
              <w:topLinePunct w:val="0"/>
              <w:bidi w:val="0"/>
              <w:adjustRightInd w:val="0"/>
              <w:snapToGrid w:val="0"/>
              <w:spacing w:line="360" w:lineRule="auto"/>
              <w:ind w:right="0" w:firstLine="437"/>
              <w:textAlignment w:val="auto"/>
              <w:rPr>
                <w:rFonts w:hint="default" w:ascii="Times New Roman" w:hAnsi="Times New Roman" w:cs="Times New Roman"/>
                <w:sz w:val="24"/>
                <w:szCs w:val="24"/>
                <w:lang w:val="en-US" w:eastAsia="zh-CN"/>
              </w:rPr>
            </w:pPr>
            <w:r>
              <w:rPr>
                <w:rFonts w:hint="default" w:ascii="Times New Roman" w:hAnsi="Times New Roman" w:cs="Times New Roman"/>
                <w:b w:val="0"/>
                <w:bCs/>
                <w:sz w:val="24"/>
                <w:szCs w:val="24"/>
                <w:u w:val="none"/>
                <w:lang w:val="en-US" w:eastAsia="zh-CN"/>
              </w:rPr>
              <w:t>项目运行过程中各工序产生的颗粒物经上述工艺处理后</w:t>
            </w:r>
            <w:r>
              <w:rPr>
                <w:rFonts w:hint="eastAsia"/>
                <w:color w:val="auto"/>
                <w:sz w:val="24"/>
                <w:szCs w:val="21"/>
                <w:u w:val="none"/>
                <w:lang w:eastAsia="zh-CN"/>
              </w:rPr>
              <w:t>颗粒物排放</w:t>
            </w:r>
            <w:r>
              <w:rPr>
                <w:rFonts w:hint="eastAsia" w:ascii="Times New Roman" w:hAnsi="Times New Roman" w:eastAsia="宋体" w:cs="Times New Roman"/>
                <w:b w:val="0"/>
                <w:bCs w:val="0"/>
                <w:color w:val="auto"/>
                <w:kern w:val="0"/>
                <w:sz w:val="24"/>
                <w:szCs w:val="24"/>
                <w:highlight w:val="none"/>
                <w:u w:val="none"/>
                <w:lang w:val="en-US" w:eastAsia="zh-CN"/>
              </w:rPr>
              <w:t>速率</w:t>
            </w:r>
            <w:r>
              <w:rPr>
                <w:rFonts w:hint="eastAsia"/>
                <w:color w:val="auto"/>
                <w:sz w:val="24"/>
                <w:szCs w:val="21"/>
                <w:u w:val="none"/>
                <w:lang w:eastAsia="zh-CN"/>
              </w:rPr>
              <w:t>能够</w:t>
            </w:r>
            <w:r>
              <w:rPr>
                <w:rFonts w:hint="eastAsia"/>
                <w:color w:val="auto"/>
                <w:sz w:val="24"/>
                <w:szCs w:val="21"/>
                <w:u w:val="none"/>
              </w:rPr>
              <w:t>满足</w:t>
            </w:r>
            <w:r>
              <w:rPr>
                <w:color w:val="auto"/>
                <w:sz w:val="24"/>
                <w:szCs w:val="21"/>
                <w:u w:val="none"/>
              </w:rPr>
              <w:t>《大气污染物综合排放标准》</w:t>
            </w:r>
            <w:r>
              <w:rPr>
                <w:rFonts w:hint="eastAsia"/>
                <w:color w:val="auto"/>
                <w:sz w:val="24"/>
                <w:szCs w:val="21"/>
                <w:u w:val="none"/>
              </w:rPr>
              <w:t>（</w:t>
            </w:r>
            <w:r>
              <w:rPr>
                <w:color w:val="auto"/>
                <w:sz w:val="24"/>
                <w:szCs w:val="21"/>
                <w:u w:val="none"/>
              </w:rPr>
              <w:t>GB16297-1996</w:t>
            </w:r>
            <w:r>
              <w:rPr>
                <w:rFonts w:hint="eastAsia"/>
                <w:color w:val="auto"/>
                <w:sz w:val="24"/>
                <w:szCs w:val="21"/>
                <w:u w:val="none"/>
              </w:rPr>
              <w:t>）</w:t>
            </w:r>
            <w:r>
              <w:rPr>
                <w:color w:val="auto"/>
                <w:sz w:val="24"/>
                <w:szCs w:val="21"/>
                <w:u w:val="none"/>
              </w:rPr>
              <w:t>表2中二级标准</w:t>
            </w:r>
            <w:r>
              <w:rPr>
                <w:rFonts w:hint="eastAsia"/>
                <w:color w:val="auto"/>
                <w:sz w:val="24"/>
                <w:szCs w:val="21"/>
                <w:u w:val="none"/>
              </w:rPr>
              <w:t>的要求（排放速率≤3.5kg/h</w:t>
            </w:r>
            <w:r>
              <w:rPr>
                <w:rFonts w:hint="eastAsia"/>
                <w:color w:val="auto"/>
                <w:sz w:val="24"/>
                <w:szCs w:val="21"/>
                <w:u w:val="none"/>
                <w:lang w:eastAsia="zh-CN"/>
              </w:rPr>
              <w:t>（</w:t>
            </w:r>
            <w:r>
              <w:rPr>
                <w:rFonts w:hint="eastAsia"/>
                <w:color w:val="auto"/>
                <w:sz w:val="24"/>
                <w:szCs w:val="21"/>
                <w:u w:val="none"/>
              </w:rPr>
              <w:t>15m高排气筒</w:t>
            </w:r>
            <w:r>
              <w:rPr>
                <w:rFonts w:hint="eastAsia"/>
                <w:color w:val="auto"/>
                <w:sz w:val="24"/>
                <w:szCs w:val="21"/>
                <w:u w:val="none"/>
                <w:lang w:eastAsia="zh-CN"/>
              </w:rPr>
              <w:t>）</w:t>
            </w:r>
            <w:r>
              <w:rPr>
                <w:rFonts w:hint="eastAsia"/>
                <w:color w:val="auto"/>
                <w:sz w:val="24"/>
                <w:szCs w:val="21"/>
                <w:u w:val="none"/>
              </w:rPr>
              <w:t>）</w:t>
            </w:r>
            <w:r>
              <w:rPr>
                <w:rFonts w:hint="eastAsia"/>
                <w:color w:val="auto"/>
                <w:sz w:val="24"/>
                <w:szCs w:val="24"/>
                <w:u w:val="none"/>
                <w:lang w:eastAsia="zh-CN"/>
              </w:rPr>
              <w:t>，同时</w:t>
            </w:r>
            <w:r>
              <w:rPr>
                <w:rFonts w:hint="eastAsia"/>
                <w:bCs/>
                <w:color w:val="auto"/>
                <w:sz w:val="24"/>
                <w:szCs w:val="24"/>
                <w:u w:val="none"/>
                <w:lang w:val="en-US" w:eastAsia="zh-CN"/>
              </w:rPr>
              <w:t>，</w:t>
            </w:r>
            <w:r>
              <w:rPr>
                <w:rFonts w:hint="eastAsia"/>
                <w:color w:val="auto"/>
                <w:sz w:val="24"/>
                <w:szCs w:val="21"/>
                <w:u w:val="none"/>
                <w:lang w:eastAsia="zh-CN"/>
              </w:rPr>
              <w:t>颗粒物排放</w:t>
            </w:r>
            <w:r>
              <w:rPr>
                <w:rFonts w:hint="eastAsia"/>
                <w:color w:val="auto"/>
                <w:sz w:val="24"/>
                <w:szCs w:val="21"/>
                <w:u w:val="none"/>
                <w:lang w:val="en-US" w:eastAsia="zh-CN"/>
              </w:rPr>
              <w:t>浓度能够</w:t>
            </w:r>
            <w:r>
              <w:rPr>
                <w:rFonts w:hint="eastAsia"/>
                <w:color w:val="auto"/>
                <w:sz w:val="24"/>
                <w:szCs w:val="24"/>
                <w:u w:val="none"/>
                <w:lang w:eastAsia="zh-CN"/>
              </w:rPr>
              <w:t>满足</w:t>
            </w:r>
            <w:r>
              <w:rPr>
                <w:rFonts w:hint="default" w:ascii="Times New Roman" w:hAnsi="Times New Roman" w:eastAsia="宋体" w:cs="Times New Roman"/>
                <w:b w:val="0"/>
                <w:bCs w:val="0"/>
                <w:color w:val="auto"/>
                <w:sz w:val="24"/>
                <w:szCs w:val="24"/>
                <w:highlight w:val="none"/>
                <w:lang w:val="en-US" w:eastAsia="zh-CN"/>
              </w:rPr>
              <w:t>《河南省重污染天气通用行业应急减排措施制定技术指南（2021年修订版）》涉锅炉/炉窑企业A级</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其他工序</w:t>
            </w:r>
            <w:r>
              <w:rPr>
                <w:rFonts w:hint="eastAsia" w:ascii="Times New Roman" w:hAnsi="Times New Roman" w:eastAsia="宋体" w:cs="Times New Roman"/>
                <w:b w:val="0"/>
                <w:bCs w:val="0"/>
                <w:color w:val="auto"/>
                <w:sz w:val="24"/>
                <w:szCs w:val="24"/>
                <w:highlight w:val="none"/>
                <w:lang w:val="en-US" w:eastAsia="zh-CN"/>
              </w:rPr>
              <w:t>颗粒物</w:t>
            </w:r>
            <w:r>
              <w:rPr>
                <w:rFonts w:hint="default" w:ascii="Times New Roman" w:hAnsi="Times New Roman" w:eastAsia="宋体" w:cs="Times New Roman"/>
                <w:b w:val="0"/>
                <w:bCs w:val="0"/>
                <w:color w:val="auto"/>
                <w:sz w:val="24"/>
                <w:szCs w:val="24"/>
                <w:highlight w:val="none"/>
                <w:lang w:val="en-US" w:eastAsia="zh-CN"/>
              </w:rPr>
              <w:t>排放要求（颗粒物有组织排放浓度≤10mg/m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cs="Times New Roman"/>
                <w:sz w:val="24"/>
                <w:szCs w:val="24"/>
                <w:lang w:val="en-US" w:eastAsia="zh-CN"/>
              </w:rPr>
              <w:t>因此本项目该工序颗粒物（有组织）排放</w:t>
            </w:r>
            <w:r>
              <w:rPr>
                <w:rFonts w:hint="default" w:ascii="Times New Roman" w:hAnsi="Times New Roman" w:cs="Times New Roman"/>
                <w:b w:val="0"/>
                <w:bCs/>
                <w:color w:val="auto"/>
                <w:sz w:val="24"/>
                <w:szCs w:val="24"/>
                <w:u w:val="none"/>
              </w:rPr>
              <w:t>对周围大气环境影响不大</w:t>
            </w:r>
            <w:r>
              <w:rPr>
                <w:rFonts w:hint="default" w:ascii="Times New Roman" w:hAnsi="Times New Roman" w:cs="Times New Roman"/>
                <w:b w:val="0"/>
                <w:bCs/>
                <w:color w:val="auto"/>
                <w:sz w:val="24"/>
                <w:szCs w:val="24"/>
                <w:u w:val="none"/>
                <w:lang w:eastAsia="zh-CN"/>
              </w:rPr>
              <w:t>。</w:t>
            </w:r>
            <w:r>
              <w:rPr>
                <w:rFonts w:hint="default" w:ascii="Times New Roman" w:hAnsi="Times New Roman" w:cs="Times New Roman"/>
                <w:color w:val="auto"/>
                <w:sz w:val="24"/>
                <w:szCs w:val="24"/>
                <w:lang w:val="en-US" w:eastAsia="zh-CN"/>
              </w:rPr>
              <w:t>距本项目最近的敏感点为位于项目</w:t>
            </w:r>
            <w:r>
              <w:rPr>
                <w:rFonts w:hint="eastAsia" w:cs="Times New Roman"/>
                <w:color w:val="auto"/>
                <w:sz w:val="24"/>
                <w:szCs w:val="24"/>
                <w:lang w:val="en-US" w:eastAsia="zh-CN"/>
              </w:rPr>
              <w:t>西北</w:t>
            </w:r>
            <w:r>
              <w:rPr>
                <w:rFonts w:hint="default" w:ascii="Times New Roman" w:hAnsi="Times New Roman" w:cs="Times New Roman"/>
                <w:color w:val="auto"/>
                <w:sz w:val="24"/>
                <w:szCs w:val="24"/>
                <w:lang w:val="en-US" w:eastAsia="zh-CN"/>
              </w:rPr>
              <w:t>侧</w:t>
            </w:r>
            <w:r>
              <w:rPr>
                <w:rFonts w:hint="eastAsia" w:cs="Times New Roman"/>
                <w:color w:val="auto"/>
                <w:sz w:val="24"/>
                <w:szCs w:val="24"/>
                <w:lang w:val="en-US" w:eastAsia="zh-CN"/>
              </w:rPr>
              <w:t>29</w:t>
            </w:r>
            <w:r>
              <w:rPr>
                <w:rFonts w:hint="default" w:ascii="Times New Roman" w:hAnsi="Times New Roman" w:cs="Times New Roman"/>
                <w:color w:val="auto"/>
                <w:sz w:val="24"/>
                <w:szCs w:val="24"/>
                <w:lang w:val="en-US" w:eastAsia="zh-CN"/>
              </w:rPr>
              <w:t>0m的</w:t>
            </w:r>
            <w:r>
              <w:rPr>
                <w:rFonts w:hint="eastAsia" w:cs="Times New Roman"/>
                <w:color w:val="auto"/>
                <w:sz w:val="24"/>
                <w:szCs w:val="24"/>
                <w:lang w:val="en-US" w:eastAsia="zh-CN"/>
              </w:rPr>
              <w:t>井沟村</w:t>
            </w:r>
            <w:r>
              <w:rPr>
                <w:rFonts w:hint="default" w:ascii="Times New Roman" w:hAnsi="Times New Roman" w:cs="Times New Roman"/>
                <w:color w:val="auto"/>
                <w:sz w:val="24"/>
                <w:szCs w:val="24"/>
                <w:lang w:val="en-US" w:eastAsia="zh-CN"/>
              </w:rPr>
              <w:t>，</w:t>
            </w:r>
            <w:r>
              <w:rPr>
                <w:rFonts w:hint="default" w:ascii="Times New Roman" w:hAnsi="Times New Roman" w:cs="Times New Roman"/>
                <w:sz w:val="24"/>
                <w:szCs w:val="24"/>
                <w:lang w:val="en-US" w:eastAsia="zh-CN"/>
              </w:rPr>
              <w:t>根据平面布置图可知，项目产尘点位于厂</w:t>
            </w:r>
            <w:r>
              <w:rPr>
                <w:rFonts w:hint="eastAsia" w:cs="Times New Roman"/>
                <w:sz w:val="24"/>
                <w:szCs w:val="24"/>
                <w:lang w:val="en-US" w:eastAsia="zh-CN"/>
              </w:rPr>
              <w:t>房内</w:t>
            </w:r>
            <w:r>
              <w:rPr>
                <w:rFonts w:hint="default" w:ascii="Times New Roman" w:hAnsi="Times New Roman" w:cs="Times New Roman"/>
                <w:sz w:val="24"/>
                <w:szCs w:val="24"/>
                <w:lang w:val="en-US" w:eastAsia="zh-CN"/>
              </w:rPr>
              <w:t>东南部，本项目生产厂房全密闭，产尘点配备袋式除尘系统除尘。本项目针对生产过程中产生的废气采取应收尽收原则，生产过程中务必满足相关本次评价报告中相关的最新环保要求；因此</w:t>
            </w:r>
            <w:r>
              <w:rPr>
                <w:rFonts w:hint="default" w:ascii="Times New Roman" w:hAnsi="Times New Roman" w:cs="Times New Roman"/>
                <w:color w:val="auto"/>
                <w:sz w:val="24"/>
                <w:szCs w:val="24"/>
                <w:lang w:val="en-US" w:eastAsia="zh-CN"/>
              </w:rPr>
              <w:t>采</w:t>
            </w:r>
            <w:r>
              <w:rPr>
                <w:rFonts w:hint="default" w:ascii="Times New Roman" w:hAnsi="Times New Roman" w:cs="Times New Roman"/>
                <w:sz w:val="24"/>
                <w:szCs w:val="24"/>
                <w:lang w:val="en-US" w:eastAsia="zh-CN"/>
              </w:rPr>
              <w:t>取以上环保措施后，本项目最终排放至外环境的废气对周围敏感点的影响较小。本次评价参考相关同类行业以及环保工程相关经验可知，本项目运行过程中所采用处理工艺（袋式除尘）均为可行技术，可将产生的颗粒物处理至达标排放。综上所述，本项目的建设对周边环境影响不大。</w:t>
            </w:r>
          </w:p>
          <w:p>
            <w:pPr>
              <w:pStyle w:val="10"/>
              <w:keepNext w:val="0"/>
              <w:keepLines w:val="0"/>
              <w:pageBreakBefore w:val="0"/>
              <w:widowControl/>
              <w:numPr>
                <w:ilvl w:val="0"/>
                <w:numId w:val="5"/>
              </w:numPr>
              <w:kinsoku/>
              <w:wordWrap/>
              <w:overflowPunct/>
              <w:topLinePunct w:val="0"/>
              <w:autoSpaceDE/>
              <w:autoSpaceDN/>
              <w:bidi w:val="0"/>
              <w:adjustRightInd/>
              <w:snapToGrid w:val="0"/>
              <w:ind w:left="0" w:leftChars="0" w:right="0" w:rightChars="0" w:firstLine="482" w:firstLineChars="200"/>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有机废气（非甲烷总烃）控制措施</w:t>
            </w:r>
          </w:p>
          <w:p>
            <w:pPr>
              <w:pStyle w:val="10"/>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本项目针对生产过程中产生的有机废气（非甲烷总烃）采取环保措施为</w:t>
            </w:r>
            <w:r>
              <w:rPr>
                <w:rFonts w:hint="default" w:ascii="Times New Roman" w:hAnsi="Times New Roman" w:cs="Times New Roman"/>
                <w:lang w:val="en-US" w:eastAsia="zh-CN"/>
              </w:rPr>
              <w:t>集气设施+</w:t>
            </w:r>
            <w:r>
              <w:rPr>
                <w:rFonts w:hint="default" w:ascii="Times New Roman" w:hAnsi="Times New Roman" w:cs="Times New Roman"/>
                <w:b w:val="0"/>
                <w:bCs w:val="0"/>
                <w:snapToGrid w:val="0"/>
                <w:color w:val="auto"/>
                <w:kern w:val="0"/>
                <w:sz w:val="24"/>
                <w:szCs w:val="20"/>
                <w:u w:val="none"/>
              </w:rPr>
              <w:t>UV光催化氧</w:t>
            </w:r>
            <w:r>
              <w:rPr>
                <w:rFonts w:hint="eastAsia" w:cs="Times New Roman"/>
                <w:b w:val="0"/>
                <w:bCs w:val="0"/>
                <w:snapToGrid w:val="0"/>
                <w:color w:val="auto"/>
                <w:kern w:val="0"/>
                <w:sz w:val="24"/>
                <w:szCs w:val="20"/>
                <w:u w:val="none"/>
                <w:lang w:val="en-US" w:eastAsia="zh-CN"/>
              </w:rPr>
              <w:t>化</w:t>
            </w:r>
            <w:r>
              <w:rPr>
                <w:rFonts w:hint="eastAsia" w:cs="Times New Roman"/>
                <w:lang w:val="en-US" w:eastAsia="zh-CN"/>
              </w:rPr>
              <w:t>+</w:t>
            </w:r>
            <w:r>
              <w:rPr>
                <w:rFonts w:hint="default" w:ascii="Times New Roman" w:hAnsi="Times New Roman" w:eastAsia="宋体" w:cs="Times New Roman"/>
                <w:lang w:val="en-US" w:eastAsia="zh-CN"/>
              </w:rPr>
              <w:t>活性炭吸附，最终废气经</w:t>
            </w:r>
            <w:r>
              <w:rPr>
                <w:rFonts w:hint="eastAsia" w:cs="Times New Roman"/>
                <w:lang w:val="en-US" w:eastAsia="zh-CN"/>
              </w:rPr>
              <w:t>15m</w:t>
            </w:r>
            <w:r>
              <w:rPr>
                <w:rFonts w:hint="default" w:ascii="Times New Roman" w:hAnsi="Times New Roman" w:eastAsia="宋体" w:cs="Times New Roman"/>
                <w:lang w:val="en-US" w:eastAsia="zh-CN"/>
              </w:rPr>
              <w:t>排气筒</w:t>
            </w:r>
            <w:r>
              <w:rPr>
                <w:rFonts w:hint="eastAsia" w:cs="Times New Roman"/>
                <w:lang w:val="en-US" w:eastAsia="zh-CN"/>
              </w:rPr>
              <w:t>（DA002）</w:t>
            </w:r>
            <w:r>
              <w:rPr>
                <w:rFonts w:hint="default" w:ascii="Times New Roman" w:hAnsi="Times New Roman" w:eastAsia="宋体" w:cs="Times New Roman"/>
                <w:lang w:val="en-US" w:eastAsia="zh-CN"/>
              </w:rPr>
              <w:t>达标排放。</w:t>
            </w:r>
          </w:p>
          <w:p>
            <w:pPr>
              <w:keepNext w:val="0"/>
              <w:keepLines w:val="0"/>
              <w:pageBreakBefore w:val="0"/>
              <w:widowControl w:val="0"/>
              <w:bidi w:val="0"/>
              <w:spacing w:line="360" w:lineRule="auto"/>
              <w:ind w:firstLine="480" w:firstLineChars="200"/>
              <w:jc w:val="both"/>
              <w:rPr>
                <w:rFonts w:hint="default" w:ascii="Times New Roman" w:hAnsi="Times New Roman" w:cs="Times New Roman"/>
                <w:b w:val="0"/>
                <w:bCs w:val="0"/>
                <w:snapToGrid w:val="0"/>
                <w:color w:val="auto"/>
                <w:kern w:val="0"/>
                <w:sz w:val="24"/>
                <w:szCs w:val="20"/>
                <w:u w:val="none"/>
              </w:rPr>
            </w:pPr>
            <w:r>
              <w:rPr>
                <w:rFonts w:hint="default" w:ascii="Times New Roman" w:hAnsi="Times New Roman" w:cs="Times New Roman"/>
                <w:b w:val="0"/>
                <w:bCs w:val="0"/>
                <w:snapToGrid w:val="0"/>
                <w:color w:val="auto"/>
                <w:kern w:val="0"/>
                <w:sz w:val="24"/>
                <w:szCs w:val="20"/>
                <w:u w:val="none"/>
              </w:rPr>
              <w:t>项目有机废气采用“</w:t>
            </w:r>
            <w:r>
              <w:rPr>
                <w:rFonts w:hint="default" w:ascii="Times New Roman" w:hAnsi="Times New Roman" w:cs="Times New Roman"/>
                <w:b w:val="0"/>
                <w:bCs w:val="0"/>
                <w:snapToGrid w:val="0"/>
                <w:color w:val="auto"/>
                <w:kern w:val="0"/>
                <w:sz w:val="24"/>
                <w:szCs w:val="20"/>
                <w:u w:val="none"/>
                <w:lang w:val="en-US" w:eastAsia="zh-CN"/>
              </w:rPr>
              <w:t>UV光催化氧化+活性炭吸附</w:t>
            </w:r>
            <w:r>
              <w:rPr>
                <w:rFonts w:hint="default" w:ascii="Times New Roman" w:hAnsi="Times New Roman" w:cs="Times New Roman"/>
                <w:b w:val="0"/>
                <w:bCs w:val="0"/>
                <w:snapToGrid w:val="0"/>
                <w:color w:val="auto"/>
                <w:kern w:val="0"/>
                <w:sz w:val="24"/>
                <w:szCs w:val="20"/>
                <w:u w:val="none"/>
              </w:rPr>
              <w:t>”装置进行处理。UV光催化氧</w:t>
            </w:r>
            <w:r>
              <w:rPr>
                <w:rFonts w:hint="eastAsia" w:cs="Times New Roman"/>
                <w:b w:val="0"/>
                <w:bCs w:val="0"/>
                <w:snapToGrid w:val="0"/>
                <w:color w:val="auto"/>
                <w:kern w:val="0"/>
                <w:sz w:val="24"/>
                <w:szCs w:val="20"/>
                <w:u w:val="none"/>
                <w:lang w:val="en-US" w:eastAsia="zh-CN"/>
              </w:rPr>
              <w:t>化</w:t>
            </w:r>
            <w:r>
              <w:rPr>
                <w:rFonts w:hint="default" w:ascii="Times New Roman" w:hAnsi="Times New Roman" w:cs="Times New Roman"/>
                <w:b w:val="0"/>
                <w:bCs w:val="0"/>
                <w:snapToGrid w:val="0"/>
                <w:color w:val="auto"/>
                <w:kern w:val="0"/>
                <w:sz w:val="24"/>
                <w:szCs w:val="20"/>
                <w:u w:val="none"/>
              </w:rPr>
              <w:t>技术是利用特制的高能高臭氧UV紫外线光束照射废气，使有机或无机高分子恶臭化合物分子链在高能紫外线光束的照射下与臭氧进行反应生成低分子化合物，如二氧化碳、水等，彻底达到脱氧及灭菌目的。活性炭吸附装置可以弥补光氧催化对有机废气去除率不高的特点，未能有效去除的有机废气再经后道活性炭吸附装置吸附，且前道光氧催化可有效降低活性炭吸附装置处理压力，增加活性炭更换时间，降低企业生产成本。</w:t>
            </w:r>
          </w:p>
          <w:p>
            <w:pPr>
              <w:keepNext w:val="0"/>
              <w:keepLines w:val="0"/>
              <w:pageBreakBefore w:val="0"/>
              <w:widowControl w:val="0"/>
              <w:bidi w:val="0"/>
              <w:spacing w:line="360" w:lineRule="auto"/>
              <w:ind w:firstLine="480" w:firstLineChars="200"/>
              <w:jc w:val="both"/>
              <w:rPr>
                <w:rFonts w:hint="default" w:ascii="Times New Roman" w:hAnsi="Times New Roman" w:eastAsia="宋体" w:cs="Times New Roman"/>
                <w:b w:val="0"/>
                <w:bCs w:val="0"/>
                <w:snapToGrid w:val="0"/>
                <w:color w:val="auto"/>
                <w:kern w:val="0"/>
                <w:sz w:val="24"/>
                <w:szCs w:val="20"/>
                <w:u w:val="none"/>
              </w:rPr>
            </w:pPr>
            <w:r>
              <w:rPr>
                <w:rFonts w:hint="default" w:ascii="Times New Roman" w:hAnsi="Times New Roman" w:eastAsia="宋体" w:cs="Times New Roman"/>
                <w:b w:val="0"/>
                <w:bCs w:val="0"/>
                <w:snapToGrid w:val="0"/>
                <w:color w:val="auto"/>
                <w:kern w:val="0"/>
                <w:sz w:val="24"/>
                <w:szCs w:val="20"/>
                <w:u w:val="none"/>
              </w:rPr>
              <w:t>由于本项目产生的非甲烷总烃浓度较低，结合实际本工程采取活性炭吸附装置处理非甲烷总烃，符合《挥发性有机物（VOCs）污染防治技术政策》推荐的末端治理要求。项目活性炭吸附装置设施设计应请有资质的设计单位，依据《吸附法工业有机废气治理工程技术规范》（HJ2026-2013）中相关设计要求进行设计。</w:t>
            </w:r>
          </w:p>
          <w:p>
            <w:pPr>
              <w:keepNext w:val="0"/>
              <w:keepLines w:val="0"/>
              <w:pageBreakBefore w:val="0"/>
              <w:widowControl w:val="0"/>
              <w:bidi w:val="0"/>
              <w:spacing w:line="360" w:lineRule="auto"/>
              <w:ind w:firstLine="480" w:firstLineChars="200"/>
              <w:jc w:val="both"/>
              <w:rPr>
                <w:rFonts w:hint="default" w:ascii="Times New Roman" w:hAnsi="Times New Roman" w:eastAsia="宋体" w:cs="Times New Roman"/>
                <w:b w:val="0"/>
                <w:bCs w:val="0"/>
                <w:snapToGrid w:val="0"/>
                <w:color w:val="auto"/>
                <w:kern w:val="0"/>
                <w:sz w:val="24"/>
                <w:szCs w:val="20"/>
                <w:u w:val="none"/>
              </w:rPr>
            </w:pPr>
            <w:r>
              <w:rPr>
                <w:rFonts w:hint="default" w:ascii="Times New Roman" w:hAnsi="Times New Roman" w:eastAsia="宋体" w:cs="Times New Roman"/>
                <w:b w:val="0"/>
                <w:bCs w:val="0"/>
                <w:snapToGrid w:val="0"/>
                <w:color w:val="auto"/>
                <w:kern w:val="0"/>
                <w:sz w:val="24"/>
                <w:szCs w:val="20"/>
                <w:u w:val="none"/>
              </w:rPr>
              <w:t>根据《河南省生态环境厅办公室关于全面加强挥发性有机物污染治理的通知》（豫环办〔2022〕24号）、《河南省2021年工业企业大气污染物全面达标提升行动方案》等文件中要求“低浓度有机废气或恶臭气体采用低温等离子体技术、UV光催化氧化技术、活性炭吸附技术等两种或两种以上组合工艺，禁止使用单一吸附、催化氧化等处理技术”，本项目有机废气治理措施为“</w:t>
            </w:r>
            <w:r>
              <w:rPr>
                <w:rFonts w:hint="default" w:ascii="Times New Roman" w:hAnsi="Times New Roman" w:cs="Times New Roman"/>
                <w:b w:val="0"/>
                <w:bCs w:val="0"/>
                <w:snapToGrid w:val="0"/>
                <w:color w:val="auto"/>
                <w:kern w:val="0"/>
                <w:sz w:val="24"/>
                <w:szCs w:val="20"/>
                <w:u w:val="none"/>
              </w:rPr>
              <w:t>UV光催化氧</w:t>
            </w:r>
            <w:r>
              <w:rPr>
                <w:rFonts w:hint="eastAsia" w:cs="Times New Roman"/>
                <w:b w:val="0"/>
                <w:bCs w:val="0"/>
                <w:snapToGrid w:val="0"/>
                <w:color w:val="auto"/>
                <w:kern w:val="0"/>
                <w:sz w:val="24"/>
                <w:szCs w:val="20"/>
                <w:u w:val="none"/>
                <w:lang w:val="en-US" w:eastAsia="zh-CN"/>
              </w:rPr>
              <w:t>化</w:t>
            </w:r>
            <w:r>
              <w:rPr>
                <w:rFonts w:hint="default" w:ascii="Times New Roman" w:hAnsi="Times New Roman" w:eastAsia="宋体" w:cs="Times New Roman"/>
                <w:b w:val="0"/>
                <w:bCs w:val="0"/>
                <w:snapToGrid w:val="0"/>
                <w:color w:val="auto"/>
                <w:kern w:val="0"/>
                <w:sz w:val="24"/>
                <w:szCs w:val="20"/>
                <w:u w:val="none"/>
              </w:rPr>
              <w:t>+活性炭吸附”，治理措施可行。</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none"/>
                <w:lang w:val="en-US" w:eastAsia="zh-CN"/>
              </w:rPr>
            </w:pPr>
            <w:r>
              <w:rPr>
                <w:rFonts w:hint="default" w:ascii="Times New Roman" w:hAnsi="Times New Roman" w:eastAsia="宋体" w:cs="Times New Roman"/>
                <w:b/>
                <w:bCs w:val="0"/>
                <w:sz w:val="24"/>
                <w:szCs w:val="24"/>
                <w:u w:val="none"/>
                <w:lang w:val="en-US" w:eastAsia="zh-CN"/>
              </w:rPr>
              <w:t>本项目废气污染物产排情况</w:t>
            </w:r>
          </w:p>
          <w:p>
            <w:pPr>
              <w:widowControl/>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本项目污染物产排情况见下表</w:t>
            </w:r>
          </w:p>
          <w:p>
            <w:pPr>
              <w:pStyle w:val="10"/>
              <w:widowControl w:val="0"/>
              <w:spacing w:line="240" w:lineRule="auto"/>
              <w:ind w:firstLine="0" w:firstLineChars="0"/>
              <w:jc w:val="center"/>
              <w:rPr>
                <w:rFonts w:hint="default" w:ascii="Times New Roman" w:hAnsi="Times New Roman" w:cs="Times New Roman"/>
                <w:b/>
                <w:bCs/>
              </w:rPr>
            </w:pPr>
            <w:r>
              <w:rPr>
                <w:rFonts w:hint="default" w:ascii="Times New Roman" w:hAnsi="Times New Roman" w:cs="Times New Roman"/>
                <w:b/>
                <w:bCs/>
              </w:rPr>
              <w:t>表4-</w:t>
            </w:r>
            <w:r>
              <w:rPr>
                <w:rFonts w:hint="eastAsia" w:cs="Times New Roman"/>
                <w:b/>
                <w:bCs/>
                <w:lang w:val="en-US" w:eastAsia="zh-CN"/>
              </w:rPr>
              <w:t>2</w:t>
            </w:r>
            <w:r>
              <w:rPr>
                <w:rFonts w:hint="default" w:ascii="Times New Roman" w:hAnsi="Times New Roman" w:cs="Times New Roman"/>
                <w:b/>
                <w:bCs/>
                <w:lang w:val="en-US" w:eastAsia="zh-CN"/>
              </w:rPr>
              <w:t xml:space="preserve">  </w:t>
            </w:r>
            <w:r>
              <w:rPr>
                <w:rFonts w:hint="default" w:ascii="Times New Roman" w:hAnsi="Times New Roman" w:cs="Times New Roman"/>
                <w:b/>
                <w:bCs/>
              </w:rPr>
              <w:t>本项目废气污染物产排情况</w:t>
            </w:r>
          </w:p>
          <w:tbl>
            <w:tblPr>
              <w:tblStyle w:val="24"/>
              <w:tblW w:w="4985"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19"/>
              <w:gridCol w:w="675"/>
              <w:gridCol w:w="2068"/>
              <w:gridCol w:w="885"/>
              <w:gridCol w:w="795"/>
              <w:gridCol w:w="1050"/>
              <w:gridCol w:w="857"/>
              <w:gridCol w:w="1003"/>
              <w:gridCol w:w="87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1"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污染源</w:t>
                  </w:r>
                </w:p>
              </w:tc>
              <w:tc>
                <w:tcPr>
                  <w:tcW w:w="3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污染物</w:t>
                  </w:r>
                </w:p>
              </w:tc>
              <w:tc>
                <w:tcPr>
                  <w:tcW w:w="10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治理设施</w:t>
                  </w:r>
                </w:p>
              </w:tc>
              <w:tc>
                <w:tcPr>
                  <w:tcW w:w="144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排放</w:t>
                  </w:r>
                </w:p>
              </w:tc>
              <w:tc>
                <w:tcPr>
                  <w:tcW w:w="45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排放方式</w:t>
                  </w:r>
                </w:p>
              </w:tc>
              <w:tc>
                <w:tcPr>
                  <w:tcW w:w="990"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合计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1"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4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mg/m</w:t>
                  </w:r>
                  <w:r>
                    <w:rPr>
                      <w:rFonts w:hint="default" w:ascii="Times New Roman" w:hAnsi="Times New Roman" w:cs="Times New Roman"/>
                      <w:vertAlign w:val="superscript"/>
                    </w:rPr>
                    <w:t>3</w:t>
                  </w:r>
                </w:p>
              </w:tc>
              <w:tc>
                <w:tcPr>
                  <w:tcW w:w="4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kg/h</w:t>
                  </w:r>
                </w:p>
              </w:tc>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t/a</w:t>
                  </w:r>
                </w:p>
              </w:tc>
              <w:tc>
                <w:tcPr>
                  <w:tcW w:w="4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99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游乐设备加工生产线</w:t>
                  </w:r>
                </w:p>
              </w:tc>
              <w:tc>
                <w:tcPr>
                  <w:tcW w:w="4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切割废气</w:t>
                  </w:r>
                </w:p>
              </w:tc>
              <w:tc>
                <w:tcPr>
                  <w:tcW w:w="3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w:t>颗粒物</w:t>
                  </w:r>
                </w:p>
              </w:tc>
              <w:tc>
                <w:tcPr>
                  <w:tcW w:w="10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b w:val="0"/>
                      <w:bCs/>
                      <w:szCs w:val="21"/>
                      <w:u w:val="none"/>
                      <w:lang w:val="en-US" w:eastAsia="zh-CN"/>
                    </w:rPr>
                    <w:t>全密闭</w:t>
                  </w:r>
                  <w:r>
                    <w:rPr>
                      <w:rFonts w:hint="default" w:ascii="Times New Roman" w:hAnsi="Times New Roman" w:cs="Times New Roman"/>
                      <w:b w:val="0"/>
                      <w:bCs/>
                      <w:szCs w:val="21"/>
                      <w:u w:val="none"/>
                    </w:rPr>
                    <w:t>集气设施+袋式除尘器处理后，最终经1根</w:t>
                  </w:r>
                  <w:r>
                    <w:rPr>
                      <w:rFonts w:hint="eastAsia" w:cs="Times New Roman"/>
                      <w:b w:val="0"/>
                      <w:bCs/>
                      <w:szCs w:val="21"/>
                      <w:u w:val="none"/>
                      <w:lang w:val="en-US" w:eastAsia="zh-CN"/>
                    </w:rPr>
                    <w:t>15</w:t>
                  </w:r>
                  <w:r>
                    <w:rPr>
                      <w:rFonts w:hint="default" w:ascii="Times New Roman" w:hAnsi="Times New Roman" w:cs="Times New Roman"/>
                      <w:b w:val="0"/>
                      <w:bCs/>
                      <w:szCs w:val="21"/>
                      <w:u w:val="none"/>
                      <w:lang w:eastAsia="zh-CN"/>
                    </w:rPr>
                    <w:t>m</w:t>
                  </w:r>
                  <w:r>
                    <w:rPr>
                      <w:rFonts w:hint="default" w:ascii="Times New Roman" w:hAnsi="Times New Roman" w:cs="Times New Roman"/>
                      <w:b w:val="0"/>
                      <w:bCs/>
                      <w:szCs w:val="21"/>
                      <w:u w:val="none"/>
                    </w:rPr>
                    <w:t>排气筒P</w:t>
                  </w:r>
                  <w:r>
                    <w:rPr>
                      <w:rFonts w:hint="eastAsia" w:cs="Times New Roman"/>
                      <w:b w:val="0"/>
                      <w:bCs/>
                      <w:szCs w:val="21"/>
                      <w:u w:val="none"/>
                      <w:lang w:val="en-US" w:eastAsia="zh-CN"/>
                    </w:rPr>
                    <w:t>1</w:t>
                  </w:r>
                  <w:r>
                    <w:rPr>
                      <w:rFonts w:hint="default" w:ascii="Times New Roman" w:hAnsi="Times New Roman" w:cs="Times New Roman"/>
                      <w:lang w:val="en-US" w:eastAsia="zh-CN"/>
                    </w:rPr>
                    <w:t>（DA00</w:t>
                  </w:r>
                  <w:r>
                    <w:rPr>
                      <w:rFonts w:hint="eastAsia" w:cs="Times New Roman"/>
                      <w:lang w:val="en-US" w:eastAsia="zh-CN"/>
                    </w:rPr>
                    <w:t>1</w:t>
                  </w:r>
                  <w:r>
                    <w:rPr>
                      <w:rFonts w:hint="default" w:ascii="Times New Roman" w:hAnsi="Times New Roman" w:cs="Times New Roman"/>
                      <w:lang w:val="en-US" w:eastAsia="zh-CN"/>
                    </w:rPr>
                    <w:t>）</w:t>
                  </w:r>
                  <w:r>
                    <w:rPr>
                      <w:rFonts w:hint="default" w:ascii="Times New Roman" w:hAnsi="Times New Roman" w:cs="Times New Roman"/>
                      <w:b w:val="0"/>
                      <w:bCs/>
                      <w:szCs w:val="21"/>
                      <w:u w:val="none"/>
                    </w:rPr>
                    <w:t>高空排放</w:t>
                  </w:r>
                </w:p>
              </w:tc>
              <w:tc>
                <w:tcPr>
                  <w:tcW w:w="46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0.16</w:t>
                  </w:r>
                </w:p>
              </w:tc>
              <w:tc>
                <w:tcPr>
                  <w:tcW w:w="420"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0.0024</w:t>
                  </w:r>
                </w:p>
              </w:tc>
              <w:tc>
                <w:tcPr>
                  <w:tcW w:w="555"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0.00576</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有组织</w:t>
                  </w:r>
                </w:p>
              </w:tc>
              <w:tc>
                <w:tcPr>
                  <w:tcW w:w="9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lang w:val="en-US" w:eastAsia="zh-CN"/>
                    </w:rPr>
                  </w:pPr>
                  <w:r>
                    <w:rPr>
                      <w:rFonts w:hint="eastAsia" w:cs="Times New Roman"/>
                      <w:lang w:val="en-US" w:eastAsia="zh-CN"/>
                    </w:rPr>
                    <w:t>排气筒P1（DA001）颗粒物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10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w:t>
                  </w:r>
                </w:p>
              </w:tc>
              <w:tc>
                <w:tcPr>
                  <w:tcW w:w="4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w:t>
                  </w:r>
                </w:p>
              </w:tc>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0.064</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sz w:val="21"/>
                      <w:szCs w:val="21"/>
                      <w:u w:val="none"/>
                      <w:lang w:val="en-US" w:eastAsia="zh-CN"/>
                    </w:rPr>
                  </w:pPr>
                  <w:r>
                    <w:rPr>
                      <w:rFonts w:hint="default" w:ascii="Times New Roman" w:hAnsi="Times New Roman" w:cs="Times New Roman"/>
                      <w:lang w:val="en-US" w:eastAsia="zh-CN"/>
                    </w:rPr>
                    <w:t>无组织</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有组织</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无组织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4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ascii="Times New Roman" w:hAnsi="Times New Roman" w:eastAsia="宋体" w:cs="Times New Roman"/>
                      <w:kern w:val="2"/>
                      <w:sz w:val="21"/>
                      <w:szCs w:val="24"/>
                      <w:lang w:val="en-US" w:eastAsia="zh-CN" w:bidi="ar-SA"/>
                    </w:rPr>
                    <w:t>焊接抛光废气</w:t>
                  </w:r>
                </w:p>
              </w:tc>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10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b w:val="0"/>
                      <w:bCs/>
                      <w:szCs w:val="21"/>
                      <w:u w:val="none"/>
                      <w:lang w:val="en-US" w:eastAsia="zh-CN"/>
                    </w:rPr>
                    <w:t>全密闭</w:t>
                  </w:r>
                  <w:r>
                    <w:rPr>
                      <w:rFonts w:hint="default" w:ascii="Times New Roman" w:hAnsi="Times New Roman" w:cs="Times New Roman"/>
                      <w:b w:val="0"/>
                      <w:bCs/>
                      <w:szCs w:val="21"/>
                      <w:u w:val="none"/>
                    </w:rPr>
                    <w:t>集气设施+袋式除尘器处理后，最终经1根</w:t>
                  </w:r>
                  <w:r>
                    <w:rPr>
                      <w:rFonts w:hint="eastAsia" w:cs="Times New Roman"/>
                      <w:b w:val="0"/>
                      <w:bCs/>
                      <w:szCs w:val="21"/>
                      <w:u w:val="none"/>
                      <w:lang w:val="en-US" w:eastAsia="zh-CN"/>
                    </w:rPr>
                    <w:t>15</w:t>
                  </w:r>
                  <w:r>
                    <w:rPr>
                      <w:rFonts w:hint="default" w:ascii="Times New Roman" w:hAnsi="Times New Roman" w:cs="Times New Roman"/>
                      <w:b w:val="0"/>
                      <w:bCs/>
                      <w:szCs w:val="21"/>
                      <w:u w:val="none"/>
                      <w:lang w:eastAsia="zh-CN"/>
                    </w:rPr>
                    <w:t>m</w:t>
                  </w:r>
                  <w:r>
                    <w:rPr>
                      <w:rFonts w:hint="default" w:ascii="Times New Roman" w:hAnsi="Times New Roman" w:cs="Times New Roman"/>
                      <w:b w:val="0"/>
                      <w:bCs/>
                      <w:szCs w:val="21"/>
                      <w:u w:val="none"/>
                    </w:rPr>
                    <w:t>排气筒P</w:t>
                  </w:r>
                  <w:r>
                    <w:rPr>
                      <w:rFonts w:hint="eastAsia" w:ascii="Times New Roman" w:hAnsi="Times New Roman" w:cs="Times New Roman"/>
                      <w:b w:val="0"/>
                      <w:bCs/>
                      <w:szCs w:val="21"/>
                      <w:u w:val="none"/>
                      <w:lang w:val="en-US" w:eastAsia="zh-CN"/>
                    </w:rPr>
                    <w:t>1</w:t>
                  </w:r>
                  <w:r>
                    <w:rPr>
                      <w:rFonts w:hint="default" w:ascii="Times New Roman" w:hAnsi="Times New Roman" w:cs="Times New Roman"/>
                      <w:lang w:val="en-US" w:eastAsia="zh-CN"/>
                    </w:rPr>
                    <w:t>（DA00</w:t>
                  </w:r>
                  <w:r>
                    <w:rPr>
                      <w:rFonts w:hint="eastAsia" w:cs="Times New Roman"/>
                      <w:lang w:val="en-US" w:eastAsia="zh-CN"/>
                    </w:rPr>
                    <w:t>1</w:t>
                  </w:r>
                  <w:r>
                    <w:rPr>
                      <w:rFonts w:hint="default" w:ascii="Times New Roman" w:hAnsi="Times New Roman" w:cs="Times New Roman"/>
                      <w:lang w:val="en-US" w:eastAsia="zh-CN"/>
                    </w:rPr>
                    <w:t>）</w:t>
                  </w:r>
                  <w:r>
                    <w:rPr>
                      <w:rFonts w:hint="default" w:ascii="Times New Roman" w:hAnsi="Times New Roman" w:cs="Times New Roman"/>
                      <w:b w:val="0"/>
                      <w:bCs/>
                      <w:szCs w:val="21"/>
                      <w:u w:val="none"/>
                    </w:rPr>
                    <w:t>高空排放</w:t>
                  </w:r>
                </w:p>
              </w:tc>
              <w:tc>
                <w:tcPr>
                  <w:tcW w:w="468" w:type="pct"/>
                  <w:tcBorders>
                    <w:tl2br w:val="nil"/>
                    <w:tr2bl w:val="nil"/>
                  </w:tcBorders>
                  <w:noWrap w:val="0"/>
                  <w:vAlign w:val="center"/>
                </w:tcPr>
                <w:p>
                  <w:pPr>
                    <w:adjustRightInd w:val="0"/>
                    <w:spacing w:line="360" w:lineRule="exact"/>
                    <w:jc w:val="center"/>
                    <w:rPr>
                      <w:rFonts w:hint="default" w:ascii="Times New Roman" w:hAnsi="Times New Roman" w:cs="Times New Roman"/>
                      <w:lang w:val="en-US" w:eastAsia="zh-CN"/>
                    </w:rPr>
                  </w:pPr>
                  <w:r>
                    <w:rPr>
                      <w:rFonts w:hint="eastAsia" w:cs="Times New Roman"/>
                      <w:lang w:val="en-US" w:eastAsia="zh-CN"/>
                    </w:rPr>
                    <w:t>0.153</w:t>
                  </w:r>
                </w:p>
              </w:tc>
              <w:tc>
                <w:tcPr>
                  <w:tcW w:w="420" w:type="pct"/>
                  <w:tcBorders>
                    <w:tl2br w:val="nil"/>
                    <w:tr2bl w:val="nil"/>
                  </w:tcBorders>
                  <w:noWrap w:val="0"/>
                  <w:vAlign w:val="center"/>
                </w:tcPr>
                <w:p>
                  <w:pPr>
                    <w:adjustRightInd w:val="0"/>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0.0023</w:t>
                  </w:r>
                </w:p>
              </w:tc>
              <w:tc>
                <w:tcPr>
                  <w:tcW w:w="555" w:type="pct"/>
                  <w:tcBorders>
                    <w:tl2br w:val="nil"/>
                    <w:tr2bl w:val="nil"/>
                  </w:tcBorders>
                  <w:noWrap w:val="0"/>
                  <w:vAlign w:val="center"/>
                </w:tcPr>
                <w:p>
                  <w:pPr>
                    <w:adjustRightInd w:val="0"/>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0.00563</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有组织</w:t>
                  </w:r>
                </w:p>
              </w:tc>
              <w:tc>
                <w:tcPr>
                  <w:tcW w:w="53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lang w:val="en-US" w:eastAsia="zh-CN"/>
                    </w:rPr>
                  </w:pPr>
                  <w:r>
                    <w:rPr>
                      <w:rFonts w:hint="eastAsia" w:cs="Times New Roman"/>
                      <w:lang w:val="en-US" w:eastAsia="zh-CN"/>
                    </w:rPr>
                    <w:t>排放量：0.0115876t/a；排放速率：0.0047823kg/h；排放浓度：0.31849</w:t>
                  </w:r>
                  <w:r>
                    <w:rPr>
                      <w:rFonts w:hint="default" w:ascii="Times New Roman" w:hAnsi="Times New Roman" w:cs="Times New Roman"/>
                    </w:rPr>
                    <w:t>mg/m</w:t>
                  </w:r>
                  <w:r>
                    <w:rPr>
                      <w:rFonts w:hint="default" w:ascii="Times New Roman" w:hAnsi="Times New Roman" w:cs="Times New Roman"/>
                      <w:vertAlign w:val="superscript"/>
                    </w:rPr>
                    <w:t>3</w:t>
                  </w:r>
                </w:p>
              </w:tc>
              <w:tc>
                <w:tcPr>
                  <w:tcW w:w="4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lang w:val="en-US" w:eastAsia="zh-CN"/>
                    </w:rPr>
                  </w:pPr>
                  <w:r>
                    <w:rPr>
                      <w:rFonts w:hint="eastAsia" w:cs="Times New Roman"/>
                      <w:lang w:val="en-US" w:eastAsia="zh-CN"/>
                    </w:rPr>
                    <w:t>排放量：0.1369t/a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10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68"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cs="Times New Roman"/>
                      <w:kern w:val="2"/>
                      <w:sz w:val="21"/>
                      <w:szCs w:val="24"/>
                      <w:lang w:val="en-US" w:eastAsia="zh-CN" w:bidi="ar-SA"/>
                    </w:rPr>
                    <w:t>/</w:t>
                  </w:r>
                </w:p>
              </w:tc>
              <w:tc>
                <w:tcPr>
                  <w:tcW w:w="420"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cs="Times New Roman"/>
                      <w:kern w:val="2"/>
                      <w:sz w:val="21"/>
                      <w:szCs w:val="24"/>
                      <w:lang w:val="en-US" w:eastAsia="zh-CN" w:bidi="ar-SA"/>
                    </w:rPr>
                    <w:t>/</w:t>
                  </w:r>
                </w:p>
              </w:tc>
              <w:tc>
                <w:tcPr>
                  <w:tcW w:w="555"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cs="Times New Roman"/>
                      <w:kern w:val="2"/>
                      <w:sz w:val="21"/>
                      <w:szCs w:val="24"/>
                      <w:lang w:val="en-US" w:eastAsia="zh-CN" w:bidi="ar-SA"/>
                    </w:rPr>
                    <w:t>0.0625</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无组织</w:t>
                  </w:r>
                </w:p>
              </w:tc>
              <w:tc>
                <w:tcPr>
                  <w:tcW w:w="5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4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ascii="Times New Roman" w:hAnsi="Times New Roman" w:eastAsia="宋体" w:cs="Times New Roman"/>
                      <w:kern w:val="2"/>
                      <w:sz w:val="21"/>
                      <w:szCs w:val="24"/>
                      <w:lang w:val="en-US" w:eastAsia="zh-CN" w:bidi="ar-SA"/>
                    </w:rPr>
                    <w:t>喷塑废气</w:t>
                  </w:r>
                </w:p>
              </w:tc>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10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b w:val="0"/>
                      <w:bCs/>
                      <w:szCs w:val="21"/>
                      <w:u w:val="none"/>
                      <w:lang w:val="en-US" w:eastAsia="zh-CN"/>
                    </w:rPr>
                    <w:t>全密闭</w:t>
                  </w:r>
                  <w:r>
                    <w:rPr>
                      <w:rFonts w:hint="default" w:ascii="Times New Roman" w:hAnsi="Times New Roman" w:cs="Times New Roman"/>
                      <w:b w:val="0"/>
                      <w:bCs/>
                      <w:szCs w:val="21"/>
                      <w:u w:val="none"/>
                    </w:rPr>
                    <w:t>集气设施+袋式除尘器处理后，最终经1根</w:t>
                  </w:r>
                  <w:r>
                    <w:rPr>
                      <w:rFonts w:hint="eastAsia" w:cs="Times New Roman"/>
                      <w:b w:val="0"/>
                      <w:bCs/>
                      <w:szCs w:val="21"/>
                      <w:u w:val="none"/>
                      <w:lang w:val="en-US" w:eastAsia="zh-CN"/>
                    </w:rPr>
                    <w:t>15</w:t>
                  </w:r>
                  <w:r>
                    <w:rPr>
                      <w:rFonts w:hint="default" w:ascii="Times New Roman" w:hAnsi="Times New Roman" w:cs="Times New Roman"/>
                      <w:b w:val="0"/>
                      <w:bCs/>
                      <w:szCs w:val="21"/>
                      <w:u w:val="none"/>
                      <w:lang w:eastAsia="zh-CN"/>
                    </w:rPr>
                    <w:t>m</w:t>
                  </w:r>
                  <w:r>
                    <w:rPr>
                      <w:rFonts w:hint="default" w:ascii="Times New Roman" w:hAnsi="Times New Roman" w:cs="Times New Roman"/>
                      <w:b w:val="0"/>
                      <w:bCs/>
                      <w:szCs w:val="21"/>
                      <w:u w:val="none"/>
                    </w:rPr>
                    <w:t>排气筒P</w:t>
                  </w:r>
                  <w:r>
                    <w:rPr>
                      <w:rFonts w:hint="eastAsia" w:ascii="Times New Roman" w:hAnsi="Times New Roman" w:cs="Times New Roman"/>
                      <w:b w:val="0"/>
                      <w:bCs/>
                      <w:szCs w:val="21"/>
                      <w:u w:val="none"/>
                      <w:lang w:val="en-US" w:eastAsia="zh-CN"/>
                    </w:rPr>
                    <w:t>1</w:t>
                  </w:r>
                  <w:r>
                    <w:rPr>
                      <w:rFonts w:hint="default" w:ascii="Times New Roman" w:hAnsi="Times New Roman" w:cs="Times New Roman"/>
                      <w:lang w:val="en-US" w:eastAsia="zh-CN"/>
                    </w:rPr>
                    <w:t>（DA00</w:t>
                  </w:r>
                  <w:r>
                    <w:rPr>
                      <w:rFonts w:hint="eastAsia" w:cs="Times New Roman"/>
                      <w:lang w:val="en-US" w:eastAsia="zh-CN"/>
                    </w:rPr>
                    <w:t>1</w:t>
                  </w:r>
                  <w:r>
                    <w:rPr>
                      <w:rFonts w:hint="default" w:ascii="Times New Roman" w:hAnsi="Times New Roman" w:cs="Times New Roman"/>
                      <w:lang w:val="en-US" w:eastAsia="zh-CN"/>
                    </w:rPr>
                    <w:t>）</w:t>
                  </w:r>
                  <w:r>
                    <w:rPr>
                      <w:rFonts w:hint="default" w:ascii="Times New Roman" w:hAnsi="Times New Roman" w:cs="Times New Roman"/>
                      <w:b w:val="0"/>
                      <w:bCs/>
                      <w:szCs w:val="21"/>
                      <w:u w:val="none"/>
                    </w:rPr>
                    <w:t>高空排放</w:t>
                  </w:r>
                </w:p>
              </w:tc>
              <w:tc>
                <w:tcPr>
                  <w:tcW w:w="46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5.49</w:t>
                  </w:r>
                  <w:r>
                    <w:rPr>
                      <w:rFonts w:hint="default" w:ascii="Arial" w:hAnsi="Arial" w:cs="Arial"/>
                      <w:b w:val="0"/>
                      <w:bCs/>
                      <w:sz w:val="21"/>
                      <w:szCs w:val="21"/>
                      <w:u w:val="none"/>
                      <w:lang w:val="en-US" w:eastAsia="zh-CN"/>
                    </w:rPr>
                    <w:t>×</w:t>
                  </w:r>
                  <w:r>
                    <w:rPr>
                      <w:rFonts w:hint="eastAsia" w:cs="Times New Roman"/>
                      <w:b w:val="0"/>
                      <w:bCs/>
                      <w:sz w:val="21"/>
                      <w:szCs w:val="21"/>
                      <w:u w:val="none"/>
                      <w:lang w:val="en-US" w:eastAsia="zh-CN"/>
                    </w:rPr>
                    <w:t>10</w:t>
                  </w:r>
                  <w:r>
                    <w:rPr>
                      <w:rFonts w:hint="eastAsia" w:cs="Times New Roman"/>
                      <w:b w:val="0"/>
                      <w:bCs/>
                      <w:sz w:val="21"/>
                      <w:szCs w:val="21"/>
                      <w:u w:val="none"/>
                      <w:vertAlign w:val="superscript"/>
                      <w:lang w:val="en-US" w:eastAsia="zh-CN"/>
                    </w:rPr>
                    <w:t>-3</w:t>
                  </w:r>
                </w:p>
              </w:tc>
              <w:tc>
                <w:tcPr>
                  <w:tcW w:w="420"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eastAsia" w:cs="Times New Roman"/>
                      <w:b w:val="0"/>
                      <w:bCs/>
                      <w:szCs w:val="21"/>
                      <w:u w:val="none"/>
                      <w:lang w:val="en-US" w:eastAsia="zh-CN"/>
                    </w:rPr>
                    <w:t>8.23</w:t>
                  </w:r>
                  <w:r>
                    <w:rPr>
                      <w:rFonts w:hint="default" w:ascii="Arial" w:hAnsi="Arial" w:cs="Arial"/>
                      <w:b w:val="0"/>
                      <w:bCs/>
                      <w:szCs w:val="21"/>
                      <w:u w:val="none"/>
                      <w:lang w:val="en-US" w:eastAsia="zh-CN"/>
                    </w:rPr>
                    <w:t>×</w:t>
                  </w:r>
                  <w:r>
                    <w:rPr>
                      <w:rFonts w:hint="eastAsia" w:cs="Times New Roman"/>
                      <w:b w:val="0"/>
                      <w:bCs/>
                      <w:szCs w:val="21"/>
                      <w:u w:val="none"/>
                      <w:lang w:val="en-US" w:eastAsia="zh-CN"/>
                    </w:rPr>
                    <w:t>10</w:t>
                  </w:r>
                  <w:r>
                    <w:rPr>
                      <w:rFonts w:hint="eastAsia" w:cs="Times New Roman"/>
                      <w:b w:val="0"/>
                      <w:bCs/>
                      <w:szCs w:val="21"/>
                      <w:u w:val="none"/>
                      <w:vertAlign w:val="superscript"/>
                      <w:lang w:val="en-US" w:eastAsia="zh-CN"/>
                    </w:rPr>
                    <w:t>-5</w:t>
                  </w:r>
                </w:p>
              </w:tc>
              <w:tc>
                <w:tcPr>
                  <w:tcW w:w="555"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0.0001976</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lang w:val="en-US" w:eastAsia="zh-CN"/>
                    </w:rPr>
                    <w:t>有组织</w:t>
                  </w:r>
                </w:p>
              </w:tc>
              <w:tc>
                <w:tcPr>
                  <w:tcW w:w="5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10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w:t>
                  </w:r>
                </w:p>
              </w:tc>
              <w:tc>
                <w:tcPr>
                  <w:tcW w:w="4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w:t>
                  </w:r>
                </w:p>
              </w:tc>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0.0104</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无组织</w:t>
                  </w:r>
                </w:p>
              </w:tc>
              <w:tc>
                <w:tcPr>
                  <w:tcW w:w="5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p>
              </w:tc>
              <w:tc>
                <w:tcPr>
                  <w:tcW w:w="4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烘烤废气（有机废气）</w:t>
                  </w:r>
                </w:p>
              </w:tc>
              <w:tc>
                <w:tcPr>
                  <w:tcW w:w="3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kern w:val="2"/>
                      <w:sz w:val="21"/>
                      <w:szCs w:val="24"/>
                      <w:lang w:val="en-US" w:eastAsia="zh-CN" w:bidi="ar-SA"/>
                    </w:rPr>
                    <w:t>非甲烷总烃</w:t>
                  </w:r>
                </w:p>
              </w:tc>
              <w:tc>
                <w:tcPr>
                  <w:tcW w:w="10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烘烤废气（有机废气）经UV光催化氧化+活性炭吸附系统处理后，最终经排气筒P2（DA002）达标排放</w:t>
                  </w:r>
                </w:p>
              </w:tc>
              <w:tc>
                <w:tcPr>
                  <w:tcW w:w="468"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color w:val="auto"/>
                      <w:kern w:val="2"/>
                      <w:sz w:val="21"/>
                      <w:szCs w:val="21"/>
                      <w:u w:val="none"/>
                      <w:lang w:val="en-US" w:eastAsia="zh-CN" w:bidi="ar-SA"/>
                    </w:rPr>
                  </w:pPr>
                  <w:r>
                    <w:rPr>
                      <w:rFonts w:hint="eastAsia" w:cs="Times New Roman"/>
                      <w:b w:val="0"/>
                      <w:bCs/>
                      <w:color w:val="auto"/>
                      <w:kern w:val="2"/>
                      <w:sz w:val="21"/>
                      <w:szCs w:val="21"/>
                      <w:u w:val="none"/>
                      <w:lang w:val="en-US" w:eastAsia="zh-CN" w:bidi="ar-SA"/>
                    </w:rPr>
                    <w:t>0.32</w:t>
                  </w:r>
                </w:p>
              </w:tc>
              <w:tc>
                <w:tcPr>
                  <w:tcW w:w="420"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kern w:val="2"/>
                      <w:sz w:val="21"/>
                      <w:szCs w:val="21"/>
                      <w:u w:val="none"/>
                      <w:lang w:val="en-US" w:eastAsia="zh-CN" w:bidi="ar-SA"/>
                    </w:rPr>
                    <w:t>0.00285</w:t>
                  </w:r>
                </w:p>
              </w:tc>
              <w:tc>
                <w:tcPr>
                  <w:tcW w:w="555"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kern w:val="2"/>
                      <w:sz w:val="21"/>
                      <w:szCs w:val="21"/>
                      <w:u w:val="none"/>
                      <w:lang w:val="en-US" w:eastAsia="zh-CN" w:bidi="ar-SA"/>
                    </w:rPr>
                    <w:t>0.00684</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lang w:val="en-US" w:eastAsia="zh-CN"/>
                    </w:rPr>
                    <w:t>有组织</w:t>
                  </w:r>
                </w:p>
              </w:tc>
              <w:tc>
                <w:tcPr>
                  <w:tcW w:w="990"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lang w:val="en-US" w:eastAsia="zh-CN"/>
                    </w:rPr>
                  </w:pPr>
                  <w:r>
                    <w:rPr>
                      <w:rFonts w:hint="eastAsia" w:cs="Times New Roman"/>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p>
              </w:tc>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68"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kern w:val="2"/>
                      <w:sz w:val="21"/>
                      <w:szCs w:val="21"/>
                      <w:u w:val="none"/>
                      <w:lang w:val="en-US" w:eastAsia="zh-CN" w:bidi="ar-SA"/>
                    </w:rPr>
                    <w:t>/</w:t>
                  </w:r>
                </w:p>
              </w:tc>
              <w:tc>
                <w:tcPr>
                  <w:tcW w:w="420"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kern w:val="2"/>
                      <w:sz w:val="21"/>
                      <w:szCs w:val="21"/>
                      <w:u w:val="none"/>
                      <w:lang w:val="en-US" w:eastAsia="zh-CN" w:bidi="ar-SA"/>
                    </w:rPr>
                    <w:t>/</w:t>
                  </w:r>
                </w:p>
              </w:tc>
              <w:tc>
                <w:tcPr>
                  <w:tcW w:w="555"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kern w:val="2"/>
                      <w:sz w:val="21"/>
                      <w:szCs w:val="21"/>
                      <w:u w:val="none"/>
                      <w:lang w:val="en-US" w:eastAsia="zh-CN" w:bidi="ar-SA"/>
                    </w:rPr>
                    <w:t>0.0024</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无组织</w:t>
                  </w:r>
                </w:p>
              </w:tc>
              <w:tc>
                <w:tcPr>
                  <w:tcW w:w="99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2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4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烘烤燃烧废气</w:t>
                  </w:r>
                </w:p>
              </w:tc>
              <w:tc>
                <w:tcPr>
                  <w:tcW w:w="3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SO</w:t>
                  </w:r>
                  <w:r>
                    <w:rPr>
                      <w:rFonts w:hint="eastAsia" w:cs="Times New Roman"/>
                      <w:vertAlign w:val="subscript"/>
                      <w:lang w:val="en-US" w:eastAsia="zh-CN"/>
                    </w:rPr>
                    <w:t>2</w:t>
                  </w:r>
                </w:p>
              </w:tc>
              <w:tc>
                <w:tcPr>
                  <w:tcW w:w="10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color w:val="auto"/>
                      <w:lang w:val="en-US" w:eastAsia="zh-CN"/>
                    </w:rPr>
                    <w:t>低氮燃烧装置</w:t>
                  </w:r>
                  <w:r>
                    <w:rPr>
                      <w:rFonts w:hint="default" w:ascii="Times New Roman" w:hAnsi="Times New Roman" w:cs="Times New Roman"/>
                      <w:color w:val="auto"/>
                      <w:lang w:val="en-US" w:eastAsia="zh-CN"/>
                    </w:rPr>
                    <w:t>，最终</w:t>
                  </w:r>
                  <w:r>
                    <w:rPr>
                      <w:rFonts w:hint="eastAsia" w:cs="Times New Roman"/>
                      <w:color w:val="auto"/>
                      <w:lang w:val="en-US" w:eastAsia="zh-CN"/>
                    </w:rPr>
                    <w:t>与烘烤废气（有机废气）共同经1根15</w:t>
                  </w:r>
                  <w:r>
                    <w:rPr>
                      <w:rFonts w:hint="default" w:ascii="Times New Roman" w:hAnsi="Times New Roman" w:cs="Times New Roman"/>
                      <w:color w:val="auto"/>
                      <w:lang w:val="en-US" w:eastAsia="zh-CN"/>
                    </w:rPr>
                    <w:t>m高排气筒P</w:t>
                  </w:r>
                  <w:r>
                    <w:rPr>
                      <w:rFonts w:hint="eastAsia" w:cs="Times New Roman"/>
                      <w:color w:val="auto"/>
                      <w:lang w:val="en-US" w:eastAsia="zh-CN"/>
                    </w:rPr>
                    <w:t>2</w:t>
                  </w:r>
                  <w:r>
                    <w:rPr>
                      <w:rFonts w:hint="default" w:ascii="Times New Roman" w:hAnsi="Times New Roman" w:cs="Times New Roman"/>
                      <w:color w:val="auto"/>
                      <w:lang w:val="en-US" w:eastAsia="zh-CN"/>
                    </w:rPr>
                    <w:t>（DA00</w:t>
                  </w:r>
                  <w:r>
                    <w:rPr>
                      <w:rFonts w:hint="eastAsia" w:cs="Times New Roman"/>
                      <w:color w:val="auto"/>
                      <w:lang w:val="en-US" w:eastAsia="zh-CN"/>
                    </w:rPr>
                    <w:t>2</w:t>
                  </w:r>
                  <w:r>
                    <w:rPr>
                      <w:rFonts w:hint="default" w:ascii="Times New Roman" w:hAnsi="Times New Roman" w:cs="Times New Roman"/>
                      <w:color w:val="auto"/>
                      <w:lang w:val="en-US" w:eastAsia="zh-CN"/>
                    </w:rPr>
                    <w:t>）达标排放</w:t>
                  </w:r>
                </w:p>
              </w:tc>
              <w:tc>
                <w:tcPr>
                  <w:tcW w:w="46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default" w:ascii="Times New Roman" w:hAnsi="Times New Roman" w:cs="Times New Roman"/>
                      <w:b w:val="0"/>
                      <w:bCs/>
                      <w:sz w:val="21"/>
                      <w:szCs w:val="21"/>
                      <w:u w:val="none"/>
                      <w:lang w:val="en-US" w:eastAsia="zh-CN"/>
                    </w:rPr>
                    <w:t>1.039</w:t>
                  </w:r>
                </w:p>
              </w:tc>
              <w:tc>
                <w:tcPr>
                  <w:tcW w:w="420"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0.009348</w:t>
                  </w:r>
                </w:p>
              </w:tc>
              <w:tc>
                <w:tcPr>
                  <w:tcW w:w="555"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0.0014022</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lang w:val="en-US" w:eastAsia="zh-CN"/>
                    </w:rPr>
                    <w:t>有组织</w:t>
                  </w:r>
                </w:p>
              </w:tc>
              <w:tc>
                <w:tcPr>
                  <w:tcW w:w="99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10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68"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kern w:val="2"/>
                      <w:sz w:val="21"/>
                      <w:szCs w:val="21"/>
                      <w:u w:val="none"/>
                      <w:lang w:val="en-US" w:eastAsia="zh-CN" w:bidi="ar-SA"/>
                    </w:rPr>
                    <w:t>/</w:t>
                  </w:r>
                </w:p>
              </w:tc>
              <w:tc>
                <w:tcPr>
                  <w:tcW w:w="420"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kern w:val="2"/>
                      <w:sz w:val="21"/>
                      <w:szCs w:val="21"/>
                      <w:u w:val="none"/>
                      <w:lang w:val="en-US" w:eastAsia="zh-CN" w:bidi="ar-SA"/>
                    </w:rPr>
                    <w:t>/</w:t>
                  </w:r>
                </w:p>
              </w:tc>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sz w:val="21"/>
                      <w:szCs w:val="21"/>
                      <w:u w:val="none"/>
                      <w:lang w:val="en-US" w:eastAsia="zh-CN"/>
                    </w:rPr>
                  </w:pPr>
                  <w:r>
                    <w:rPr>
                      <w:rFonts w:hint="default" w:ascii="Times New Roman" w:hAnsi="Times New Roman" w:cs="Times New Roman"/>
                      <w:b w:val="0"/>
                      <w:bCs/>
                      <w:sz w:val="21"/>
                      <w:szCs w:val="21"/>
                      <w:u w:val="none"/>
                      <w:lang w:val="en-US" w:eastAsia="zh-CN"/>
                    </w:rPr>
                    <w:t>0.0000738</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无组织</w:t>
                  </w:r>
                </w:p>
              </w:tc>
              <w:tc>
                <w:tcPr>
                  <w:tcW w:w="99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sz w:val="21"/>
                      <w:szCs w:val="21"/>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2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p>
              </w:tc>
              <w:tc>
                <w:tcPr>
                  <w:tcW w:w="3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NOx</w:t>
                  </w:r>
                </w:p>
              </w:tc>
              <w:tc>
                <w:tcPr>
                  <w:tcW w:w="10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6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default" w:ascii="Times New Roman" w:hAnsi="Times New Roman" w:cs="Times New Roman"/>
                      <w:b w:val="0"/>
                      <w:bCs/>
                      <w:sz w:val="21"/>
                      <w:szCs w:val="21"/>
                      <w:u w:val="none"/>
                      <w:lang w:val="en-US" w:eastAsia="zh-CN"/>
                    </w:rPr>
                    <w:t>7.805</w:t>
                  </w:r>
                </w:p>
              </w:tc>
              <w:tc>
                <w:tcPr>
                  <w:tcW w:w="420"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0.07025</w:t>
                  </w:r>
                </w:p>
              </w:tc>
              <w:tc>
                <w:tcPr>
                  <w:tcW w:w="555"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0.0105355</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lang w:val="en-US" w:eastAsia="zh-CN"/>
                    </w:rPr>
                    <w:t>有组织</w:t>
                  </w:r>
                </w:p>
              </w:tc>
              <w:tc>
                <w:tcPr>
                  <w:tcW w:w="99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2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10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68"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kern w:val="2"/>
                      <w:sz w:val="21"/>
                      <w:szCs w:val="21"/>
                      <w:u w:val="none"/>
                      <w:lang w:val="en-US" w:eastAsia="zh-CN" w:bidi="ar-SA"/>
                    </w:rPr>
                    <w:t>/</w:t>
                  </w:r>
                </w:p>
              </w:tc>
              <w:tc>
                <w:tcPr>
                  <w:tcW w:w="420"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kern w:val="2"/>
                      <w:sz w:val="21"/>
                      <w:szCs w:val="21"/>
                      <w:u w:val="none"/>
                      <w:lang w:val="en-US" w:eastAsia="zh-CN" w:bidi="ar-SA"/>
                    </w:rPr>
                    <w:t>/</w:t>
                  </w:r>
                </w:p>
              </w:tc>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sz w:val="21"/>
                      <w:szCs w:val="21"/>
                      <w:u w:val="none"/>
                      <w:lang w:val="en-US" w:eastAsia="zh-CN"/>
                    </w:rPr>
                  </w:pPr>
                  <w:r>
                    <w:rPr>
                      <w:rFonts w:hint="default" w:ascii="Times New Roman" w:hAnsi="Times New Roman" w:cs="Times New Roman"/>
                      <w:b w:val="0"/>
                      <w:bCs/>
                      <w:sz w:val="21"/>
                      <w:szCs w:val="21"/>
                      <w:u w:val="none"/>
                      <w:lang w:val="en-US" w:eastAsia="zh-CN"/>
                    </w:rPr>
                    <w:t>0.0005545</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无组织</w:t>
                  </w:r>
                </w:p>
              </w:tc>
              <w:tc>
                <w:tcPr>
                  <w:tcW w:w="99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sz w:val="21"/>
                      <w:szCs w:val="21"/>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3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lang w:val="en-US" w:eastAsia="zh-CN"/>
                    </w:rPr>
                  </w:pPr>
                  <w:r>
                    <w:rPr>
                      <w:rFonts w:hint="eastAsia"/>
                      <w:lang w:val="en-US" w:eastAsia="zh-CN"/>
                    </w:rPr>
                    <w:t>颗粒物</w:t>
                  </w:r>
                </w:p>
              </w:tc>
              <w:tc>
                <w:tcPr>
                  <w:tcW w:w="10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68" w:type="pct"/>
                  <w:tcBorders>
                    <w:tl2br w:val="nil"/>
                    <w:tr2bl w:val="nil"/>
                  </w:tcBorders>
                  <w:noWrap w:val="0"/>
                  <w:vAlign w:val="center"/>
                </w:tcPr>
                <w:p>
                  <w:pPr>
                    <w:adjustRightInd w:val="0"/>
                    <w:spacing w:line="360" w:lineRule="exact"/>
                    <w:jc w:val="center"/>
                    <w:rPr>
                      <w:rFonts w:hint="eastAsia"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 w:val="21"/>
                      <w:szCs w:val="21"/>
                      <w:u w:val="none"/>
                      <w:lang w:val="en-US" w:eastAsia="zh-CN"/>
                    </w:rPr>
                    <w:t>1.039</w:t>
                  </w:r>
                </w:p>
              </w:tc>
              <w:tc>
                <w:tcPr>
                  <w:tcW w:w="420" w:type="pct"/>
                  <w:tcBorders>
                    <w:tl2br w:val="nil"/>
                    <w:tr2bl w:val="nil"/>
                  </w:tcBorders>
                  <w:noWrap w:val="0"/>
                  <w:vAlign w:val="center"/>
                </w:tcPr>
                <w:p>
                  <w:pPr>
                    <w:adjustRightInd w:val="0"/>
                    <w:spacing w:line="360" w:lineRule="exact"/>
                    <w:jc w:val="center"/>
                    <w:rPr>
                      <w:rFonts w:hint="eastAsia"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0.009348</w:t>
                  </w:r>
                </w:p>
              </w:tc>
              <w:tc>
                <w:tcPr>
                  <w:tcW w:w="555"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eastAsia="宋体" w:cs="Times New Roman"/>
                      <w:b w:val="0"/>
                      <w:bCs/>
                      <w:kern w:val="2"/>
                      <w:sz w:val="21"/>
                      <w:szCs w:val="21"/>
                      <w:u w:val="none"/>
                      <w:lang w:val="en-US" w:eastAsia="zh-CN" w:bidi="ar-SA"/>
                    </w:rPr>
                    <w:t>0.0014022</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有组织</w:t>
                  </w:r>
                </w:p>
              </w:tc>
              <w:tc>
                <w:tcPr>
                  <w:tcW w:w="99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sz w:val="21"/>
                      <w:szCs w:val="21"/>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10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468" w:type="pct"/>
                  <w:tcBorders>
                    <w:tl2br w:val="nil"/>
                    <w:tr2bl w:val="nil"/>
                  </w:tcBorders>
                  <w:noWrap w:val="0"/>
                  <w:vAlign w:val="center"/>
                </w:tcPr>
                <w:p>
                  <w:pPr>
                    <w:adjustRightInd w:val="0"/>
                    <w:spacing w:line="360" w:lineRule="exact"/>
                    <w:jc w:val="center"/>
                    <w:rPr>
                      <w:rFonts w:hint="eastAsia" w:ascii="Times New Roman" w:hAnsi="Times New Roman" w:eastAsia="宋体" w:cs="Times New Roman"/>
                      <w:b w:val="0"/>
                      <w:bCs/>
                      <w:kern w:val="2"/>
                      <w:sz w:val="21"/>
                      <w:szCs w:val="21"/>
                      <w:u w:val="none"/>
                      <w:lang w:val="en-US" w:eastAsia="zh-CN" w:bidi="ar-SA"/>
                    </w:rPr>
                  </w:pPr>
                  <w:r>
                    <w:rPr>
                      <w:rFonts w:hint="eastAsia" w:cs="Times New Roman"/>
                      <w:b w:val="0"/>
                      <w:bCs/>
                      <w:kern w:val="2"/>
                      <w:sz w:val="21"/>
                      <w:szCs w:val="21"/>
                      <w:u w:val="none"/>
                      <w:lang w:val="en-US" w:eastAsia="zh-CN" w:bidi="ar-SA"/>
                    </w:rPr>
                    <w:t>/</w:t>
                  </w:r>
                </w:p>
              </w:tc>
              <w:tc>
                <w:tcPr>
                  <w:tcW w:w="420" w:type="pct"/>
                  <w:tcBorders>
                    <w:tl2br w:val="nil"/>
                    <w:tr2bl w:val="nil"/>
                  </w:tcBorders>
                  <w:noWrap w:val="0"/>
                  <w:vAlign w:val="center"/>
                </w:tcPr>
                <w:p>
                  <w:pPr>
                    <w:adjustRightInd w:val="0"/>
                    <w:spacing w:line="360" w:lineRule="exact"/>
                    <w:jc w:val="center"/>
                    <w:rPr>
                      <w:rFonts w:hint="eastAsia" w:ascii="Times New Roman" w:hAnsi="Times New Roman" w:eastAsia="宋体" w:cs="Times New Roman"/>
                      <w:b w:val="0"/>
                      <w:bCs/>
                      <w:kern w:val="2"/>
                      <w:sz w:val="21"/>
                      <w:szCs w:val="21"/>
                      <w:u w:val="none"/>
                      <w:lang w:val="en-US" w:eastAsia="zh-CN" w:bidi="ar-SA"/>
                    </w:rPr>
                  </w:pPr>
                  <w:r>
                    <w:rPr>
                      <w:rFonts w:hint="eastAsia" w:cs="Times New Roman"/>
                      <w:b w:val="0"/>
                      <w:bCs/>
                      <w:kern w:val="2"/>
                      <w:sz w:val="21"/>
                      <w:szCs w:val="21"/>
                      <w:u w:val="none"/>
                      <w:lang w:val="en-US" w:eastAsia="zh-CN" w:bidi="ar-SA"/>
                    </w:rPr>
                    <w:t>/</w:t>
                  </w:r>
                </w:p>
              </w:tc>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 w:val="21"/>
                      <w:szCs w:val="21"/>
                      <w:u w:val="none"/>
                      <w:lang w:val="en-US" w:eastAsia="zh-CN"/>
                    </w:rPr>
                    <w:t>0.0000738</w:t>
                  </w:r>
                </w:p>
              </w:tc>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b w:val="0"/>
                      <w:bCs/>
                      <w:kern w:val="2"/>
                      <w:sz w:val="21"/>
                      <w:szCs w:val="21"/>
                      <w:u w:val="none"/>
                      <w:lang w:val="en-US" w:eastAsia="zh-CN" w:bidi="ar-SA"/>
                    </w:rPr>
                  </w:pPr>
                  <w:r>
                    <w:rPr>
                      <w:rFonts w:hint="eastAsia" w:cs="Times New Roman"/>
                      <w:b w:val="0"/>
                      <w:bCs/>
                      <w:kern w:val="2"/>
                      <w:sz w:val="21"/>
                      <w:szCs w:val="21"/>
                      <w:u w:val="none"/>
                      <w:lang w:val="en-US" w:eastAsia="zh-CN" w:bidi="ar-SA"/>
                    </w:rPr>
                    <w:t>无组织</w:t>
                  </w:r>
                </w:p>
              </w:tc>
              <w:tc>
                <w:tcPr>
                  <w:tcW w:w="99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b w:val="0"/>
                      <w:bCs/>
                      <w:kern w:val="2"/>
                      <w:sz w:val="21"/>
                      <w:szCs w:val="21"/>
                      <w:u w:val="none"/>
                      <w:lang w:val="en-US" w:eastAsia="zh-CN" w:bidi="ar-SA"/>
                    </w:rPr>
                  </w:pPr>
                </w:p>
              </w:tc>
            </w:tr>
          </w:tbl>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none"/>
                <w:lang w:val="en-US" w:eastAsia="zh-CN"/>
              </w:rPr>
            </w:pPr>
            <w:r>
              <w:rPr>
                <w:rFonts w:hint="default" w:ascii="Times New Roman" w:hAnsi="Times New Roman" w:cs="Times New Roman"/>
                <w:b/>
                <w:bCs w:val="0"/>
                <w:sz w:val="24"/>
                <w:szCs w:val="24"/>
                <w:u w:val="none"/>
                <w:lang w:val="en-US" w:eastAsia="zh-CN"/>
              </w:rPr>
              <w:t>非正常工况污染物排放情况</w:t>
            </w:r>
          </w:p>
          <w:p>
            <w:pPr>
              <w:keepNext w:val="0"/>
              <w:keepLines w:val="0"/>
              <w:pageBreakBefore w:val="0"/>
              <w:widowControl w:val="0"/>
              <w:tabs>
                <w:tab w:val="center" w:pos="4057"/>
              </w:tabs>
              <w:kinsoku/>
              <w:wordWrap/>
              <w:overflowPunct/>
              <w:topLinePunct w:val="0"/>
              <w:autoSpaceDE/>
              <w:autoSpaceDN/>
              <w:bidi w:val="0"/>
              <w:adjustRightInd/>
              <w:snapToGrid w:val="0"/>
              <w:spacing w:line="360" w:lineRule="auto"/>
              <w:ind w:firstLine="480" w:firstLineChars="200"/>
              <w:textAlignment w:val="baseline"/>
              <w:rPr>
                <w:rFonts w:hint="default" w:ascii="Times New Roman" w:hAnsi="Times New Roman" w:cs="Times New Roman"/>
                <w:b w:val="0"/>
                <w:bCs w:val="0"/>
                <w:sz w:val="24"/>
                <w:szCs w:val="24"/>
                <w:u w:val="none"/>
              </w:rPr>
            </w:pPr>
            <w:r>
              <w:rPr>
                <w:rFonts w:hint="default" w:ascii="Times New Roman" w:hAnsi="Times New Roman" w:cs="Times New Roman"/>
                <w:b w:val="0"/>
                <w:bCs w:val="0"/>
                <w:sz w:val="24"/>
                <w:szCs w:val="24"/>
                <w:u w:val="none"/>
              </w:rPr>
              <w:t>根据《环境影响评价技术导则 大气环境》（HJ2.2-2018），非正常排放包括设备检修、污染物排放控制措施达不到应有效率、工艺设备运转异常等。</w:t>
            </w:r>
          </w:p>
          <w:p>
            <w:pPr>
              <w:keepNext w:val="0"/>
              <w:keepLines w:val="0"/>
              <w:pageBreakBefore w:val="0"/>
              <w:widowControl w:val="0"/>
              <w:bidi w:val="0"/>
              <w:spacing w:line="360" w:lineRule="auto"/>
              <w:ind w:firstLine="480" w:firstLineChars="200"/>
              <w:jc w:val="both"/>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非正常工况指建设项目生产运行阶段的开、停设备、检修设备等情况发生时的污染物非正常排放；针对本项目非正常工况主要发生于开、停车及各废气处理系统发生故障无法正常工作时产生的污染。</w:t>
            </w:r>
          </w:p>
          <w:p>
            <w:pPr>
              <w:keepNext w:val="0"/>
              <w:keepLines w:val="0"/>
              <w:pageBreakBefore w:val="0"/>
              <w:widowControl w:val="0"/>
              <w:bidi w:val="0"/>
              <w:spacing w:line="360" w:lineRule="auto"/>
              <w:ind w:firstLine="480" w:firstLineChars="200"/>
              <w:jc w:val="both"/>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（1）开、停生产设备</w:t>
            </w:r>
          </w:p>
          <w:p>
            <w:pPr>
              <w:keepNext w:val="0"/>
              <w:keepLines w:val="0"/>
              <w:pageBreakBefore w:val="0"/>
              <w:widowControl w:val="0"/>
              <w:bidi w:val="0"/>
              <w:spacing w:line="360" w:lineRule="auto"/>
              <w:ind w:firstLine="480" w:firstLineChars="200"/>
              <w:jc w:val="both"/>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开工时首先运行所有的废气处理装置，然后开启车间的生产设备；车间停工时，所有废气处理装置继续运行，待废气全部排除后逐渐关闭。因此，车间在开、停生产设备时排出污染物能得到有效处理，经排气筒排出的浓度和正常生产时基本一致。</w:t>
            </w:r>
          </w:p>
          <w:p>
            <w:pPr>
              <w:keepNext w:val="0"/>
              <w:keepLines w:val="0"/>
              <w:pageBreakBefore w:val="0"/>
              <w:widowControl w:val="0"/>
              <w:bidi w:val="0"/>
              <w:spacing w:line="360" w:lineRule="auto"/>
              <w:ind w:firstLine="480" w:firstLineChars="200"/>
              <w:jc w:val="both"/>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（2）废气处理设施故障</w:t>
            </w:r>
          </w:p>
          <w:p>
            <w:pPr>
              <w:keepNext w:val="0"/>
              <w:keepLines w:val="0"/>
              <w:pageBreakBefore w:val="0"/>
              <w:widowControl w:val="0"/>
              <w:bidi w:val="0"/>
              <w:spacing w:line="360" w:lineRule="auto"/>
              <w:ind w:firstLine="480" w:firstLineChars="200"/>
              <w:jc w:val="both"/>
              <w:rPr>
                <w:rFonts w:hint="default" w:ascii="Times New Roman" w:hAnsi="Times New Roman" w:cs="Times New Roman"/>
                <w:b w:val="0"/>
                <w:bCs w:val="0"/>
                <w:sz w:val="24"/>
                <w:szCs w:val="24"/>
                <w:u w:val="none"/>
              </w:rPr>
            </w:pPr>
            <w:r>
              <w:rPr>
                <w:rFonts w:hint="default" w:ascii="Times New Roman" w:hAnsi="Times New Roman" w:cs="Times New Roman"/>
                <w:b w:val="0"/>
                <w:bCs w:val="0"/>
                <w:color w:val="auto"/>
                <w:sz w:val="24"/>
                <w:u w:val="none"/>
              </w:rPr>
              <w:t>项目废气处理设施为“</w:t>
            </w:r>
            <w:r>
              <w:rPr>
                <w:rFonts w:hint="default" w:ascii="Times New Roman" w:hAnsi="Times New Roman" w:cs="Times New Roman"/>
                <w:b w:val="0"/>
                <w:bCs w:val="0"/>
                <w:snapToGrid w:val="0"/>
                <w:color w:val="auto"/>
                <w:kern w:val="0"/>
                <w:sz w:val="24"/>
                <w:szCs w:val="20"/>
                <w:u w:val="none"/>
              </w:rPr>
              <w:t>UV光催化氧</w:t>
            </w:r>
            <w:r>
              <w:rPr>
                <w:rFonts w:hint="eastAsia" w:cs="Times New Roman"/>
                <w:b w:val="0"/>
                <w:bCs w:val="0"/>
                <w:snapToGrid w:val="0"/>
                <w:color w:val="auto"/>
                <w:kern w:val="0"/>
                <w:sz w:val="24"/>
                <w:szCs w:val="20"/>
                <w:u w:val="none"/>
                <w:lang w:val="en-US" w:eastAsia="zh-CN"/>
              </w:rPr>
              <w:t>化</w:t>
            </w:r>
            <w:r>
              <w:rPr>
                <w:rFonts w:hint="default" w:ascii="Times New Roman" w:hAnsi="Times New Roman" w:cs="Times New Roman"/>
                <w:b w:val="0"/>
                <w:bCs w:val="0"/>
                <w:color w:val="auto"/>
                <w:sz w:val="24"/>
                <w:u w:val="none"/>
              </w:rPr>
              <w:t>+活性炭吸附”</w:t>
            </w:r>
            <w:r>
              <w:rPr>
                <w:rFonts w:hint="eastAsia" w:cs="Times New Roman"/>
                <w:b w:val="0"/>
                <w:bCs w:val="0"/>
                <w:color w:val="auto"/>
                <w:sz w:val="24"/>
                <w:u w:val="none"/>
                <w:lang w:val="en-US" w:eastAsia="zh-CN"/>
              </w:rPr>
              <w:t>和“袋式除尘系统”</w:t>
            </w:r>
            <w:r>
              <w:rPr>
                <w:rFonts w:hint="default" w:ascii="Times New Roman" w:hAnsi="Times New Roman" w:cs="Times New Roman"/>
                <w:b w:val="0"/>
                <w:bCs w:val="0"/>
                <w:color w:val="auto"/>
                <w:spacing w:val="-1"/>
                <w:sz w:val="24"/>
                <w:u w:val="none"/>
              </w:rPr>
              <w:t>装置</w:t>
            </w:r>
            <w:r>
              <w:rPr>
                <w:rFonts w:hint="default" w:ascii="Times New Roman" w:hAnsi="Times New Roman" w:cs="Times New Roman"/>
                <w:b w:val="0"/>
                <w:bCs w:val="0"/>
                <w:color w:val="auto"/>
                <w:sz w:val="24"/>
                <w:u w:val="none"/>
              </w:rPr>
              <w:t>，废气处理系统发生故障一般指活性炭吸附饱和或UV光催化氧化装置</w:t>
            </w:r>
            <w:r>
              <w:rPr>
                <w:rFonts w:hint="eastAsia" w:cs="Times New Roman"/>
                <w:b w:val="0"/>
                <w:bCs w:val="0"/>
                <w:color w:val="auto"/>
                <w:sz w:val="24"/>
                <w:u w:val="none"/>
                <w:lang w:val="en-US" w:eastAsia="zh-CN"/>
              </w:rPr>
              <w:t>和袋式除尘系统</w:t>
            </w:r>
            <w:r>
              <w:rPr>
                <w:rFonts w:hint="default" w:ascii="Times New Roman" w:hAnsi="Times New Roman" w:cs="Times New Roman"/>
                <w:b w:val="0"/>
                <w:bCs w:val="0"/>
                <w:color w:val="auto"/>
                <w:sz w:val="24"/>
                <w:u w:val="none"/>
              </w:rPr>
              <w:t>损坏，使其处理效率下降或不能正常工作，不能满足废气处理需求。有机废气非正常工况设定为废气处理效率等于0</w:t>
            </w:r>
            <w:r>
              <w:rPr>
                <w:rFonts w:hint="eastAsia" w:cs="Times New Roman"/>
                <w:b w:val="0"/>
                <w:bCs w:val="0"/>
                <w:color w:val="auto"/>
                <w:sz w:val="24"/>
                <w:u w:val="none"/>
                <w:lang w:val="en-US" w:eastAsia="zh-CN"/>
              </w:rPr>
              <w:t>%</w:t>
            </w:r>
            <w:r>
              <w:rPr>
                <w:rFonts w:hint="default" w:ascii="Times New Roman" w:hAnsi="Times New Roman" w:cs="Times New Roman"/>
                <w:b w:val="0"/>
                <w:bCs w:val="0"/>
                <w:color w:val="auto"/>
                <w:sz w:val="24"/>
                <w:u w:val="none"/>
              </w:rPr>
              <w:t>时的废气排放。</w:t>
            </w:r>
            <w:r>
              <w:rPr>
                <w:rFonts w:hint="default" w:ascii="Times New Roman" w:hAnsi="Times New Roman" w:cs="Times New Roman"/>
                <w:b w:val="0"/>
                <w:bCs w:val="0"/>
                <w:sz w:val="24"/>
                <w:szCs w:val="24"/>
                <w:u w:val="none"/>
                <w:lang w:val="en-US" w:eastAsia="zh-CN"/>
              </w:rPr>
              <w:t>考虑</w:t>
            </w:r>
            <w:r>
              <w:rPr>
                <w:rFonts w:hint="default" w:ascii="Times New Roman" w:hAnsi="Times New Roman" w:cs="Times New Roman"/>
                <w:b w:val="0"/>
                <w:bCs w:val="0"/>
                <w:sz w:val="24"/>
                <w:szCs w:val="24"/>
                <w:u w:val="none"/>
              </w:rPr>
              <w:t>在此情景下，本项目废气污染物产生情况及排放情况，具体见下表</w:t>
            </w:r>
            <w:r>
              <w:rPr>
                <w:rFonts w:hint="default" w:ascii="Times New Roman" w:hAnsi="Times New Roman" w:cs="Times New Roman"/>
                <w:b w:val="0"/>
                <w:bCs w:val="0"/>
                <w:sz w:val="24"/>
                <w:szCs w:val="24"/>
                <w:u w:val="none"/>
                <w:lang w:val="en-US" w:eastAsia="zh-CN"/>
              </w:rPr>
              <w:t>4-</w:t>
            </w:r>
            <w:r>
              <w:rPr>
                <w:rFonts w:hint="eastAsia" w:cs="Times New Roman"/>
                <w:b w:val="0"/>
                <w:bCs w:val="0"/>
                <w:sz w:val="24"/>
                <w:szCs w:val="24"/>
                <w:u w:val="none"/>
                <w:lang w:val="en-US" w:eastAsia="zh-CN"/>
              </w:rPr>
              <w:t>3</w:t>
            </w:r>
            <w:r>
              <w:rPr>
                <w:rFonts w:hint="default" w:ascii="Times New Roman" w:hAnsi="Times New Roman" w:cs="Times New Roman"/>
                <w:b w:val="0"/>
                <w:bCs w:val="0"/>
                <w:sz w:val="24"/>
                <w:szCs w:val="24"/>
                <w:u w:val="none"/>
              </w:rPr>
              <w:t>。</w:t>
            </w:r>
          </w:p>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u w:val="none"/>
                <w:lang w:val="en-US" w:eastAsia="zh-CN"/>
              </w:rPr>
            </w:pPr>
            <w:r>
              <w:rPr>
                <w:rFonts w:hint="default" w:ascii="Times New Roman" w:hAnsi="Times New Roman" w:eastAsia="宋体" w:cs="Times New Roman"/>
                <w:b/>
                <w:bCs/>
                <w:u w:val="none"/>
                <w:lang w:val="en-US" w:eastAsia="zh-CN"/>
              </w:rPr>
              <w:t>表4-</w:t>
            </w:r>
            <w:r>
              <w:rPr>
                <w:rFonts w:hint="eastAsia" w:cs="Times New Roman"/>
                <w:b/>
                <w:bCs/>
                <w:u w:val="none"/>
                <w:lang w:val="en-US" w:eastAsia="zh-CN"/>
              </w:rPr>
              <w:t>3</w:t>
            </w:r>
            <w:r>
              <w:rPr>
                <w:rFonts w:hint="default" w:ascii="Times New Roman" w:hAnsi="Times New Roman" w:eastAsia="宋体" w:cs="Times New Roman"/>
                <w:b/>
                <w:bCs/>
                <w:u w:val="none"/>
                <w:lang w:val="en-US" w:eastAsia="zh-CN"/>
              </w:rPr>
              <w:t xml:space="preserve"> 项目非正常工况下废气污染物产生情况一览表</w:t>
            </w:r>
          </w:p>
          <w:tbl>
            <w:tblPr>
              <w:tblStyle w:val="24"/>
              <w:tblW w:w="4815"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75"/>
              <w:gridCol w:w="743"/>
              <w:gridCol w:w="1119"/>
              <w:gridCol w:w="936"/>
              <w:gridCol w:w="1046"/>
              <w:gridCol w:w="1071"/>
              <w:gridCol w:w="1022"/>
              <w:gridCol w:w="831"/>
              <w:gridCol w:w="178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1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序号</w:t>
                  </w:r>
                </w:p>
              </w:tc>
              <w:tc>
                <w:tcPr>
                  <w:tcW w:w="40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污染源</w:t>
                  </w:r>
                </w:p>
              </w:tc>
              <w:tc>
                <w:tcPr>
                  <w:tcW w:w="6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非正常排放原因</w:t>
                  </w:r>
                </w:p>
              </w:tc>
              <w:tc>
                <w:tcPr>
                  <w:tcW w:w="51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污染物</w:t>
                  </w:r>
                </w:p>
              </w:tc>
              <w:tc>
                <w:tcPr>
                  <w:tcW w:w="57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非正常排放浓度mg/m</w:t>
                  </w:r>
                  <w:r>
                    <w:rPr>
                      <w:rFonts w:hint="default" w:ascii="Times New Roman" w:hAnsi="Times New Roman" w:cs="Times New Roman"/>
                      <w:sz w:val="21"/>
                      <w:szCs w:val="21"/>
                      <w:u w:val="none"/>
                      <w:vertAlign w:val="superscript"/>
                    </w:rPr>
                    <w:t>3</w:t>
                  </w:r>
                </w:p>
              </w:tc>
              <w:tc>
                <w:tcPr>
                  <w:tcW w:w="58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非正常排放速率kg/h</w:t>
                  </w:r>
                </w:p>
              </w:tc>
              <w:tc>
                <w:tcPr>
                  <w:tcW w:w="55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单次持续时间</w:t>
                  </w:r>
                </w:p>
              </w:tc>
              <w:tc>
                <w:tcPr>
                  <w:tcW w:w="4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年发生频次</w:t>
                  </w:r>
                </w:p>
              </w:tc>
              <w:tc>
                <w:tcPr>
                  <w:tcW w:w="97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应对措施</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1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1</w:t>
                  </w:r>
                </w:p>
              </w:tc>
              <w:tc>
                <w:tcPr>
                  <w:tcW w:w="40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sz w:val="21"/>
                      <w:szCs w:val="21"/>
                      <w:highlight w:val="none"/>
                      <w:u w:val="none"/>
                      <w:lang w:val="en-US" w:eastAsia="zh-CN"/>
                    </w:rPr>
                    <w:t>DA00</w:t>
                  </w:r>
                  <w:r>
                    <w:rPr>
                      <w:rFonts w:hint="eastAsia" w:cs="Times New Roman"/>
                      <w:sz w:val="21"/>
                      <w:szCs w:val="21"/>
                      <w:highlight w:val="none"/>
                      <w:u w:val="none"/>
                      <w:lang w:val="en-US" w:eastAsia="zh-CN"/>
                    </w:rPr>
                    <w:t>1</w:t>
                  </w:r>
                </w:p>
              </w:tc>
              <w:tc>
                <w:tcPr>
                  <w:tcW w:w="6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sz w:val="21"/>
                      <w:szCs w:val="21"/>
                      <w:highlight w:val="none"/>
                      <w:u w:val="none"/>
                      <w:lang w:val="en-US" w:eastAsia="zh-CN"/>
                    </w:rPr>
                    <w:t>袋式除尘器效率降为0%</w:t>
                  </w:r>
                </w:p>
              </w:tc>
              <w:tc>
                <w:tcPr>
                  <w:tcW w:w="51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cs="Times New Roman"/>
                      <w:color w:val="000000"/>
                      <w:sz w:val="21"/>
                      <w:szCs w:val="21"/>
                      <w:u w:val="none"/>
                      <w:lang w:val="en-US" w:eastAsia="zh-CN"/>
                    </w:rPr>
                    <w:t>颗粒物</w:t>
                  </w:r>
                </w:p>
              </w:tc>
              <w:tc>
                <w:tcPr>
                  <w:tcW w:w="57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2"/>
                      <w:sz w:val="21"/>
                      <w:szCs w:val="21"/>
                      <w:highlight w:val="none"/>
                      <w:u w:val="none"/>
                      <w:lang w:val="en-US" w:eastAsia="zh-CN" w:bidi="ar-SA"/>
                    </w:rPr>
                  </w:pPr>
                  <w:r>
                    <w:rPr>
                      <w:rFonts w:hint="eastAsia" w:cs="Times New Roman"/>
                      <w:kern w:val="2"/>
                      <w:sz w:val="21"/>
                      <w:szCs w:val="21"/>
                      <w:highlight w:val="none"/>
                      <w:u w:val="none"/>
                      <w:lang w:val="en-US" w:eastAsia="zh-CN" w:bidi="ar-SA"/>
                    </w:rPr>
                    <w:t>32.2</w:t>
                  </w:r>
                </w:p>
              </w:tc>
              <w:tc>
                <w:tcPr>
                  <w:tcW w:w="5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kern w:val="2"/>
                      <w:sz w:val="21"/>
                      <w:szCs w:val="21"/>
                      <w:highlight w:val="none"/>
                      <w:u w:val="none"/>
                      <w:lang w:val="en-US" w:eastAsia="zh-CN" w:bidi="ar-SA"/>
                    </w:rPr>
                    <w:t>0.48</w:t>
                  </w:r>
                  <w:r>
                    <w:rPr>
                      <w:rFonts w:hint="eastAsia" w:cs="Times New Roman"/>
                      <w:kern w:val="2"/>
                      <w:sz w:val="21"/>
                      <w:szCs w:val="21"/>
                      <w:highlight w:val="none"/>
                      <w:u w:val="none"/>
                      <w:lang w:val="en-US" w:eastAsia="zh-CN" w:bidi="ar-SA"/>
                    </w:rPr>
                    <w:t>3</w:t>
                  </w:r>
                </w:p>
              </w:tc>
              <w:tc>
                <w:tcPr>
                  <w:tcW w:w="55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以1h计</w:t>
                  </w:r>
                </w:p>
              </w:tc>
              <w:tc>
                <w:tcPr>
                  <w:tcW w:w="4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1次</w:t>
                  </w:r>
                </w:p>
              </w:tc>
              <w:tc>
                <w:tcPr>
                  <w:tcW w:w="97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日常加强</w:t>
                  </w:r>
                  <w:r>
                    <w:rPr>
                      <w:rFonts w:hint="default" w:ascii="Times New Roman" w:hAnsi="Times New Roman" w:cs="Times New Roman"/>
                      <w:sz w:val="21"/>
                      <w:szCs w:val="21"/>
                      <w:u w:val="none"/>
                      <w:lang w:val="en-US" w:eastAsia="zh-CN"/>
                    </w:rPr>
                    <w:t>废气集气设施、管路、覆膜袋式除尘器的维修和检查，</w:t>
                  </w:r>
                  <w:r>
                    <w:rPr>
                      <w:rFonts w:hint="default" w:ascii="Times New Roman" w:hAnsi="Times New Roman" w:cs="Times New Roman"/>
                      <w:sz w:val="21"/>
                      <w:szCs w:val="21"/>
                      <w:u w:val="none"/>
                    </w:rPr>
                    <w:t>定期对设备维护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15" w:type="pct"/>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sz w:val="21"/>
                      <w:szCs w:val="21"/>
                      <w:u w:val="none"/>
                      <w:lang w:eastAsia="zh-CN"/>
                    </w:rPr>
                  </w:pPr>
                  <w:r>
                    <w:rPr>
                      <w:rFonts w:hint="eastAsia" w:cs="Times New Roman"/>
                      <w:sz w:val="21"/>
                      <w:szCs w:val="21"/>
                      <w:u w:val="none"/>
                      <w:lang w:val="en-US" w:eastAsia="zh-CN"/>
                    </w:rPr>
                    <w:t>2</w:t>
                  </w:r>
                </w:p>
              </w:tc>
              <w:tc>
                <w:tcPr>
                  <w:tcW w:w="407" w:type="pct"/>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sz w:val="21"/>
                      <w:szCs w:val="21"/>
                      <w:u w:val="none"/>
                      <w:lang w:val="en-US"/>
                    </w:rPr>
                  </w:pPr>
                  <w:r>
                    <w:rPr>
                      <w:rFonts w:hint="default" w:ascii="Times New Roman" w:hAnsi="Times New Roman" w:eastAsia="宋体" w:cs="Times New Roman"/>
                      <w:sz w:val="21"/>
                      <w:szCs w:val="21"/>
                      <w:highlight w:val="none"/>
                      <w:u w:val="none"/>
                      <w:lang w:val="en-US" w:eastAsia="zh-CN"/>
                    </w:rPr>
                    <w:t>DA00</w:t>
                  </w:r>
                  <w:r>
                    <w:rPr>
                      <w:rFonts w:hint="eastAsia" w:cs="Times New Roman"/>
                      <w:sz w:val="21"/>
                      <w:szCs w:val="21"/>
                      <w:highlight w:val="none"/>
                      <w:u w:val="none"/>
                      <w:lang w:val="en-US" w:eastAsia="zh-CN"/>
                    </w:rPr>
                    <w:t>2</w:t>
                  </w:r>
                </w:p>
              </w:tc>
              <w:tc>
                <w:tcPr>
                  <w:tcW w:w="613"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eastAsia" w:cs="Times New Roman"/>
                      <w:sz w:val="21"/>
                      <w:szCs w:val="21"/>
                      <w:highlight w:val="none"/>
                      <w:u w:val="none"/>
                      <w:lang w:val="en-US" w:eastAsia="zh-CN"/>
                    </w:rPr>
                    <w:t>UV光催化氧化+</w:t>
                  </w:r>
                  <w:r>
                    <w:rPr>
                      <w:rFonts w:hint="default" w:ascii="Times New Roman" w:hAnsi="Times New Roman" w:eastAsia="宋体" w:cs="Times New Roman"/>
                      <w:sz w:val="21"/>
                      <w:szCs w:val="21"/>
                      <w:highlight w:val="none"/>
                      <w:u w:val="none"/>
                      <w:lang w:val="en-US" w:eastAsia="zh-CN"/>
                    </w:rPr>
                    <w:t>活性炭吸附设施效率降为</w:t>
                  </w:r>
                  <w:r>
                    <w:rPr>
                      <w:rFonts w:hint="eastAsia" w:cs="Times New Roman"/>
                      <w:sz w:val="21"/>
                      <w:szCs w:val="21"/>
                      <w:highlight w:val="none"/>
                      <w:u w:val="none"/>
                      <w:lang w:val="en-US" w:eastAsia="zh-CN"/>
                    </w:rPr>
                    <w:t>0%</w:t>
                  </w:r>
                </w:p>
              </w:tc>
              <w:tc>
                <w:tcPr>
                  <w:tcW w:w="51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sz w:val="21"/>
                      <w:szCs w:val="21"/>
                      <w:highlight w:val="none"/>
                      <w:u w:val="none"/>
                      <w:lang w:val="en-US" w:eastAsia="zh-CN"/>
                    </w:rPr>
                    <w:t>非甲烷总烃</w:t>
                  </w:r>
                </w:p>
              </w:tc>
              <w:tc>
                <w:tcPr>
                  <w:tcW w:w="57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eastAsia" w:cs="Times New Roman"/>
                      <w:kern w:val="2"/>
                      <w:sz w:val="21"/>
                      <w:szCs w:val="21"/>
                      <w:highlight w:val="none"/>
                      <w:u w:val="none"/>
                      <w:lang w:val="en-US" w:eastAsia="zh-CN" w:bidi="ar-SA"/>
                    </w:rPr>
                    <w:t>2.2</w:t>
                  </w:r>
                </w:p>
              </w:tc>
              <w:tc>
                <w:tcPr>
                  <w:tcW w:w="58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eastAsia" w:cs="Times New Roman"/>
                      <w:kern w:val="2"/>
                      <w:sz w:val="21"/>
                      <w:szCs w:val="21"/>
                      <w:highlight w:val="none"/>
                      <w:u w:val="none"/>
                      <w:lang w:val="en-US" w:eastAsia="zh-CN" w:bidi="ar-SA"/>
                    </w:rPr>
                    <w:t>0.02</w:t>
                  </w:r>
                </w:p>
              </w:tc>
              <w:tc>
                <w:tcPr>
                  <w:tcW w:w="55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sz w:val="21"/>
                      <w:szCs w:val="21"/>
                      <w:highlight w:val="none"/>
                      <w:u w:val="none"/>
                      <w:lang w:val="en-US" w:eastAsia="zh-CN"/>
                    </w:rPr>
                    <w:t>以1h计</w:t>
                  </w:r>
                </w:p>
              </w:tc>
              <w:tc>
                <w:tcPr>
                  <w:tcW w:w="4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sz w:val="21"/>
                      <w:szCs w:val="21"/>
                      <w:highlight w:val="none"/>
                      <w:u w:val="none"/>
                      <w:lang w:val="en-US" w:eastAsia="zh-CN"/>
                    </w:rPr>
                    <w:t>1次</w:t>
                  </w:r>
                </w:p>
              </w:tc>
              <w:tc>
                <w:tcPr>
                  <w:tcW w:w="976"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sz w:val="21"/>
                      <w:szCs w:val="21"/>
                      <w:highlight w:val="none"/>
                      <w:u w:val="none"/>
                      <w:lang w:val="en-US" w:eastAsia="zh-CN"/>
                    </w:rPr>
                    <w:t>日常加强废气集气设施、管路、活性炭吸附、UV光催化氧化设施的维修和检查，定期对设备维护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15" w:type="pct"/>
                  <w:vMerge w:val="continue"/>
                  <w:tcBorders>
                    <w:left w:val="single" w:color="auto" w:sz="4" w:space="0"/>
                    <w:right w:val="single" w:color="auto" w:sz="4" w:space="0"/>
                  </w:tcBorders>
                  <w:noWrap w:val="0"/>
                  <w:vAlign w:val="center"/>
                </w:tcPr>
                <w:p>
                  <w:pPr>
                    <w:jc w:val="center"/>
                    <w:rPr>
                      <w:rFonts w:hint="eastAsia" w:cs="Times New Roman"/>
                      <w:sz w:val="21"/>
                      <w:szCs w:val="21"/>
                      <w:u w:val="none"/>
                      <w:lang w:val="en-US" w:eastAsia="zh-CN"/>
                    </w:rPr>
                  </w:pPr>
                </w:p>
              </w:tc>
              <w:tc>
                <w:tcPr>
                  <w:tcW w:w="407" w:type="pct"/>
                  <w:vMerge w:val="continue"/>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1"/>
                      <w:szCs w:val="21"/>
                      <w:highlight w:val="none"/>
                      <w:u w:val="none"/>
                      <w:lang w:val="en-US" w:eastAsia="zh-CN"/>
                    </w:rPr>
                  </w:pPr>
                </w:p>
              </w:tc>
              <w:tc>
                <w:tcPr>
                  <w:tcW w:w="613" w:type="pct"/>
                  <w:vMerge w:val="continue"/>
                  <w:tcBorders>
                    <w:left w:val="single" w:color="auto" w:sz="4" w:space="0"/>
                    <w:right w:val="single" w:color="auto" w:sz="4" w:space="0"/>
                  </w:tcBorders>
                  <w:noWrap w:val="0"/>
                  <w:vAlign w:val="center"/>
                </w:tcPr>
                <w:p>
                  <w:pPr>
                    <w:jc w:val="center"/>
                    <w:rPr>
                      <w:rFonts w:hint="eastAsia" w:cs="Times New Roman"/>
                      <w:sz w:val="21"/>
                      <w:szCs w:val="21"/>
                      <w:highlight w:val="none"/>
                      <w:u w:val="none"/>
                      <w:lang w:val="en-US" w:eastAsia="zh-CN"/>
                    </w:rPr>
                  </w:pPr>
                </w:p>
              </w:tc>
              <w:tc>
                <w:tcPr>
                  <w:tcW w:w="5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lang w:val="en-US" w:eastAsia="zh-CN"/>
                    </w:rPr>
                    <w:t>SO</w:t>
                  </w:r>
                  <w:r>
                    <w:rPr>
                      <w:rFonts w:hint="eastAsia" w:cs="Times New Roman"/>
                      <w:vertAlign w:val="subscript"/>
                      <w:lang w:val="en-US" w:eastAsia="zh-CN"/>
                    </w:rPr>
                    <w:t>2</w:t>
                  </w:r>
                </w:p>
              </w:tc>
              <w:tc>
                <w:tcPr>
                  <w:tcW w:w="573"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 w:val="21"/>
                      <w:szCs w:val="21"/>
                      <w:u w:val="none"/>
                      <w:lang w:val="en-US" w:eastAsia="zh-CN"/>
                    </w:rPr>
                    <w:t>1.039</w:t>
                  </w:r>
                </w:p>
              </w:tc>
              <w:tc>
                <w:tcPr>
                  <w:tcW w:w="586"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0.009348</w:t>
                  </w:r>
                </w:p>
              </w:tc>
              <w:tc>
                <w:tcPr>
                  <w:tcW w:w="55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sz w:val="21"/>
                      <w:szCs w:val="21"/>
                      <w:highlight w:val="none"/>
                      <w:u w:val="none"/>
                      <w:lang w:val="en-US" w:eastAsia="zh-CN"/>
                    </w:rPr>
                    <w:t>以1h计</w:t>
                  </w:r>
                </w:p>
              </w:tc>
              <w:tc>
                <w:tcPr>
                  <w:tcW w:w="4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sz w:val="21"/>
                      <w:szCs w:val="21"/>
                      <w:highlight w:val="none"/>
                      <w:u w:val="none"/>
                      <w:lang w:val="en-US" w:eastAsia="zh-CN"/>
                    </w:rPr>
                    <w:t>1次</w:t>
                  </w:r>
                </w:p>
              </w:tc>
              <w:tc>
                <w:tcPr>
                  <w:tcW w:w="976"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15" w:type="pct"/>
                  <w:vMerge w:val="continue"/>
                  <w:tcBorders>
                    <w:left w:val="single" w:color="auto" w:sz="4" w:space="0"/>
                    <w:right w:val="single" w:color="auto" w:sz="4" w:space="0"/>
                  </w:tcBorders>
                </w:tcPr>
                <w:p>
                  <w:pPr>
                    <w:jc w:val="center"/>
                    <w:rPr>
                      <w:rFonts w:hint="eastAsia" w:cs="Times New Roman"/>
                      <w:sz w:val="21"/>
                      <w:szCs w:val="21"/>
                      <w:u w:val="none"/>
                      <w:lang w:val="en-US" w:eastAsia="zh-CN"/>
                    </w:rPr>
                  </w:pPr>
                </w:p>
              </w:tc>
              <w:tc>
                <w:tcPr>
                  <w:tcW w:w="407" w:type="pct"/>
                  <w:vMerge w:val="continue"/>
                  <w:tcBorders>
                    <w:left w:val="single" w:color="auto" w:sz="4" w:space="0"/>
                    <w:right w:val="single" w:color="auto" w:sz="4" w:space="0"/>
                  </w:tcBorders>
                </w:tcPr>
                <w:p>
                  <w:pPr>
                    <w:adjustRightInd w:val="0"/>
                    <w:snapToGrid w:val="0"/>
                    <w:jc w:val="center"/>
                    <w:rPr>
                      <w:rFonts w:hint="default" w:ascii="Times New Roman" w:hAnsi="Times New Roman" w:eastAsia="宋体" w:cs="Times New Roman"/>
                      <w:sz w:val="21"/>
                      <w:szCs w:val="21"/>
                      <w:highlight w:val="none"/>
                      <w:u w:val="none"/>
                      <w:lang w:val="en-US" w:eastAsia="zh-CN"/>
                    </w:rPr>
                  </w:pPr>
                </w:p>
              </w:tc>
              <w:tc>
                <w:tcPr>
                  <w:tcW w:w="613" w:type="pct"/>
                  <w:vMerge w:val="continue"/>
                  <w:tcBorders>
                    <w:left w:val="single" w:color="auto" w:sz="4" w:space="0"/>
                    <w:right w:val="single" w:color="auto" w:sz="4" w:space="0"/>
                  </w:tcBorders>
                </w:tcPr>
                <w:p>
                  <w:pPr>
                    <w:jc w:val="center"/>
                    <w:rPr>
                      <w:rFonts w:hint="eastAsia" w:cs="Times New Roman"/>
                      <w:sz w:val="21"/>
                      <w:szCs w:val="21"/>
                      <w:highlight w:val="none"/>
                      <w:u w:val="none"/>
                      <w:lang w:val="en-US" w:eastAsia="zh-CN"/>
                    </w:rPr>
                  </w:pPr>
                </w:p>
              </w:tc>
              <w:tc>
                <w:tcPr>
                  <w:tcW w:w="51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lang w:val="en-US" w:eastAsia="zh-CN"/>
                    </w:rPr>
                    <w:t>NOx</w:t>
                  </w:r>
                </w:p>
              </w:tc>
              <w:tc>
                <w:tcPr>
                  <w:tcW w:w="573" w:type="pct"/>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 w:val="21"/>
                      <w:szCs w:val="21"/>
                      <w:u w:val="none"/>
                      <w:lang w:val="en-US" w:eastAsia="zh-CN"/>
                    </w:rPr>
                    <w:t>15.61</w:t>
                  </w:r>
                </w:p>
              </w:tc>
              <w:tc>
                <w:tcPr>
                  <w:tcW w:w="586" w:type="pct"/>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0.1405</w:t>
                  </w:r>
                </w:p>
              </w:tc>
              <w:tc>
                <w:tcPr>
                  <w:tcW w:w="559" w:type="pct"/>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sz w:val="21"/>
                      <w:szCs w:val="21"/>
                      <w:highlight w:val="none"/>
                      <w:u w:val="none"/>
                      <w:lang w:val="en-US" w:eastAsia="zh-CN"/>
                    </w:rPr>
                    <w:t>以1h计</w:t>
                  </w:r>
                </w:p>
              </w:tc>
              <w:tc>
                <w:tcPr>
                  <w:tcW w:w="455" w:type="pct"/>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sz w:val="21"/>
                      <w:szCs w:val="21"/>
                      <w:highlight w:val="none"/>
                      <w:u w:val="none"/>
                      <w:lang w:val="en-US" w:eastAsia="zh-CN"/>
                    </w:rPr>
                    <w:t>1次</w:t>
                  </w:r>
                </w:p>
              </w:tc>
              <w:tc>
                <w:tcPr>
                  <w:tcW w:w="976" w:type="pct"/>
                  <w:vMerge w:val="continue"/>
                  <w:tcBorders>
                    <w:left w:val="single" w:color="auto" w:sz="4" w:space="0"/>
                    <w:right w:val="single" w:color="auto" w:sz="4" w:space="0"/>
                  </w:tcBorders>
                </w:tcPr>
                <w:p>
                  <w:pPr>
                    <w:jc w:val="center"/>
                    <w:rPr>
                      <w:rFonts w:hint="default" w:ascii="Times New Roman" w:hAnsi="Times New Roman" w:eastAsia="宋体" w:cs="Times New Roman"/>
                      <w:sz w:val="21"/>
                      <w:szCs w:val="21"/>
                      <w:highlight w:val="none"/>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15" w:type="pct"/>
                  <w:vMerge w:val="continue"/>
                  <w:tcBorders>
                    <w:left w:val="single" w:color="auto" w:sz="4" w:space="0"/>
                    <w:right w:val="single" w:color="auto" w:sz="4" w:space="0"/>
                  </w:tcBorders>
                </w:tcPr>
                <w:p>
                  <w:pPr>
                    <w:jc w:val="center"/>
                    <w:rPr>
                      <w:rFonts w:hint="eastAsia" w:cs="Times New Roman"/>
                      <w:sz w:val="21"/>
                      <w:szCs w:val="21"/>
                      <w:u w:val="none"/>
                      <w:lang w:val="en-US" w:eastAsia="zh-CN"/>
                    </w:rPr>
                  </w:pPr>
                </w:p>
              </w:tc>
              <w:tc>
                <w:tcPr>
                  <w:tcW w:w="407" w:type="pct"/>
                  <w:vMerge w:val="continue"/>
                  <w:tcBorders>
                    <w:left w:val="single" w:color="auto" w:sz="4" w:space="0"/>
                    <w:right w:val="single" w:color="auto" w:sz="4" w:space="0"/>
                  </w:tcBorders>
                </w:tcPr>
                <w:p>
                  <w:pPr>
                    <w:adjustRightInd w:val="0"/>
                    <w:snapToGrid w:val="0"/>
                    <w:jc w:val="center"/>
                    <w:rPr>
                      <w:rFonts w:hint="default" w:ascii="Times New Roman" w:hAnsi="Times New Roman" w:eastAsia="宋体" w:cs="Times New Roman"/>
                      <w:sz w:val="21"/>
                      <w:szCs w:val="21"/>
                      <w:highlight w:val="none"/>
                      <w:u w:val="none"/>
                      <w:lang w:val="en-US" w:eastAsia="zh-CN"/>
                    </w:rPr>
                  </w:pPr>
                </w:p>
              </w:tc>
              <w:tc>
                <w:tcPr>
                  <w:tcW w:w="613" w:type="pct"/>
                  <w:vMerge w:val="continue"/>
                  <w:tcBorders>
                    <w:left w:val="single" w:color="auto" w:sz="4" w:space="0"/>
                    <w:right w:val="single" w:color="auto" w:sz="4" w:space="0"/>
                  </w:tcBorders>
                </w:tcPr>
                <w:p>
                  <w:pPr>
                    <w:jc w:val="center"/>
                    <w:rPr>
                      <w:rFonts w:hint="eastAsia" w:cs="Times New Roman"/>
                      <w:sz w:val="21"/>
                      <w:szCs w:val="21"/>
                      <w:highlight w:val="none"/>
                      <w:u w:val="none"/>
                      <w:lang w:val="en-US" w:eastAsia="zh-CN"/>
                    </w:rPr>
                  </w:pPr>
                </w:p>
              </w:tc>
              <w:tc>
                <w:tcPr>
                  <w:tcW w:w="51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lang w:val="en-US" w:eastAsia="zh-CN"/>
                    </w:rPr>
                  </w:pPr>
                  <w:r>
                    <w:rPr>
                      <w:rFonts w:hint="eastAsia" w:cs="Times New Roman"/>
                      <w:lang w:val="en-US" w:eastAsia="zh-CN"/>
                    </w:rPr>
                    <w:t>颗粒物</w:t>
                  </w:r>
                </w:p>
              </w:tc>
              <w:tc>
                <w:tcPr>
                  <w:tcW w:w="573" w:type="pct"/>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default" w:ascii="Times New Roman" w:hAnsi="Times New Roman" w:cs="Times New Roman"/>
                      <w:b w:val="0"/>
                      <w:bCs/>
                      <w:sz w:val="21"/>
                      <w:szCs w:val="21"/>
                      <w:u w:val="none"/>
                      <w:lang w:val="en-US" w:eastAsia="zh-CN"/>
                    </w:rPr>
                    <w:t>1.039</w:t>
                  </w:r>
                </w:p>
              </w:tc>
              <w:tc>
                <w:tcPr>
                  <w:tcW w:w="586" w:type="pct"/>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0.009348</w:t>
                  </w:r>
                </w:p>
              </w:tc>
              <w:tc>
                <w:tcPr>
                  <w:tcW w:w="559" w:type="pct"/>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sz w:val="21"/>
                      <w:szCs w:val="21"/>
                      <w:highlight w:val="none"/>
                      <w:u w:val="none"/>
                      <w:lang w:val="en-US" w:eastAsia="zh-CN"/>
                    </w:rPr>
                    <w:t>以1h计</w:t>
                  </w:r>
                </w:p>
              </w:tc>
              <w:tc>
                <w:tcPr>
                  <w:tcW w:w="455" w:type="pct"/>
                  <w:vAlign w:val="center"/>
                </w:tcPr>
                <w:p>
                  <w:pPr>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sz w:val="21"/>
                      <w:szCs w:val="21"/>
                      <w:highlight w:val="none"/>
                      <w:u w:val="none"/>
                      <w:lang w:val="en-US" w:eastAsia="zh-CN"/>
                    </w:rPr>
                    <w:t>1次</w:t>
                  </w:r>
                </w:p>
              </w:tc>
              <w:tc>
                <w:tcPr>
                  <w:tcW w:w="976" w:type="pct"/>
                  <w:vMerge w:val="continue"/>
                  <w:tcBorders>
                    <w:left w:val="single" w:color="auto" w:sz="4" w:space="0"/>
                    <w:right w:val="single" w:color="auto" w:sz="4" w:space="0"/>
                  </w:tcBorders>
                </w:tcPr>
                <w:p>
                  <w:pPr>
                    <w:jc w:val="center"/>
                    <w:rPr>
                      <w:rFonts w:hint="default" w:ascii="Times New Roman" w:hAnsi="Times New Roman" w:eastAsia="宋体" w:cs="Times New Roman"/>
                      <w:sz w:val="21"/>
                      <w:szCs w:val="21"/>
                      <w:highlight w:val="none"/>
                      <w:u w:val="none"/>
                      <w:lang w:val="en-US" w:eastAsia="zh-CN"/>
                    </w:rPr>
                  </w:pPr>
                </w:p>
              </w:tc>
            </w:tr>
          </w:tbl>
          <w:p>
            <w:pPr>
              <w:pStyle w:val="34"/>
              <w:keepNext w:val="0"/>
              <w:keepLines w:val="0"/>
              <w:pageBreakBefore w:val="0"/>
              <w:widowControl w:val="0"/>
              <w:kinsoku/>
              <w:wordWrap/>
              <w:overflowPunct/>
              <w:topLinePunct w:val="0"/>
              <w:bidi w:val="0"/>
              <w:snapToGrid/>
              <w:spacing w:line="360" w:lineRule="auto"/>
              <w:rPr>
                <w:rFonts w:hint="default" w:ascii="Times New Roman" w:hAnsi="Times New Roman" w:eastAsia="宋体" w:cs="Times New Roman"/>
                <w:b w:val="0"/>
                <w:bCs w:val="0"/>
                <w:kern w:val="2"/>
                <w:sz w:val="24"/>
                <w:szCs w:val="24"/>
                <w:u w:val="none"/>
                <w:lang w:val="en-US" w:eastAsia="zh-CN" w:bidi="ar-SA"/>
              </w:rPr>
            </w:pPr>
            <w:r>
              <w:rPr>
                <w:rFonts w:hint="default" w:ascii="Times New Roman" w:hAnsi="Times New Roman" w:eastAsia="宋体" w:cs="Times New Roman"/>
                <w:b w:val="0"/>
                <w:bCs w:val="0"/>
                <w:kern w:val="2"/>
                <w:sz w:val="24"/>
                <w:szCs w:val="24"/>
                <w:u w:val="none"/>
                <w:lang w:val="en-US" w:eastAsia="zh-CN" w:bidi="ar-SA"/>
              </w:rPr>
              <w:t>由表可知，项目一旦废气处理设施发生故障，将不满足环保要求，故项目应加强对设备的日常维护、保养，出现故障立即更换，确保废气得到有效收集，同时也减少废气聚集带来的安全隐患；废气处理设计过程中注重加强气流的组织和引导，确保废气被有效收集，减少短流、绕流及死角现象出现；加强设备的日常维护和检修，出现破损、螺栓、密封条等损坏，立即解决，减少无组织排放；加强废气袋式除尘装置、活性炭吸附浓缩及催化燃烧设施的日常监测，定期更换，及时监控污染物治理效果，发现故障或效率降低立即停产检修，直至排除故障；建立环保设施运行台账。</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none"/>
                <w:lang w:val="en-US" w:eastAsia="zh-CN"/>
              </w:rPr>
            </w:pPr>
            <w:r>
              <w:rPr>
                <w:rFonts w:hint="default" w:ascii="Times New Roman" w:hAnsi="Times New Roman" w:eastAsia="宋体" w:cs="Times New Roman"/>
                <w:b/>
                <w:bCs w:val="0"/>
                <w:sz w:val="24"/>
                <w:szCs w:val="24"/>
                <w:u w:val="none"/>
                <w:lang w:val="en-US" w:eastAsia="zh-CN"/>
              </w:rPr>
              <w:t>废气排放达标总结</w:t>
            </w:r>
          </w:p>
          <w:p>
            <w:pPr>
              <w:pStyle w:val="34"/>
              <w:keepNext w:val="0"/>
              <w:keepLines w:val="0"/>
              <w:pageBreakBefore w:val="0"/>
              <w:widowControl w:val="0"/>
              <w:kinsoku/>
              <w:wordWrap/>
              <w:overflowPunct/>
              <w:topLinePunct w:val="0"/>
              <w:bidi w:val="0"/>
              <w:snapToGrid/>
              <w:spacing w:line="360" w:lineRule="auto"/>
              <w:rPr>
                <w:rFonts w:hint="default" w:ascii="Times New Roman" w:hAnsi="Times New Roman" w:eastAsia="宋体" w:cs="Times New Roman"/>
                <w:b w:val="0"/>
                <w:bCs w:val="0"/>
                <w:kern w:val="2"/>
                <w:sz w:val="24"/>
                <w:szCs w:val="24"/>
                <w:u w:val="none"/>
                <w:lang w:val="en-US" w:eastAsia="zh-CN" w:bidi="ar-SA"/>
              </w:rPr>
            </w:pPr>
            <w:r>
              <w:rPr>
                <w:rFonts w:hint="default" w:ascii="Times New Roman" w:hAnsi="Times New Roman" w:eastAsia="宋体" w:cs="Times New Roman"/>
                <w:b w:val="0"/>
                <w:bCs w:val="0"/>
                <w:kern w:val="2"/>
                <w:sz w:val="24"/>
                <w:szCs w:val="24"/>
                <w:u w:val="none"/>
                <w:lang w:val="en-US" w:eastAsia="zh-CN" w:bidi="ar-SA"/>
              </w:rPr>
              <w:t>本项目运营期间产生废气主要为</w:t>
            </w:r>
            <w:r>
              <w:rPr>
                <w:rFonts w:hint="eastAsia" w:ascii="Times New Roman" w:hAnsi="Times New Roman" w:eastAsia="宋体" w:cs="Times New Roman"/>
                <w:b w:val="0"/>
                <w:bCs w:val="0"/>
                <w:color w:val="auto"/>
                <w:sz w:val="24"/>
                <w:szCs w:val="24"/>
                <w:u w:val="none"/>
                <w:lang w:val="en-US" w:eastAsia="zh-CN"/>
              </w:rPr>
              <w:t>切割</w:t>
            </w:r>
            <w:r>
              <w:rPr>
                <w:rFonts w:hint="eastAsia" w:cs="Times New Roman"/>
                <w:b w:val="0"/>
                <w:bCs w:val="0"/>
                <w:color w:val="auto"/>
                <w:sz w:val="24"/>
                <w:szCs w:val="24"/>
                <w:u w:val="none"/>
                <w:lang w:val="en-US" w:eastAsia="zh-CN"/>
              </w:rPr>
              <w:t>颗粒物</w:t>
            </w:r>
            <w:r>
              <w:rPr>
                <w:rFonts w:hint="eastAsia" w:ascii="Times New Roman" w:hAnsi="Times New Roman" w:eastAsia="宋体" w:cs="Times New Roman"/>
                <w:b w:val="0"/>
                <w:bCs w:val="0"/>
                <w:color w:val="auto"/>
                <w:sz w:val="24"/>
                <w:szCs w:val="24"/>
                <w:u w:val="none"/>
                <w:lang w:val="en-US" w:eastAsia="zh-CN"/>
              </w:rPr>
              <w:t>、焊接</w:t>
            </w:r>
            <w:r>
              <w:rPr>
                <w:rFonts w:hint="eastAsia" w:cs="Times New Roman"/>
                <w:b w:val="0"/>
                <w:bCs w:val="0"/>
                <w:color w:val="auto"/>
                <w:sz w:val="24"/>
                <w:szCs w:val="24"/>
                <w:u w:val="none"/>
                <w:lang w:val="en-US" w:eastAsia="zh-CN"/>
              </w:rPr>
              <w:t>抛光颗粒物</w:t>
            </w:r>
            <w:r>
              <w:rPr>
                <w:rFonts w:hint="eastAsia" w:ascii="Times New Roman" w:hAnsi="Times New Roman" w:eastAsia="宋体" w:cs="Times New Roman"/>
                <w:b w:val="0"/>
                <w:bCs w:val="0"/>
                <w:color w:val="auto"/>
                <w:sz w:val="24"/>
                <w:szCs w:val="24"/>
                <w:u w:val="none"/>
                <w:lang w:val="en-US" w:eastAsia="zh-CN"/>
              </w:rPr>
              <w:t>、喷塑</w:t>
            </w:r>
            <w:r>
              <w:rPr>
                <w:rFonts w:hint="eastAsia" w:cs="Times New Roman"/>
                <w:b w:val="0"/>
                <w:bCs w:val="0"/>
                <w:color w:val="auto"/>
                <w:sz w:val="24"/>
                <w:szCs w:val="24"/>
                <w:u w:val="none"/>
                <w:lang w:val="en-US" w:eastAsia="zh-CN"/>
              </w:rPr>
              <w:t>颗粒物</w:t>
            </w:r>
            <w:r>
              <w:rPr>
                <w:rFonts w:hint="eastAsia" w:ascii="Times New Roman" w:hAnsi="Times New Roman" w:eastAsia="宋体" w:cs="Times New Roman"/>
                <w:b w:val="0"/>
                <w:bCs w:val="0"/>
                <w:color w:val="auto"/>
                <w:sz w:val="24"/>
                <w:szCs w:val="24"/>
                <w:u w:val="none"/>
                <w:lang w:val="en-US" w:eastAsia="zh-CN"/>
              </w:rPr>
              <w:t>及烘</w:t>
            </w:r>
            <w:r>
              <w:rPr>
                <w:rFonts w:hint="eastAsia" w:ascii="Times New Roman" w:hAnsi="Times New Roman" w:cs="Times New Roman"/>
                <w:b w:val="0"/>
                <w:bCs w:val="0"/>
                <w:color w:val="auto"/>
                <w:sz w:val="24"/>
                <w:szCs w:val="24"/>
                <w:u w:val="none"/>
                <w:lang w:val="en-US" w:eastAsia="zh-CN"/>
              </w:rPr>
              <w:t>烤</w:t>
            </w:r>
            <w:r>
              <w:rPr>
                <w:rFonts w:hint="eastAsia" w:ascii="Times New Roman" w:hAnsi="Times New Roman" w:eastAsia="宋体" w:cs="Times New Roman"/>
                <w:b w:val="0"/>
                <w:bCs w:val="0"/>
                <w:color w:val="auto"/>
                <w:sz w:val="24"/>
                <w:szCs w:val="24"/>
                <w:u w:val="none"/>
                <w:lang w:val="en-US" w:eastAsia="zh-CN"/>
              </w:rPr>
              <w:t>废气</w:t>
            </w:r>
            <w:r>
              <w:rPr>
                <w:rFonts w:hint="eastAsia" w:ascii="Times New Roman" w:hAnsi="Times New Roman" w:cs="Times New Roman"/>
                <w:b w:val="0"/>
                <w:bCs w:val="0"/>
                <w:color w:val="auto"/>
                <w:sz w:val="24"/>
                <w:szCs w:val="24"/>
                <w:u w:val="none"/>
                <w:lang w:val="en-US" w:eastAsia="zh-CN"/>
              </w:rPr>
              <w:t>（包含烘烤有机废气和烘烤燃烧废气）</w:t>
            </w:r>
            <w:r>
              <w:rPr>
                <w:rFonts w:hint="default" w:ascii="Times New Roman" w:hAnsi="Times New Roman" w:eastAsia="宋体" w:cs="Times New Roman"/>
                <w:b w:val="0"/>
                <w:bCs w:val="0"/>
                <w:kern w:val="2"/>
                <w:sz w:val="24"/>
                <w:szCs w:val="24"/>
                <w:u w:val="none"/>
                <w:lang w:val="en-US" w:eastAsia="zh-CN" w:bidi="ar-SA"/>
              </w:rPr>
              <w:t>。通过源强计算，本项目运营期间产生的废气经过环保设施处理后均能够达标排放，对周围环境影响较小。</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none"/>
                <w:lang w:val="en-US" w:eastAsia="zh-CN"/>
              </w:rPr>
            </w:pPr>
            <w:r>
              <w:rPr>
                <w:rFonts w:hint="default" w:ascii="Times New Roman" w:hAnsi="Times New Roman" w:eastAsia="宋体" w:cs="Times New Roman"/>
                <w:b/>
                <w:bCs w:val="0"/>
                <w:sz w:val="24"/>
                <w:szCs w:val="24"/>
                <w:u w:val="none"/>
                <w:lang w:val="en-US" w:eastAsia="zh-CN"/>
              </w:rPr>
              <w:t>废气排放口基本情况</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u w:val="none"/>
                <w:lang w:val="en-US" w:eastAsia="zh-CN"/>
              </w:rPr>
            </w:pPr>
            <w:r>
              <w:rPr>
                <w:rFonts w:hint="default" w:ascii="Times New Roman" w:hAnsi="Times New Roman" w:eastAsia="宋体" w:cs="Times New Roman"/>
                <w:b w:val="0"/>
                <w:bCs w:val="0"/>
                <w:color w:val="auto"/>
                <w:sz w:val="24"/>
                <w:u w:val="none"/>
                <w:lang w:val="en-US" w:eastAsia="zh-CN"/>
              </w:rPr>
              <w:t>本项目营运后厂区设置</w:t>
            </w:r>
            <w:r>
              <w:rPr>
                <w:rFonts w:hint="eastAsia" w:cs="Times New Roman"/>
                <w:b w:val="0"/>
                <w:bCs w:val="0"/>
                <w:color w:val="auto"/>
                <w:sz w:val="24"/>
                <w:u w:val="none"/>
                <w:lang w:val="en-US" w:eastAsia="zh-CN"/>
              </w:rPr>
              <w:t>2</w:t>
            </w:r>
            <w:r>
              <w:rPr>
                <w:rFonts w:hint="default" w:ascii="Times New Roman" w:hAnsi="Times New Roman" w:eastAsia="宋体" w:cs="Times New Roman"/>
                <w:b w:val="0"/>
                <w:bCs w:val="0"/>
                <w:color w:val="auto"/>
                <w:sz w:val="24"/>
                <w:u w:val="none"/>
                <w:lang w:val="en-US" w:eastAsia="zh-CN"/>
              </w:rPr>
              <w:t>个废气排放口，为一般排放口，其基本情况见下表：</w:t>
            </w:r>
          </w:p>
          <w:p>
            <w:pPr>
              <w:pStyle w:val="10"/>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bCs/>
                <w:sz w:val="24"/>
                <w:u w:val="none"/>
                <w:lang w:val="en-US" w:eastAsia="zh-CN"/>
              </w:rPr>
            </w:pPr>
            <w:r>
              <w:rPr>
                <w:rFonts w:hint="default" w:ascii="Times New Roman" w:hAnsi="Times New Roman" w:eastAsia="宋体" w:cs="Times New Roman"/>
                <w:b/>
                <w:bCs/>
                <w:sz w:val="24"/>
                <w:u w:val="none"/>
                <w:lang w:val="en-US" w:eastAsia="zh-CN"/>
              </w:rPr>
              <w:t>表</w:t>
            </w:r>
            <w:r>
              <w:rPr>
                <w:rFonts w:hint="default" w:ascii="Times New Roman" w:hAnsi="Times New Roman" w:cs="Times New Roman"/>
                <w:b/>
                <w:bCs/>
                <w:sz w:val="24"/>
                <w:u w:val="none"/>
                <w:lang w:val="en-US" w:eastAsia="zh-CN"/>
              </w:rPr>
              <w:t>4-</w:t>
            </w:r>
            <w:r>
              <w:rPr>
                <w:rFonts w:hint="eastAsia" w:cs="Times New Roman"/>
                <w:b/>
                <w:bCs/>
                <w:sz w:val="24"/>
                <w:u w:val="none"/>
                <w:lang w:val="en-US" w:eastAsia="zh-CN"/>
              </w:rPr>
              <w:t>4</w:t>
            </w:r>
            <w:r>
              <w:rPr>
                <w:rFonts w:hint="default" w:ascii="Times New Roman" w:hAnsi="Times New Roman" w:eastAsia="宋体" w:cs="Times New Roman"/>
                <w:b/>
                <w:bCs/>
                <w:sz w:val="24"/>
                <w:u w:val="none"/>
                <w:lang w:val="en-US" w:eastAsia="zh-CN"/>
              </w:rPr>
              <w:t>本项目废气排放口基本情况</w:t>
            </w:r>
          </w:p>
          <w:tbl>
            <w:tblPr>
              <w:tblStyle w:val="25"/>
              <w:tblW w:w="497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928"/>
              <w:gridCol w:w="1758"/>
              <w:gridCol w:w="946"/>
              <w:gridCol w:w="1222"/>
              <w:gridCol w:w="1135"/>
              <w:gridCol w:w="83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55" w:hRule="atLeast"/>
                <w:jc w:val="center"/>
              </w:trPr>
              <w:tc>
                <w:tcPr>
                  <w:tcW w:w="853"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编号</w:t>
                  </w:r>
                </w:p>
              </w:tc>
              <w:tc>
                <w:tcPr>
                  <w:tcW w:w="1952" w:type="pct"/>
                  <w:gridSpan w:val="2"/>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地理坐标</w:t>
                  </w:r>
                </w:p>
              </w:tc>
              <w:tc>
                <w:tcPr>
                  <w:tcW w:w="501"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排放口类型</w:t>
                  </w:r>
                </w:p>
              </w:tc>
              <w:tc>
                <w:tcPr>
                  <w:tcW w:w="647"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排气筒高度</w:t>
                  </w:r>
                </w:p>
              </w:tc>
              <w:tc>
                <w:tcPr>
                  <w:tcW w:w="601"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排气筒内径</w:t>
                  </w:r>
                </w:p>
              </w:tc>
              <w:tc>
                <w:tcPr>
                  <w:tcW w:w="444"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温度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53"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u w:val="none"/>
                    </w:rPr>
                  </w:pPr>
                </w:p>
              </w:tc>
              <w:tc>
                <w:tcPr>
                  <w:tcW w:w="102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u w:val="none"/>
                      <w:lang w:val="en-US" w:eastAsia="zh-CN"/>
                    </w:rPr>
                  </w:pPr>
                  <w:r>
                    <w:rPr>
                      <w:rFonts w:hint="default" w:ascii="Times New Roman" w:hAnsi="Times New Roman" w:cs="Times New Roman"/>
                      <w:sz w:val="21"/>
                      <w:szCs w:val="21"/>
                      <w:u w:val="none"/>
                      <w:vertAlign w:val="baseline"/>
                      <w:lang w:val="en-US" w:eastAsia="zh-CN"/>
                    </w:rPr>
                    <w:t>X</w:t>
                  </w:r>
                </w:p>
              </w:tc>
              <w:tc>
                <w:tcPr>
                  <w:tcW w:w="93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Y</w:t>
                  </w:r>
                </w:p>
              </w:tc>
              <w:tc>
                <w:tcPr>
                  <w:tcW w:w="5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p>
              </w:tc>
              <w:tc>
                <w:tcPr>
                  <w:tcW w:w="647"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p>
              </w:tc>
              <w:tc>
                <w:tcPr>
                  <w:tcW w:w="6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p>
              </w:tc>
              <w:tc>
                <w:tcPr>
                  <w:tcW w:w="44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DA001（P1）</w:t>
                  </w:r>
                </w:p>
              </w:tc>
              <w:tc>
                <w:tcPr>
                  <w:tcW w:w="102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112.94211388</w:t>
                  </w:r>
                  <w:r>
                    <w:rPr>
                      <w:rFonts w:hint="eastAsia" w:cs="Times New Roman"/>
                      <w:sz w:val="21"/>
                      <w:szCs w:val="21"/>
                      <w:u w:val="none"/>
                      <w:vertAlign w:val="baseline"/>
                      <w:lang w:val="en-US" w:eastAsia="zh-CN"/>
                    </w:rPr>
                    <w:t>°</w:t>
                  </w:r>
                </w:p>
              </w:tc>
              <w:tc>
                <w:tcPr>
                  <w:tcW w:w="93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33.79559885</w:t>
                  </w:r>
                  <w:r>
                    <w:rPr>
                      <w:rFonts w:hint="eastAsia" w:cs="Times New Roman"/>
                      <w:sz w:val="21"/>
                      <w:szCs w:val="21"/>
                      <w:u w:val="none"/>
                      <w:vertAlign w:val="baseline"/>
                      <w:lang w:val="en-US" w:eastAsia="zh-CN"/>
                    </w:rPr>
                    <w:t>°</w:t>
                  </w:r>
                </w:p>
              </w:tc>
              <w:tc>
                <w:tcPr>
                  <w:tcW w:w="501"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一般排放口</w:t>
                  </w:r>
                </w:p>
              </w:tc>
              <w:tc>
                <w:tcPr>
                  <w:tcW w:w="647"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eastAsia" w:cs="Times New Roman"/>
                      <w:sz w:val="21"/>
                      <w:szCs w:val="21"/>
                      <w:u w:val="none"/>
                      <w:vertAlign w:val="baseline"/>
                      <w:lang w:val="en-US" w:eastAsia="zh-CN"/>
                    </w:rPr>
                    <w:t>15</w:t>
                  </w:r>
                  <w:r>
                    <w:rPr>
                      <w:rFonts w:hint="default" w:ascii="Times New Roman" w:hAnsi="Times New Roman" w:cs="Times New Roman"/>
                      <w:sz w:val="21"/>
                      <w:szCs w:val="21"/>
                      <w:u w:val="none"/>
                      <w:vertAlign w:val="baseline"/>
                      <w:lang w:val="en-US" w:eastAsia="zh-CN"/>
                    </w:rPr>
                    <w:t>m</w:t>
                  </w:r>
                </w:p>
              </w:tc>
              <w:tc>
                <w:tcPr>
                  <w:tcW w:w="60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0.4m</w:t>
                  </w:r>
                </w:p>
              </w:tc>
              <w:tc>
                <w:tcPr>
                  <w:tcW w:w="444"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25℃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0"/>
                      <w:sz w:val="21"/>
                      <w:szCs w:val="21"/>
                      <w:u w:val="none"/>
                      <w:vertAlign w:val="baseline"/>
                      <w:lang w:val="en-US" w:eastAsia="zh-CN" w:bidi="ar-SA"/>
                    </w:rPr>
                  </w:pPr>
                  <w:r>
                    <w:rPr>
                      <w:rFonts w:hint="default" w:ascii="Times New Roman" w:hAnsi="Times New Roman" w:cs="Times New Roman"/>
                      <w:sz w:val="21"/>
                      <w:szCs w:val="21"/>
                      <w:u w:val="none"/>
                      <w:vertAlign w:val="baseline"/>
                      <w:lang w:val="en-US" w:eastAsia="zh-CN"/>
                    </w:rPr>
                    <w:t>DA002（P2）</w:t>
                  </w:r>
                </w:p>
              </w:tc>
              <w:tc>
                <w:tcPr>
                  <w:tcW w:w="102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112.94206828</w:t>
                  </w:r>
                  <w:r>
                    <w:rPr>
                      <w:rFonts w:hint="eastAsia" w:cs="Times New Roman"/>
                      <w:sz w:val="21"/>
                      <w:szCs w:val="21"/>
                      <w:u w:val="none"/>
                      <w:vertAlign w:val="baseline"/>
                      <w:lang w:val="en-US" w:eastAsia="zh-CN"/>
                    </w:rPr>
                    <w:t>°</w:t>
                  </w:r>
                </w:p>
              </w:tc>
              <w:tc>
                <w:tcPr>
                  <w:tcW w:w="93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33.79558993</w:t>
                  </w:r>
                  <w:r>
                    <w:rPr>
                      <w:rFonts w:hint="eastAsia" w:cs="Times New Roman"/>
                      <w:sz w:val="21"/>
                      <w:szCs w:val="21"/>
                      <w:u w:val="none"/>
                      <w:vertAlign w:val="baseline"/>
                      <w:lang w:val="en-US" w:eastAsia="zh-CN"/>
                    </w:rPr>
                    <w:t>°</w:t>
                  </w:r>
                </w:p>
              </w:tc>
              <w:tc>
                <w:tcPr>
                  <w:tcW w:w="5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p>
              </w:tc>
              <w:tc>
                <w:tcPr>
                  <w:tcW w:w="647"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eastAsia" w:cs="Times New Roman"/>
                      <w:sz w:val="21"/>
                      <w:szCs w:val="21"/>
                      <w:u w:val="none"/>
                      <w:vertAlign w:val="baseline"/>
                      <w:lang w:val="en-US" w:eastAsia="zh-CN"/>
                    </w:rPr>
                    <w:t>15</w:t>
                  </w:r>
                  <w:r>
                    <w:rPr>
                      <w:rFonts w:hint="default" w:ascii="Times New Roman" w:hAnsi="Times New Roman" w:cs="Times New Roman"/>
                      <w:sz w:val="21"/>
                      <w:szCs w:val="21"/>
                      <w:u w:val="none"/>
                      <w:vertAlign w:val="baseline"/>
                      <w:lang w:val="en-US" w:eastAsia="zh-CN"/>
                    </w:rPr>
                    <w:t>m</w:t>
                  </w:r>
                </w:p>
              </w:tc>
              <w:tc>
                <w:tcPr>
                  <w:tcW w:w="60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0.4m</w:t>
                  </w:r>
                </w:p>
              </w:tc>
              <w:tc>
                <w:tcPr>
                  <w:tcW w:w="444"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0"/>
                      <w:sz w:val="21"/>
                      <w:szCs w:val="21"/>
                      <w:u w:val="none"/>
                      <w:vertAlign w:val="baseline"/>
                      <w:lang w:val="en-US" w:eastAsia="zh-CN" w:bidi="ar-SA"/>
                    </w:rPr>
                  </w:pPr>
                  <w:r>
                    <w:rPr>
                      <w:rFonts w:hint="eastAsia" w:cs="Times New Roman"/>
                      <w:sz w:val="21"/>
                      <w:szCs w:val="21"/>
                      <w:u w:val="none"/>
                      <w:vertAlign w:val="baseline"/>
                      <w:lang w:val="en-US" w:eastAsia="zh-CN"/>
                    </w:rPr>
                    <w:t>90</w:t>
                  </w:r>
                  <w:r>
                    <w:rPr>
                      <w:rFonts w:hint="default" w:ascii="Times New Roman" w:hAnsi="Times New Roman" w:cs="Times New Roman"/>
                      <w:sz w:val="21"/>
                      <w:szCs w:val="21"/>
                      <w:u w:val="none"/>
                      <w:vertAlign w:val="baseline"/>
                      <w:lang w:val="en-US" w:eastAsia="zh-CN"/>
                    </w:rPr>
                    <w:t>℃</w:t>
                  </w:r>
                </w:p>
              </w:tc>
            </w:tr>
          </w:tbl>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none"/>
                <w:lang w:val="en-US" w:eastAsia="zh-CN"/>
              </w:rPr>
            </w:pPr>
            <w:r>
              <w:rPr>
                <w:rFonts w:hint="default" w:ascii="Times New Roman" w:hAnsi="Times New Roman" w:eastAsia="宋体" w:cs="Times New Roman"/>
                <w:b/>
                <w:bCs w:val="0"/>
                <w:sz w:val="24"/>
                <w:szCs w:val="24"/>
                <w:u w:val="none"/>
                <w:lang w:val="en-US" w:eastAsia="zh-CN"/>
              </w:rPr>
              <w:t>监测要求</w:t>
            </w:r>
          </w:p>
          <w:p>
            <w:pPr>
              <w:pStyle w:val="10"/>
              <w:keepNext w:val="0"/>
              <w:keepLines w:val="0"/>
              <w:pageBreakBefore w:val="0"/>
              <w:widowControl/>
              <w:numPr>
                <w:ilvl w:val="0"/>
                <w:numId w:val="0"/>
              </w:numPr>
              <w:kinsoku/>
              <w:wordWrap/>
              <w:overflowPunct/>
              <w:topLinePunct w:val="0"/>
              <w:autoSpaceDE/>
              <w:autoSpaceDN/>
              <w:bidi w:val="0"/>
              <w:adjustRightInd/>
              <w:snapToGrid w:val="0"/>
              <w:ind w:right="0" w:rightChars="0" w:firstLine="48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根据参考《排污许可证申请与核发技术规范总则》（HJ942-2018）</w:t>
            </w:r>
            <w:r>
              <w:rPr>
                <w:rFonts w:hint="eastAsia" w:cs="Times New Roman"/>
                <w:u w:val="none"/>
                <w:lang w:val="en-US" w:eastAsia="zh-CN"/>
              </w:rPr>
              <w:t>、《排污许可证申请与核发技术规范 工业炉窑》（HJ1121—2020）</w:t>
            </w:r>
            <w:r>
              <w:rPr>
                <w:rFonts w:hint="default" w:ascii="Times New Roman" w:hAnsi="Times New Roman" w:cs="Times New Roman"/>
                <w:u w:val="none"/>
                <w:lang w:val="en-US" w:eastAsia="zh-CN"/>
              </w:rPr>
              <w:t>以及</w:t>
            </w:r>
            <w:r>
              <w:rPr>
                <w:rFonts w:hint="default" w:ascii="Times New Roman" w:hAnsi="Times New Roman" w:cs="Times New Roman"/>
                <w:sz w:val="24"/>
                <w:szCs w:val="24"/>
                <w:u w:val="none"/>
                <w:lang w:val="en-US" w:eastAsia="zh-CN"/>
              </w:rPr>
              <w:t>《排污单位自行监测技术指南 总则》（HJ</w:t>
            </w:r>
            <w:r>
              <w:rPr>
                <w:rFonts w:hint="eastAsia" w:cs="Times New Roman"/>
                <w:sz w:val="24"/>
                <w:szCs w:val="24"/>
                <w:u w:val="none"/>
                <w:lang w:val="en-US" w:eastAsia="zh-CN"/>
              </w:rPr>
              <w:t>819</w:t>
            </w:r>
            <w:r>
              <w:rPr>
                <w:rFonts w:hint="default" w:ascii="Times New Roman" w:hAnsi="Times New Roman" w:cs="Times New Roman"/>
                <w:sz w:val="24"/>
                <w:szCs w:val="24"/>
                <w:u w:val="none"/>
                <w:lang w:val="en-US" w:eastAsia="zh-CN"/>
              </w:rPr>
              <w:t>—201</w:t>
            </w:r>
            <w:r>
              <w:rPr>
                <w:rFonts w:hint="eastAsia" w:cs="Times New Roman"/>
                <w:sz w:val="24"/>
                <w:szCs w:val="24"/>
                <w:u w:val="none"/>
                <w:lang w:val="en-US" w:eastAsia="zh-CN"/>
              </w:rPr>
              <w:t>7</w:t>
            </w:r>
            <w:r>
              <w:rPr>
                <w:rFonts w:hint="default" w:ascii="Times New Roman" w:hAnsi="Times New Roman" w:cs="Times New Roman"/>
                <w:sz w:val="24"/>
                <w:szCs w:val="24"/>
                <w:u w:val="none"/>
                <w:lang w:val="en-US" w:eastAsia="zh-CN"/>
              </w:rPr>
              <w:t>）</w:t>
            </w:r>
            <w:r>
              <w:rPr>
                <w:rFonts w:hint="default" w:ascii="Times New Roman" w:hAnsi="Times New Roman" w:cs="Times New Roman"/>
                <w:u w:val="none"/>
                <w:lang w:val="en-US" w:eastAsia="zh-CN"/>
              </w:rPr>
              <w:t>中自行监测要求，本项目有组织和无组织废气排放监测要求见下表</w:t>
            </w:r>
          </w:p>
          <w:p>
            <w:pPr>
              <w:pStyle w:val="10"/>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bCs/>
                <w:sz w:val="24"/>
                <w:u w:val="none"/>
                <w:lang w:val="en-US" w:eastAsia="zh-CN"/>
              </w:rPr>
            </w:pPr>
            <w:r>
              <w:rPr>
                <w:rFonts w:hint="default" w:ascii="Times New Roman" w:hAnsi="Times New Roman" w:eastAsia="宋体" w:cs="Times New Roman"/>
                <w:b/>
                <w:bCs/>
                <w:sz w:val="24"/>
                <w:u w:val="none"/>
                <w:lang w:val="en-US" w:eastAsia="zh-CN"/>
              </w:rPr>
              <w:t>表</w:t>
            </w:r>
            <w:r>
              <w:rPr>
                <w:rFonts w:hint="default" w:ascii="Times New Roman" w:hAnsi="Times New Roman" w:cs="Times New Roman"/>
                <w:b/>
                <w:bCs/>
                <w:sz w:val="24"/>
                <w:u w:val="none"/>
                <w:lang w:val="en-US" w:eastAsia="zh-CN"/>
              </w:rPr>
              <w:t>4-</w:t>
            </w:r>
            <w:r>
              <w:rPr>
                <w:rFonts w:hint="eastAsia" w:cs="Times New Roman"/>
                <w:b/>
                <w:bCs/>
                <w:sz w:val="24"/>
                <w:u w:val="none"/>
                <w:lang w:val="en-US" w:eastAsia="zh-CN"/>
              </w:rPr>
              <w:t>5</w:t>
            </w:r>
            <w:r>
              <w:rPr>
                <w:rFonts w:hint="default" w:ascii="Times New Roman" w:hAnsi="Times New Roman" w:eastAsia="宋体" w:cs="Times New Roman"/>
                <w:b/>
                <w:bCs/>
                <w:sz w:val="24"/>
                <w:u w:val="none"/>
                <w:lang w:val="en-US" w:eastAsia="zh-CN"/>
              </w:rPr>
              <w:t>废气</w:t>
            </w:r>
            <w:r>
              <w:rPr>
                <w:rFonts w:hint="default" w:ascii="Times New Roman" w:hAnsi="Times New Roman" w:cs="Times New Roman"/>
                <w:b/>
                <w:bCs/>
                <w:sz w:val="24"/>
                <w:u w:val="none"/>
                <w:lang w:val="en-US" w:eastAsia="zh-CN"/>
              </w:rPr>
              <w:t>（有组织和无组织）</w:t>
            </w:r>
            <w:r>
              <w:rPr>
                <w:rFonts w:hint="default" w:ascii="Times New Roman" w:hAnsi="Times New Roman" w:eastAsia="宋体" w:cs="Times New Roman"/>
                <w:b/>
                <w:bCs/>
                <w:sz w:val="24"/>
                <w:u w:val="none"/>
                <w:lang w:val="en-US" w:eastAsia="zh-CN"/>
              </w:rPr>
              <w:t>排放监测指标及最低监测频次</w:t>
            </w:r>
          </w:p>
          <w:tbl>
            <w:tblPr>
              <w:tblStyle w:val="25"/>
              <w:tblW w:w="4972"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198"/>
              <w:gridCol w:w="1707"/>
              <w:gridCol w:w="528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658"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监测点位</w:t>
                  </w:r>
                </w:p>
              </w:tc>
              <w:tc>
                <w:tcPr>
                  <w:tcW w:w="63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监测指标</w:t>
                  </w:r>
                </w:p>
              </w:tc>
              <w:tc>
                <w:tcPr>
                  <w:tcW w:w="90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监测频次</w:t>
                  </w:r>
                </w:p>
              </w:tc>
              <w:tc>
                <w:tcPr>
                  <w:tcW w:w="2800"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eastAsia" w:cs="Times New Roman"/>
                      <w:sz w:val="21"/>
                      <w:szCs w:val="21"/>
                      <w:u w:val="none"/>
                      <w:vertAlign w:val="baseline"/>
                      <w:lang w:val="en-US" w:eastAsia="zh-CN"/>
                    </w:rPr>
                    <w:t>执行标准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58"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DA001（P1）排放口</w:t>
                  </w:r>
                </w:p>
              </w:tc>
              <w:tc>
                <w:tcPr>
                  <w:tcW w:w="63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eastAsia" w:cs="Times New Roman"/>
                      <w:sz w:val="21"/>
                      <w:szCs w:val="21"/>
                      <w:u w:val="none"/>
                      <w:vertAlign w:val="baseline"/>
                      <w:lang w:val="en-US" w:eastAsia="zh-CN"/>
                    </w:rPr>
                    <w:t>颗粒物</w:t>
                  </w:r>
                </w:p>
              </w:tc>
              <w:tc>
                <w:tcPr>
                  <w:tcW w:w="90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每</w:t>
                  </w:r>
                  <w:r>
                    <w:rPr>
                      <w:rFonts w:hint="eastAsia" w:cs="Times New Roman"/>
                      <w:sz w:val="21"/>
                      <w:szCs w:val="21"/>
                      <w:u w:val="none"/>
                      <w:vertAlign w:val="baseline"/>
                      <w:lang w:val="en-US" w:eastAsia="zh-CN"/>
                    </w:rPr>
                    <w:t>年</w:t>
                  </w:r>
                  <w:r>
                    <w:rPr>
                      <w:rFonts w:hint="default" w:ascii="Times New Roman" w:hAnsi="Times New Roman" w:cs="Times New Roman"/>
                      <w:sz w:val="21"/>
                      <w:szCs w:val="21"/>
                      <w:u w:val="none"/>
                      <w:vertAlign w:val="baseline"/>
                      <w:lang w:val="en-US" w:eastAsia="zh-CN"/>
                    </w:rPr>
                    <w:t>监测一次</w:t>
                  </w:r>
                </w:p>
              </w:tc>
              <w:tc>
                <w:tcPr>
                  <w:tcW w:w="2800"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《河南省重污染天气通用行业应急减排措施制定技术指南（2021年修订版）》涉锅炉/炉窑企业A级</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其他工序排放要求（颗粒物有组织排放浓度≤10mg/m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cs="Times New Roman"/>
                      <w:color w:val="auto"/>
                      <w:sz w:val="21"/>
                      <w:szCs w:val="21"/>
                      <w:lang w:val="en-US" w:eastAsia="zh-CN"/>
                    </w:rPr>
                    <w:t>和《大气污染物综合排放标准》（GB16297-1996）相关限值要求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58"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DA002（P2）排放口</w:t>
                  </w:r>
                </w:p>
              </w:tc>
              <w:tc>
                <w:tcPr>
                  <w:tcW w:w="63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非甲烷总烃</w:t>
                  </w:r>
                </w:p>
              </w:tc>
              <w:tc>
                <w:tcPr>
                  <w:tcW w:w="90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每</w:t>
                  </w:r>
                  <w:r>
                    <w:rPr>
                      <w:rFonts w:hint="eastAsia" w:cs="Times New Roman"/>
                      <w:sz w:val="21"/>
                      <w:szCs w:val="21"/>
                      <w:u w:val="none"/>
                      <w:vertAlign w:val="baseline"/>
                      <w:lang w:val="en-US" w:eastAsia="zh-CN"/>
                    </w:rPr>
                    <w:t>年</w:t>
                  </w:r>
                  <w:r>
                    <w:rPr>
                      <w:rFonts w:hint="default" w:ascii="Times New Roman" w:hAnsi="Times New Roman" w:cs="Times New Roman"/>
                      <w:sz w:val="21"/>
                      <w:szCs w:val="21"/>
                      <w:u w:val="none"/>
                      <w:vertAlign w:val="baseline"/>
                      <w:lang w:val="en-US" w:eastAsia="zh-CN"/>
                    </w:rPr>
                    <w:t>监测一次</w:t>
                  </w:r>
                </w:p>
              </w:tc>
              <w:tc>
                <w:tcPr>
                  <w:tcW w:w="2800"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eastAsia="宋体" w:cs="Times New Roman"/>
                      <w:color w:val="auto"/>
                      <w:sz w:val="21"/>
                      <w:szCs w:val="21"/>
                      <w:lang w:val="zh-CN" w:eastAsia="zh-CN"/>
                    </w:rPr>
                    <w:t>《工业涂装工序挥发性有机物排放标准》（DB41/1951-2020）</w:t>
                  </w:r>
                  <w:r>
                    <w:rPr>
                      <w:rFonts w:hint="eastAsia" w:ascii="Times New Roman" w:hAnsi="Times New Roman" w:cs="Times New Roman"/>
                      <w:color w:val="auto"/>
                      <w:sz w:val="21"/>
                      <w:szCs w:val="21"/>
                      <w:lang w:val="en-US" w:eastAsia="zh-CN"/>
                    </w:rPr>
                    <w:t>和《大气污染物综合排放标准》（GB16297-1996）相关限值要求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58"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z w:val="21"/>
                      <w:szCs w:val="21"/>
                      <w:u w:val="none"/>
                      <w:vertAlign w:val="baseline"/>
                      <w:lang w:val="en-US" w:eastAsia="zh-CN"/>
                    </w:rPr>
                  </w:pPr>
                </w:p>
              </w:tc>
              <w:tc>
                <w:tcPr>
                  <w:tcW w:w="63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SO</w:t>
                  </w:r>
                  <w:r>
                    <w:rPr>
                      <w:rFonts w:hint="eastAsia" w:cs="Times New Roman"/>
                      <w:color w:val="auto"/>
                      <w:sz w:val="21"/>
                      <w:szCs w:val="21"/>
                      <w:u w:val="none"/>
                      <w:vertAlign w:val="subscript"/>
                      <w:lang w:val="en-US" w:eastAsia="zh-CN"/>
                    </w:rPr>
                    <w:t>2</w:t>
                  </w:r>
                </w:p>
              </w:tc>
              <w:tc>
                <w:tcPr>
                  <w:tcW w:w="90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每</w:t>
                  </w:r>
                  <w:r>
                    <w:rPr>
                      <w:rFonts w:hint="eastAsia" w:cs="Times New Roman"/>
                      <w:sz w:val="21"/>
                      <w:szCs w:val="21"/>
                      <w:u w:val="none"/>
                      <w:vertAlign w:val="baseline"/>
                      <w:lang w:val="en-US" w:eastAsia="zh-CN"/>
                    </w:rPr>
                    <w:t>年</w:t>
                  </w:r>
                  <w:r>
                    <w:rPr>
                      <w:rFonts w:hint="default" w:ascii="Times New Roman" w:hAnsi="Times New Roman" w:cs="Times New Roman"/>
                      <w:sz w:val="21"/>
                      <w:szCs w:val="21"/>
                      <w:u w:val="none"/>
                      <w:vertAlign w:val="baseline"/>
                      <w:lang w:val="en-US" w:eastAsia="zh-CN"/>
                    </w:rPr>
                    <w:t>监测一次</w:t>
                  </w:r>
                </w:p>
              </w:tc>
              <w:tc>
                <w:tcPr>
                  <w:tcW w:w="2800"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《河南省重污染天气通用行业应急减排措施制定技术指南（2021年修订版）》涉锅炉/炉窑企业A级</w:t>
                  </w:r>
                  <w:r>
                    <w:rPr>
                      <w:rFonts w:hint="eastAsia" w:ascii="Times New Roman" w:hAnsi="Times New Roman" w:cs="Times New Roman"/>
                      <w:b w:val="0"/>
                      <w:bCs w:val="0"/>
                      <w:color w:val="auto"/>
                      <w:sz w:val="21"/>
                      <w:szCs w:val="21"/>
                      <w:highlight w:val="none"/>
                      <w:lang w:val="en-US" w:eastAsia="zh-CN"/>
                    </w:rPr>
                    <w:t>相关限值要求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58"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z w:val="21"/>
                      <w:szCs w:val="21"/>
                      <w:u w:val="none"/>
                      <w:vertAlign w:val="baseline"/>
                      <w:lang w:val="en-US" w:eastAsia="zh-CN"/>
                    </w:rPr>
                  </w:pPr>
                </w:p>
              </w:tc>
              <w:tc>
                <w:tcPr>
                  <w:tcW w:w="63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NOx</w:t>
                  </w:r>
                </w:p>
              </w:tc>
              <w:tc>
                <w:tcPr>
                  <w:tcW w:w="90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每</w:t>
                  </w:r>
                  <w:r>
                    <w:rPr>
                      <w:rFonts w:hint="eastAsia" w:cs="Times New Roman"/>
                      <w:sz w:val="21"/>
                      <w:szCs w:val="21"/>
                      <w:u w:val="none"/>
                      <w:vertAlign w:val="baseline"/>
                      <w:lang w:val="en-US" w:eastAsia="zh-CN"/>
                    </w:rPr>
                    <w:t>年</w:t>
                  </w:r>
                  <w:r>
                    <w:rPr>
                      <w:rFonts w:hint="default" w:ascii="Times New Roman" w:hAnsi="Times New Roman" w:cs="Times New Roman"/>
                      <w:sz w:val="21"/>
                      <w:szCs w:val="21"/>
                      <w:u w:val="none"/>
                      <w:vertAlign w:val="baseline"/>
                      <w:lang w:val="en-US" w:eastAsia="zh-CN"/>
                    </w:rPr>
                    <w:t>监测一次</w:t>
                  </w:r>
                </w:p>
              </w:tc>
              <w:tc>
                <w:tcPr>
                  <w:tcW w:w="2800"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z w:val="21"/>
                      <w:szCs w:val="21"/>
                      <w:u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8"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厂界</w:t>
                  </w:r>
                </w:p>
              </w:tc>
              <w:tc>
                <w:tcPr>
                  <w:tcW w:w="63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颗粒物</w:t>
                  </w:r>
                </w:p>
              </w:tc>
              <w:tc>
                <w:tcPr>
                  <w:tcW w:w="90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每</w:t>
                  </w:r>
                  <w:r>
                    <w:rPr>
                      <w:rFonts w:hint="eastAsia" w:cs="Times New Roman"/>
                      <w:sz w:val="21"/>
                      <w:szCs w:val="21"/>
                      <w:u w:val="none"/>
                      <w:vertAlign w:val="baseline"/>
                      <w:lang w:val="en-US" w:eastAsia="zh-CN"/>
                    </w:rPr>
                    <w:t>年</w:t>
                  </w:r>
                  <w:r>
                    <w:rPr>
                      <w:rFonts w:hint="default" w:ascii="Times New Roman" w:hAnsi="Times New Roman" w:cs="Times New Roman"/>
                      <w:sz w:val="21"/>
                      <w:szCs w:val="21"/>
                      <w:u w:val="none"/>
                      <w:vertAlign w:val="baseline"/>
                      <w:lang w:val="en-US" w:eastAsia="zh-CN"/>
                    </w:rPr>
                    <w:t>监测一次</w:t>
                  </w:r>
                </w:p>
              </w:tc>
              <w:tc>
                <w:tcPr>
                  <w:tcW w:w="2800"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《大气污染物综合排放标准》（GB16297-1996）</w:t>
                  </w:r>
                  <w:r>
                    <w:rPr>
                      <w:rFonts w:hint="eastAsia" w:cs="Times New Roman"/>
                      <w:sz w:val="21"/>
                      <w:szCs w:val="21"/>
                      <w:u w:val="none"/>
                      <w:vertAlign w:val="baseline"/>
                      <w:lang w:val="en-US" w:eastAsia="zh-CN"/>
                    </w:rPr>
                    <w:t>相关限值要求</w:t>
                  </w:r>
                  <w:r>
                    <w:rPr>
                      <w:rFonts w:hint="default" w:ascii="Times New Roman" w:hAnsi="Times New Roman" w:cs="Times New Roman"/>
                      <w:sz w:val="21"/>
                      <w:szCs w:val="21"/>
                      <w:u w:val="none"/>
                      <w:vertAlign w:val="baseline"/>
                      <w:lang w:val="en-US" w:eastAsia="zh-CN"/>
                    </w:rPr>
                    <w:t>（15m高排气筒）</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8"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pPr>
                </w:p>
              </w:tc>
              <w:tc>
                <w:tcPr>
                  <w:tcW w:w="63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非甲烷总烃</w:t>
                  </w:r>
                </w:p>
              </w:tc>
              <w:tc>
                <w:tcPr>
                  <w:tcW w:w="905"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每</w:t>
                  </w:r>
                  <w:r>
                    <w:rPr>
                      <w:rFonts w:hint="eastAsia" w:cs="Times New Roman"/>
                      <w:sz w:val="21"/>
                      <w:szCs w:val="21"/>
                      <w:u w:val="none"/>
                      <w:vertAlign w:val="baseline"/>
                      <w:lang w:val="en-US" w:eastAsia="zh-CN"/>
                    </w:rPr>
                    <w:t>年</w:t>
                  </w:r>
                  <w:r>
                    <w:rPr>
                      <w:rFonts w:hint="default" w:ascii="Times New Roman" w:hAnsi="Times New Roman" w:cs="Times New Roman"/>
                      <w:sz w:val="21"/>
                      <w:szCs w:val="21"/>
                      <w:u w:val="none"/>
                      <w:vertAlign w:val="baseline"/>
                      <w:lang w:val="en-US" w:eastAsia="zh-CN"/>
                    </w:rPr>
                    <w:t>监测一次</w:t>
                  </w:r>
                </w:p>
              </w:tc>
              <w:tc>
                <w:tcPr>
                  <w:tcW w:w="2800"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《关于全省开展工业企业挥发性有机物专项治理工作中排放建议值的通知》（豫环攻坚办〔2017〕162号）</w:t>
                  </w:r>
                  <w:r>
                    <w:rPr>
                      <w:rFonts w:hint="eastAsia" w:cs="Times New Roman"/>
                      <w:color w:val="auto"/>
                      <w:sz w:val="21"/>
                      <w:szCs w:val="21"/>
                      <w:u w:val="none"/>
                      <w:vertAlign w:val="baseline"/>
                      <w:lang w:val="en-US" w:eastAsia="zh-CN"/>
                    </w:rPr>
                    <w:t>和《工业涂装工序挥发性有机物排放标准》（DB41/1951-2020）相关限值要求</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4"/>
                <w:u w:val="none"/>
                <w:lang w:val="en-US" w:eastAsia="zh-CN"/>
              </w:rPr>
            </w:pPr>
            <w:r>
              <w:rPr>
                <w:rFonts w:hint="default" w:ascii="Times New Roman" w:hAnsi="Times New Roman" w:cs="Times New Roman"/>
                <w:b/>
                <w:sz w:val="24"/>
                <w:u w:val="none"/>
                <w:lang w:val="en-US" w:eastAsia="zh-CN"/>
              </w:rPr>
              <w:t>2、地表水环境影响和保护措施</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none"/>
                <w:lang w:val="en-US" w:eastAsia="zh-CN"/>
              </w:rPr>
            </w:pPr>
            <w:r>
              <w:rPr>
                <w:rFonts w:hint="default" w:ascii="Times New Roman" w:hAnsi="Times New Roman" w:cs="Times New Roman"/>
                <w:b/>
                <w:bCs w:val="0"/>
                <w:sz w:val="24"/>
                <w:szCs w:val="24"/>
                <w:u w:val="none"/>
                <w:lang w:val="en-US" w:eastAsia="zh-CN"/>
              </w:rPr>
              <w:t>废水源强计算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u w:val="none"/>
                <w:lang w:val="en-US" w:eastAsia="zh-CN"/>
              </w:rPr>
            </w:pPr>
            <w:r>
              <w:rPr>
                <w:rFonts w:hint="eastAsia" w:cs="Times New Roman"/>
                <w:b w:val="0"/>
                <w:bCs w:val="0"/>
                <w:color w:val="auto"/>
                <w:sz w:val="24"/>
                <w:u w:val="none"/>
                <w:lang w:val="en-US" w:eastAsia="zh-CN"/>
              </w:rPr>
              <w:t>本</w:t>
            </w:r>
            <w:r>
              <w:rPr>
                <w:rFonts w:hint="default" w:ascii="Times New Roman" w:hAnsi="Times New Roman" w:eastAsia="宋体" w:cs="Times New Roman"/>
                <w:b w:val="0"/>
                <w:bCs w:val="0"/>
                <w:color w:val="auto"/>
                <w:sz w:val="24"/>
                <w:u w:val="none"/>
                <w:lang w:val="en-US" w:eastAsia="zh-CN"/>
              </w:rPr>
              <w:t>项目产生的废水主要</w:t>
            </w:r>
            <w:r>
              <w:rPr>
                <w:rFonts w:hint="eastAsia" w:cs="Times New Roman"/>
                <w:b w:val="0"/>
                <w:bCs w:val="0"/>
                <w:color w:val="auto"/>
                <w:sz w:val="24"/>
                <w:u w:val="none"/>
                <w:lang w:val="en-US" w:eastAsia="zh-CN"/>
              </w:rPr>
              <w:t>为</w:t>
            </w:r>
            <w:r>
              <w:rPr>
                <w:rFonts w:hint="default" w:ascii="Times New Roman" w:hAnsi="Times New Roman" w:eastAsia="宋体" w:cs="Times New Roman"/>
                <w:b w:val="0"/>
                <w:bCs w:val="0"/>
                <w:color w:val="auto"/>
                <w:sz w:val="24"/>
                <w:u w:val="none"/>
                <w:lang w:val="en-US" w:eastAsia="zh-CN"/>
              </w:rPr>
              <w:t>生活污水。</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rPr>
            </w:pPr>
            <w:r>
              <w:rPr>
                <w:rFonts w:hint="default" w:ascii="Times New Roman" w:hAnsi="Times New Roman" w:cs="Times New Roman"/>
                <w:b/>
                <w:bCs/>
                <w:color w:val="auto"/>
                <w:lang w:eastAsia="zh-CN"/>
              </w:rPr>
              <w:t>（</w:t>
            </w:r>
            <w:r>
              <w:rPr>
                <w:rFonts w:hint="eastAsia" w:cs="Times New Roman"/>
                <w:b/>
                <w:bCs/>
                <w:color w:val="auto"/>
                <w:lang w:val="en-US" w:eastAsia="zh-CN"/>
              </w:rPr>
              <w:t>1</w:t>
            </w:r>
            <w:r>
              <w:rPr>
                <w:rFonts w:hint="default" w:ascii="Times New Roman" w:hAnsi="Times New Roman" w:cs="Times New Roman"/>
                <w:b/>
                <w:bCs/>
                <w:color w:val="auto"/>
                <w:lang w:eastAsia="zh-CN"/>
              </w:rPr>
              <w:t>）</w:t>
            </w:r>
            <w:r>
              <w:rPr>
                <w:rFonts w:hint="default" w:ascii="Times New Roman" w:hAnsi="Times New Roman" w:eastAsia="宋体" w:cs="Times New Roman"/>
                <w:b/>
                <w:bCs/>
                <w:color w:val="auto"/>
              </w:rPr>
              <w:t>生活用水</w:t>
            </w:r>
          </w:p>
          <w:p>
            <w:pPr>
              <w:pStyle w:val="15"/>
              <w:keepNext w:val="0"/>
              <w:keepLines w:val="0"/>
              <w:pageBreakBefore w:val="0"/>
              <w:widowControl w:val="0"/>
              <w:kinsoku/>
              <w:wordWrap/>
              <w:overflowPunct/>
              <w:topLinePunct w:val="0"/>
              <w:bidi w:val="0"/>
              <w:adjustRightInd w:val="0"/>
              <w:snapToGrid w:val="0"/>
              <w:spacing w:line="360" w:lineRule="auto"/>
              <w:rPr>
                <w:rFonts w:hint="default" w:ascii="Times New Roman" w:hAnsi="Times New Roman" w:cs="Times New Roman"/>
                <w:color w:val="auto"/>
                <w:sz w:val="24"/>
                <w:szCs w:val="24"/>
                <w:lang w:eastAsia="zh-CN"/>
              </w:rPr>
            </w:pPr>
            <w:r>
              <w:rPr>
                <w:rFonts w:hint="default" w:ascii="Times New Roman" w:hAnsi="Times New Roman" w:cs="Times New Roman"/>
                <w:color w:val="auto"/>
              </w:rPr>
              <w:t>本项目生活用水为自来水。本项目职工共</w:t>
            </w:r>
            <w:r>
              <w:rPr>
                <w:rFonts w:hint="eastAsia" w:cs="Times New Roman"/>
                <w:color w:val="auto"/>
                <w:lang w:val="en-US" w:eastAsia="zh-CN"/>
              </w:rPr>
              <w:t>10</w:t>
            </w:r>
            <w:r>
              <w:rPr>
                <w:rFonts w:hint="default" w:ascii="Times New Roman" w:hAnsi="Times New Roman" w:cs="Times New Roman"/>
                <w:color w:val="auto"/>
              </w:rPr>
              <w:t>人，均不在厂内食宿</w:t>
            </w:r>
            <w:r>
              <w:rPr>
                <w:rFonts w:hint="default" w:ascii="Times New Roman" w:hAnsi="Times New Roman" w:cs="Times New Roman"/>
                <w:color w:val="auto"/>
                <w:lang w:eastAsia="zh-CN"/>
              </w:rPr>
              <w:t>。</w:t>
            </w:r>
            <w:r>
              <w:rPr>
                <w:rFonts w:hint="default" w:ascii="Times New Roman" w:hAnsi="Times New Roman" w:cs="Times New Roman"/>
                <w:color w:val="auto"/>
              </w:rPr>
              <w:t>根据</w:t>
            </w:r>
            <w:r>
              <w:rPr>
                <w:rFonts w:hint="default" w:ascii="Times New Roman" w:hAnsi="Times New Roman" w:cs="Times New Roman"/>
                <w:color w:val="auto"/>
                <w:lang w:val="en-US" w:eastAsia="zh-CN"/>
              </w:rPr>
              <w:t>河南省地方标准</w:t>
            </w:r>
            <w:r>
              <w:rPr>
                <w:rFonts w:hint="default" w:ascii="Times New Roman" w:hAnsi="Times New Roman" w:cs="Times New Roman"/>
                <w:color w:val="auto"/>
              </w:rPr>
              <w:t>《</w:t>
            </w:r>
            <w:r>
              <w:rPr>
                <w:rFonts w:hint="default" w:ascii="Times New Roman" w:hAnsi="Times New Roman" w:cs="Times New Roman"/>
                <w:color w:val="auto"/>
                <w:lang w:val="en-US" w:eastAsia="zh-CN"/>
              </w:rPr>
              <w:t>工业与城镇</w:t>
            </w:r>
            <w:r>
              <w:rPr>
                <w:rFonts w:hint="default" w:ascii="Times New Roman" w:hAnsi="Times New Roman" w:cs="Times New Roman"/>
                <w:color w:val="auto"/>
              </w:rPr>
              <w:t>用水定额》（DB41/T385—2020），参考城镇居民用水定额并结合项目实际情况—不在厂内食宿员工洗漱用水量按40L/d·人计，则本项目生活用水总量为</w:t>
            </w:r>
            <w:r>
              <w:rPr>
                <w:rFonts w:hint="eastAsia" w:cs="Times New Roman"/>
                <w:color w:val="auto"/>
                <w:lang w:val="en-US" w:eastAsia="zh-CN"/>
              </w:rPr>
              <w:t>0.4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cs="Times New Roman"/>
                <w:color w:val="auto"/>
                <w:lang w:val="en-US" w:eastAsia="zh-CN"/>
              </w:rPr>
              <w:t>120</w:t>
            </w:r>
            <w:r>
              <w:rPr>
                <w:rFonts w:hint="default" w:ascii="Times New Roman" w:hAnsi="Times New Roman" w:cs="Times New Roman"/>
                <w:color w:val="auto"/>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rPr>
              <w:t>/a。</w:t>
            </w:r>
            <w:r>
              <w:rPr>
                <w:rFonts w:hint="default" w:ascii="Times New Roman" w:hAnsi="Times New Roman" w:cs="Times New Roman"/>
                <w:color w:val="auto"/>
                <w:sz w:val="24"/>
                <w:szCs w:val="24"/>
                <w:lang w:val="en-US" w:eastAsia="zh-CN"/>
              </w:rPr>
              <w:t>产污系数按0.8计，则本项目生活污水产生量为</w:t>
            </w:r>
            <w:r>
              <w:rPr>
                <w:rFonts w:hint="eastAsia" w:cs="Times New Roman"/>
                <w:color w:val="auto"/>
                <w:sz w:val="24"/>
                <w:szCs w:val="24"/>
                <w:lang w:val="en-US" w:eastAsia="zh-CN"/>
              </w:rPr>
              <w:t>0.32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val="en-US" w:eastAsia="zh-CN"/>
              </w:rPr>
              <w:t>96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eastAsia="zh-CN"/>
              </w:rPr>
              <w:t>生活污水排入化粪池</w:t>
            </w:r>
            <w:r>
              <w:rPr>
                <w:rFonts w:hint="eastAsia" w:cs="Times New Roman"/>
                <w:color w:val="auto"/>
                <w:sz w:val="24"/>
                <w:szCs w:val="24"/>
                <w:lang w:val="en-US" w:eastAsia="zh-CN"/>
              </w:rPr>
              <w:t>预</w:t>
            </w:r>
            <w:r>
              <w:rPr>
                <w:rFonts w:hint="default" w:ascii="Times New Roman" w:hAnsi="Times New Roman" w:cs="Times New Roman"/>
                <w:color w:val="auto"/>
                <w:sz w:val="24"/>
                <w:szCs w:val="24"/>
                <w:lang w:val="en-US" w:eastAsia="zh-CN"/>
              </w:rPr>
              <w:t>处理后</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进入</w:t>
            </w:r>
            <w:r>
              <w:rPr>
                <w:rFonts w:hint="eastAsia" w:cs="Times New Roman"/>
                <w:color w:val="auto"/>
                <w:sz w:val="24"/>
                <w:szCs w:val="24"/>
                <w:lang w:val="en-US" w:eastAsia="zh-CN"/>
              </w:rPr>
              <w:t>集聚区</w:t>
            </w:r>
            <w:r>
              <w:rPr>
                <w:rFonts w:hint="default" w:ascii="Times New Roman" w:hAnsi="Times New Roman" w:cs="Times New Roman"/>
                <w:color w:val="auto"/>
                <w:sz w:val="24"/>
                <w:szCs w:val="24"/>
                <w:lang w:val="en-US" w:eastAsia="zh-CN"/>
              </w:rPr>
              <w:t>污水管网，最终进入鲁山县产业集聚区污水处理厂进一步处理达标</w:t>
            </w:r>
            <w:r>
              <w:rPr>
                <w:rFonts w:hint="eastAsia" w:cs="Times New Roman"/>
                <w:snapToGrid w:val="0"/>
                <w:color w:val="auto"/>
                <w:kern w:val="0"/>
                <w:sz w:val="24"/>
                <w:szCs w:val="24"/>
                <w:lang w:val="en-US" w:eastAsia="zh-CN"/>
              </w:rPr>
              <w:t>，最终全部中水回用</w:t>
            </w:r>
            <w:r>
              <w:rPr>
                <w:rFonts w:hint="default" w:ascii="Times New Roman" w:hAnsi="Times New Roman" w:cs="Times New Roman"/>
                <w:color w:val="auto"/>
                <w:sz w:val="24"/>
                <w:szCs w:val="24"/>
                <w:lang w:val="en-US" w:eastAsia="zh-CN"/>
              </w:rPr>
              <w:t>。</w:t>
            </w:r>
          </w:p>
          <w:p>
            <w:pPr>
              <w:spacing w:line="360" w:lineRule="auto"/>
              <w:ind w:firstLine="472" w:firstLineChars="200"/>
              <w:rPr>
                <w:rFonts w:hint="default" w:ascii="Times New Roman" w:hAnsi="Times New Roman" w:cs="Times New Roman"/>
                <w:bCs/>
                <w:color w:val="auto"/>
              </w:rPr>
            </w:pPr>
            <w:r>
              <w:rPr>
                <w:rFonts w:hint="default" w:ascii="Times New Roman" w:hAnsi="Times New Roman" w:cs="Times New Roman"/>
                <w:bCs/>
                <w:color w:val="auto"/>
                <w:spacing w:val="-2"/>
                <w:sz w:val="24"/>
              </w:rPr>
              <w:t>参考《建筑中水设计规范》“表3.1.</w:t>
            </w:r>
            <w:r>
              <w:rPr>
                <w:rFonts w:hint="default" w:ascii="Times New Roman" w:hAnsi="Times New Roman" w:cs="Times New Roman"/>
                <w:bCs/>
                <w:color w:val="auto"/>
                <w:spacing w:val="-2"/>
                <w:sz w:val="24"/>
                <w:lang w:val="en-US" w:eastAsia="zh-CN"/>
              </w:rPr>
              <w:t>7</w:t>
            </w:r>
            <w:r>
              <w:rPr>
                <w:rFonts w:hint="default" w:ascii="Times New Roman" w:hAnsi="Times New Roman" w:cs="Times New Roman"/>
                <w:bCs/>
                <w:color w:val="auto"/>
                <w:spacing w:val="-2"/>
                <w:sz w:val="24"/>
              </w:rPr>
              <w:t>各类建筑物各种排水污染浓度”中相关数据，生活污水水质取COD340mg/L、BOD</w:t>
            </w:r>
            <w:r>
              <w:rPr>
                <w:rFonts w:hint="default" w:ascii="Times New Roman" w:hAnsi="Times New Roman" w:cs="Times New Roman"/>
                <w:bCs/>
                <w:color w:val="auto"/>
                <w:spacing w:val="-2"/>
                <w:sz w:val="24"/>
                <w:vertAlign w:val="subscript"/>
              </w:rPr>
              <w:t>5</w:t>
            </w:r>
            <w:r>
              <w:rPr>
                <w:rFonts w:hint="default" w:ascii="Times New Roman" w:hAnsi="Times New Roman" w:cs="Times New Roman"/>
                <w:bCs/>
                <w:color w:val="auto"/>
                <w:spacing w:val="-2"/>
                <w:sz w:val="24"/>
              </w:rPr>
              <w:t>250mg/L、SS250mg/L、NH</w:t>
            </w:r>
            <w:r>
              <w:rPr>
                <w:rFonts w:hint="default" w:ascii="Times New Roman" w:hAnsi="Times New Roman" w:cs="Times New Roman"/>
                <w:bCs/>
                <w:color w:val="auto"/>
                <w:spacing w:val="-2"/>
                <w:sz w:val="24"/>
                <w:vertAlign w:val="subscript"/>
              </w:rPr>
              <w:t>3</w:t>
            </w:r>
            <w:r>
              <w:rPr>
                <w:rFonts w:hint="default" w:ascii="Times New Roman" w:hAnsi="Times New Roman" w:cs="Times New Roman"/>
                <w:bCs/>
                <w:color w:val="auto"/>
                <w:spacing w:val="-2"/>
                <w:sz w:val="24"/>
              </w:rPr>
              <w:t>-N</w:t>
            </w:r>
            <w:r>
              <w:rPr>
                <w:rFonts w:hint="eastAsia" w:cs="Times New Roman"/>
                <w:bCs/>
                <w:color w:val="auto"/>
                <w:spacing w:val="-2"/>
                <w:sz w:val="24"/>
                <w:lang w:val="en-US" w:eastAsia="zh-CN"/>
              </w:rPr>
              <w:t>25</w:t>
            </w:r>
            <w:r>
              <w:rPr>
                <w:rFonts w:hint="default" w:ascii="Times New Roman" w:hAnsi="Times New Roman" w:cs="Times New Roman"/>
                <w:bCs/>
                <w:color w:val="auto"/>
                <w:spacing w:val="-2"/>
                <w:sz w:val="24"/>
              </w:rPr>
              <w:t>mg/L，</w:t>
            </w:r>
            <w:r>
              <w:rPr>
                <w:rFonts w:hint="default" w:ascii="Times New Roman" w:hAnsi="Times New Roman" w:cs="Times New Roman"/>
                <w:bCs/>
                <w:color w:val="auto"/>
                <w:sz w:val="24"/>
              </w:rPr>
              <w:t>经化粪池预处理之后，进入集聚区污水管网，最终进入</w:t>
            </w:r>
            <w:r>
              <w:rPr>
                <w:rFonts w:hint="default" w:ascii="Times New Roman" w:hAnsi="Times New Roman" w:cs="Times New Roman"/>
                <w:color w:val="auto"/>
                <w:sz w:val="24"/>
                <w:szCs w:val="24"/>
                <w:lang w:val="en-US" w:eastAsia="zh-CN"/>
              </w:rPr>
              <w:t>鲁山县产业集聚区污水处理</w:t>
            </w:r>
            <w:r>
              <w:rPr>
                <w:rFonts w:hint="default" w:ascii="Times New Roman" w:hAnsi="Times New Roman" w:cs="Times New Roman"/>
                <w:bCs/>
                <w:color w:val="auto"/>
                <w:sz w:val="24"/>
              </w:rPr>
              <w:t>进行</w:t>
            </w:r>
            <w:r>
              <w:rPr>
                <w:rFonts w:hint="eastAsia" w:cs="Times New Roman"/>
                <w:bCs/>
                <w:color w:val="auto"/>
                <w:sz w:val="24"/>
                <w:lang w:val="en-US" w:eastAsia="zh-CN"/>
              </w:rPr>
              <w:t>达标</w:t>
            </w:r>
            <w:r>
              <w:rPr>
                <w:rFonts w:hint="default" w:ascii="Times New Roman" w:hAnsi="Times New Roman" w:cs="Times New Roman"/>
                <w:bCs/>
                <w:color w:val="auto"/>
                <w:sz w:val="24"/>
              </w:rPr>
              <w:t>处理</w:t>
            </w:r>
            <w:r>
              <w:rPr>
                <w:rFonts w:hint="eastAsia" w:cs="Times New Roman"/>
                <w:bCs/>
                <w:color w:val="auto"/>
                <w:sz w:val="24"/>
                <w:lang w:eastAsia="zh-CN"/>
              </w:rPr>
              <w:t>，</w:t>
            </w:r>
            <w:r>
              <w:rPr>
                <w:rFonts w:hint="eastAsia" w:cs="Times New Roman"/>
                <w:snapToGrid w:val="0"/>
                <w:color w:val="auto"/>
                <w:kern w:val="0"/>
                <w:sz w:val="24"/>
                <w:szCs w:val="24"/>
                <w:lang w:val="en-US" w:eastAsia="zh-CN"/>
              </w:rPr>
              <w:t>最终废水全部中水回用</w:t>
            </w:r>
            <w:r>
              <w:rPr>
                <w:rFonts w:hint="default" w:ascii="Times New Roman" w:hAnsi="Times New Roman" w:cs="Times New Roman"/>
                <w:bCs/>
                <w:color w:val="auto"/>
                <w:sz w:val="24"/>
              </w:rPr>
              <w:t>。</w:t>
            </w:r>
          </w:p>
          <w:p>
            <w:pPr>
              <w:pStyle w:val="10"/>
              <w:widowControl w:val="0"/>
              <w:spacing w:line="240" w:lineRule="auto"/>
              <w:ind w:firstLine="0" w:firstLineChars="0"/>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表4-</w:t>
            </w:r>
            <w:r>
              <w:rPr>
                <w:rFonts w:hint="eastAsia" w:cs="Times New Roman"/>
                <w:b/>
                <w:bCs/>
                <w:color w:val="auto"/>
                <w:szCs w:val="24"/>
                <w:lang w:val="en-US" w:eastAsia="zh-CN"/>
              </w:rPr>
              <w:t>6</w:t>
            </w:r>
            <w:r>
              <w:rPr>
                <w:rFonts w:hint="default" w:ascii="Times New Roman" w:hAnsi="Times New Roman" w:cs="Times New Roman"/>
                <w:b/>
                <w:bCs/>
                <w:color w:val="auto"/>
                <w:szCs w:val="24"/>
              </w:rPr>
              <w:t>生活污水水质及处理措施去除效率一览表</w:t>
            </w:r>
          </w:p>
          <w:tbl>
            <w:tblPr>
              <w:tblStyle w:val="24"/>
              <w:tblW w:w="4997"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525"/>
              <w:gridCol w:w="1554"/>
              <w:gridCol w:w="1364"/>
              <w:gridCol w:w="1332"/>
              <w:gridCol w:w="170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项目</w:t>
                  </w:r>
                </w:p>
              </w:tc>
              <w:tc>
                <w:tcPr>
                  <w:tcW w:w="8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COD</w:t>
                  </w:r>
                </w:p>
              </w:tc>
              <w:tc>
                <w:tcPr>
                  <w:tcW w:w="7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SS</w:t>
                  </w:r>
                </w:p>
              </w:tc>
              <w:tc>
                <w:tcPr>
                  <w:tcW w:w="702"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89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BOD</w:t>
                  </w:r>
                  <w:r>
                    <w:rPr>
                      <w:rFonts w:hint="default" w:ascii="Times New Roman" w:hAnsi="Times New Roman" w:cs="Times New Roman"/>
                      <w:bCs/>
                      <w:color w:val="auto"/>
                      <w:szCs w:val="21"/>
                      <w:vertAlign w:val="subscript"/>
                    </w:rPr>
                    <w:t>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污水排放量</w:t>
                  </w:r>
                </w:p>
              </w:tc>
              <w:tc>
                <w:tcPr>
                  <w:tcW w:w="3141" w:type="pct"/>
                  <w:gridSpan w:val="4"/>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eastAsia" w:cs="Times New Roman"/>
                      <w:bCs/>
                      <w:color w:val="auto"/>
                      <w:szCs w:val="21"/>
                      <w:lang w:val="en-US" w:eastAsia="zh-CN"/>
                    </w:rPr>
                    <w:t>96</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水质</w:t>
                  </w:r>
                  <w:r>
                    <w:rPr>
                      <w:rFonts w:hint="eastAsia" w:cs="Times New Roman"/>
                      <w:bCs/>
                      <w:color w:val="auto"/>
                      <w:szCs w:val="21"/>
                      <w:lang w:eastAsia="zh-CN"/>
                    </w:rPr>
                    <w:t>（</w:t>
                  </w:r>
                  <w:r>
                    <w:rPr>
                      <w:rFonts w:hint="default" w:ascii="Times New Roman" w:hAnsi="Times New Roman" w:cs="Times New Roman"/>
                      <w:bCs/>
                      <w:color w:val="auto"/>
                      <w:szCs w:val="21"/>
                    </w:rPr>
                    <w:t>mg/L)</w:t>
                  </w:r>
                </w:p>
              </w:tc>
              <w:tc>
                <w:tcPr>
                  <w:tcW w:w="8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340</w:t>
                  </w:r>
                </w:p>
              </w:tc>
              <w:tc>
                <w:tcPr>
                  <w:tcW w:w="7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250</w:t>
                  </w:r>
                </w:p>
              </w:tc>
              <w:tc>
                <w:tcPr>
                  <w:tcW w:w="702"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25</w:t>
                  </w:r>
                </w:p>
              </w:tc>
              <w:tc>
                <w:tcPr>
                  <w:tcW w:w="89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污染物产生量（</w:t>
                  </w:r>
                  <w:r>
                    <w:rPr>
                      <w:rFonts w:hint="default" w:ascii="Times New Roman" w:hAnsi="Times New Roman" w:cs="Times New Roman"/>
                      <w:bCs/>
                      <w:color w:val="auto"/>
                      <w:szCs w:val="21"/>
                      <w:lang w:val="en-US" w:eastAsia="zh-CN"/>
                    </w:rPr>
                    <w:t>t</w:t>
                  </w:r>
                  <w:r>
                    <w:rPr>
                      <w:rFonts w:hint="default" w:ascii="Times New Roman" w:hAnsi="Times New Roman" w:cs="Times New Roman"/>
                      <w:bCs/>
                      <w:color w:val="auto"/>
                      <w:szCs w:val="21"/>
                    </w:rPr>
                    <w:t>/a）</w:t>
                  </w:r>
                </w:p>
              </w:tc>
              <w:tc>
                <w:tcPr>
                  <w:tcW w:w="819"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0.03</w:t>
                  </w:r>
                  <w:r>
                    <w:rPr>
                      <w:rFonts w:hint="eastAsia" w:cs="Times New Roman"/>
                      <w:bCs/>
                      <w:color w:val="auto"/>
                      <w:szCs w:val="21"/>
                      <w:lang w:val="en-US" w:eastAsia="zh-CN"/>
                    </w:rPr>
                    <w:t>3</w:t>
                  </w:r>
                </w:p>
              </w:tc>
              <w:tc>
                <w:tcPr>
                  <w:tcW w:w="719"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0.024</w:t>
                  </w:r>
                </w:p>
              </w:tc>
              <w:tc>
                <w:tcPr>
                  <w:tcW w:w="702"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0.002</w:t>
                  </w:r>
                  <w:r>
                    <w:rPr>
                      <w:rFonts w:hint="eastAsia" w:cs="Times New Roman"/>
                      <w:bCs/>
                      <w:color w:val="auto"/>
                      <w:szCs w:val="21"/>
                      <w:lang w:val="en-US" w:eastAsia="zh-CN"/>
                    </w:rPr>
                    <w:t>9</w:t>
                  </w:r>
                </w:p>
              </w:tc>
              <w:tc>
                <w:tcPr>
                  <w:tcW w:w="899"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0.024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治理措施</w:t>
                  </w:r>
                </w:p>
              </w:tc>
              <w:tc>
                <w:tcPr>
                  <w:tcW w:w="3141" w:type="pct"/>
                  <w:gridSpan w:val="4"/>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化粪池</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处理效率（%）</w:t>
                  </w:r>
                </w:p>
              </w:tc>
              <w:tc>
                <w:tcPr>
                  <w:tcW w:w="8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7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30</w:t>
                  </w:r>
                </w:p>
              </w:tc>
              <w:tc>
                <w:tcPr>
                  <w:tcW w:w="702"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3</w:t>
                  </w:r>
                </w:p>
              </w:tc>
              <w:tc>
                <w:tcPr>
                  <w:tcW w:w="89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化粪池处理后水质</w:t>
                  </w:r>
                  <w:r>
                    <w:rPr>
                      <w:rFonts w:hint="eastAsia" w:cs="Times New Roman"/>
                      <w:bCs/>
                      <w:color w:val="auto"/>
                      <w:szCs w:val="21"/>
                      <w:lang w:eastAsia="zh-CN"/>
                    </w:rPr>
                    <w:t>（</w:t>
                  </w:r>
                  <w:r>
                    <w:rPr>
                      <w:rFonts w:hint="default" w:ascii="Times New Roman" w:hAnsi="Times New Roman" w:cs="Times New Roman"/>
                      <w:bCs/>
                      <w:color w:val="auto"/>
                      <w:szCs w:val="21"/>
                    </w:rPr>
                    <w:t>mg/L)</w:t>
                  </w:r>
                </w:p>
              </w:tc>
              <w:tc>
                <w:tcPr>
                  <w:tcW w:w="8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289</w:t>
                  </w:r>
                </w:p>
              </w:tc>
              <w:tc>
                <w:tcPr>
                  <w:tcW w:w="7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175</w:t>
                  </w:r>
                </w:p>
              </w:tc>
              <w:tc>
                <w:tcPr>
                  <w:tcW w:w="702"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24.25</w:t>
                  </w:r>
                </w:p>
              </w:tc>
              <w:tc>
                <w:tcPr>
                  <w:tcW w:w="89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225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污染物产生量（</w:t>
                  </w:r>
                  <w:r>
                    <w:rPr>
                      <w:rFonts w:hint="default" w:ascii="Times New Roman" w:hAnsi="Times New Roman" w:cs="Times New Roman"/>
                      <w:bCs/>
                      <w:color w:val="auto"/>
                      <w:szCs w:val="21"/>
                      <w:lang w:val="en-US" w:eastAsia="zh-CN"/>
                    </w:rPr>
                    <w:t>t</w:t>
                  </w:r>
                  <w:r>
                    <w:rPr>
                      <w:rFonts w:hint="default" w:ascii="Times New Roman" w:hAnsi="Times New Roman" w:cs="Times New Roman"/>
                      <w:bCs/>
                      <w:color w:val="auto"/>
                      <w:szCs w:val="21"/>
                    </w:rPr>
                    <w:t>/a）</w:t>
                  </w:r>
                </w:p>
              </w:tc>
              <w:tc>
                <w:tcPr>
                  <w:tcW w:w="819"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0.02</w:t>
                  </w:r>
                  <w:r>
                    <w:rPr>
                      <w:rFonts w:hint="eastAsia" w:cs="Times New Roman"/>
                      <w:bCs/>
                      <w:color w:val="auto"/>
                      <w:szCs w:val="21"/>
                      <w:lang w:val="en-US" w:eastAsia="zh-CN"/>
                    </w:rPr>
                    <w:t>8</w:t>
                  </w:r>
                </w:p>
              </w:tc>
              <w:tc>
                <w:tcPr>
                  <w:tcW w:w="719"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0.01</w:t>
                  </w:r>
                  <w:r>
                    <w:rPr>
                      <w:rFonts w:hint="eastAsia" w:cs="Times New Roman"/>
                      <w:bCs/>
                      <w:color w:val="auto"/>
                      <w:szCs w:val="21"/>
                      <w:lang w:val="en-US" w:eastAsia="zh-CN"/>
                    </w:rPr>
                    <w:t>7</w:t>
                  </w:r>
                </w:p>
              </w:tc>
              <w:tc>
                <w:tcPr>
                  <w:tcW w:w="702"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0.0023</w:t>
                  </w:r>
                </w:p>
              </w:tc>
              <w:tc>
                <w:tcPr>
                  <w:tcW w:w="899"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0.02</w:t>
                  </w:r>
                  <w:r>
                    <w:rPr>
                      <w:rFonts w:hint="eastAsia" w:cs="Times New Roman"/>
                      <w:bCs/>
                      <w:color w:val="auto"/>
                      <w:szCs w:val="21"/>
                      <w:lang w:val="en-US" w:eastAsia="zh-CN"/>
                    </w:rPr>
                    <w:t>2</w:t>
                  </w:r>
                </w:p>
              </w:tc>
            </w:tr>
          </w:tbl>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本项目生活污水处理设施依托可行性分析</w:t>
            </w:r>
          </w:p>
          <w:p>
            <w:pPr>
              <w:keepNext w:val="0"/>
              <w:keepLines w:val="0"/>
              <w:pageBreakBefore w:val="0"/>
              <w:widowControl w:val="0"/>
              <w:bidi w:val="0"/>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eastAsia="zh-CN"/>
              </w:rPr>
              <w:t>（</w:t>
            </w:r>
            <w:r>
              <w:rPr>
                <w:rFonts w:hint="eastAsia" w:cs="Times New Roman"/>
                <w:b/>
                <w:bCs/>
                <w:color w:val="auto"/>
                <w:sz w:val="24"/>
                <w:szCs w:val="24"/>
                <w:lang w:val="en-US" w:eastAsia="zh-CN"/>
              </w:rPr>
              <w:t>1</w:t>
            </w:r>
            <w:r>
              <w:rPr>
                <w:rFonts w:hint="eastAsia" w:cs="Times New Roman"/>
                <w:b/>
                <w:bCs/>
                <w:color w:val="auto"/>
                <w:sz w:val="24"/>
                <w:szCs w:val="24"/>
                <w:lang w:eastAsia="zh-CN"/>
              </w:rPr>
              <w:t>）</w:t>
            </w:r>
            <w:r>
              <w:rPr>
                <w:rFonts w:hint="default" w:ascii="Times New Roman" w:hAnsi="Times New Roman" w:cs="Times New Roman"/>
                <w:b/>
                <w:bCs/>
                <w:color w:val="auto"/>
                <w:sz w:val="24"/>
                <w:szCs w:val="24"/>
                <w:lang w:val="en-US" w:eastAsia="zh-CN"/>
              </w:rPr>
              <w:t>依托</w:t>
            </w:r>
            <w:r>
              <w:rPr>
                <w:rFonts w:hint="default" w:ascii="Times New Roman" w:hAnsi="Times New Roman" w:cs="Times New Roman"/>
                <w:b/>
                <w:bCs/>
                <w:color w:val="auto"/>
                <w:sz w:val="24"/>
                <w:szCs w:val="24"/>
              </w:rPr>
              <w:t>化粪池</w:t>
            </w:r>
            <w:r>
              <w:rPr>
                <w:rFonts w:hint="default" w:ascii="Times New Roman" w:hAnsi="Times New Roman" w:cs="Times New Roman"/>
                <w:b/>
                <w:bCs/>
                <w:color w:val="auto"/>
                <w:sz w:val="24"/>
                <w:szCs w:val="24"/>
                <w:lang w:val="en-US" w:eastAsia="zh-CN"/>
              </w:rPr>
              <w:t>可行性分析</w:t>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cs="Times New Roman"/>
                <w:b w:val="0"/>
                <w:bCs w:val="0"/>
                <w:color w:val="auto"/>
                <w:sz w:val="24"/>
                <w:szCs w:val="22"/>
                <w:u w:val="none"/>
              </w:rPr>
            </w:pPr>
            <w:r>
              <w:rPr>
                <w:rFonts w:hint="eastAsia" w:cs="Times New Roman"/>
                <w:color w:val="auto"/>
                <w:sz w:val="24"/>
                <w:szCs w:val="24"/>
                <w:lang w:val="en-US" w:eastAsia="zh-CN"/>
              </w:rPr>
              <w:t>租赁厂区内</w:t>
            </w:r>
            <w:r>
              <w:rPr>
                <w:rFonts w:hint="default" w:ascii="Times New Roman" w:hAnsi="Times New Roman" w:cs="Times New Roman"/>
                <w:color w:val="auto"/>
                <w:sz w:val="24"/>
                <w:szCs w:val="24"/>
                <w:lang w:val="en-US" w:eastAsia="zh-CN"/>
              </w:rPr>
              <w:t>现有一座15m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的化粪池，其容积远大于本项目</w:t>
            </w:r>
            <w:r>
              <w:rPr>
                <w:rFonts w:hint="eastAsia" w:cs="Times New Roman"/>
                <w:color w:val="auto"/>
                <w:sz w:val="24"/>
                <w:szCs w:val="24"/>
                <w:lang w:val="en-US" w:eastAsia="zh-CN"/>
              </w:rPr>
              <w:t>0.32</w:t>
            </w:r>
            <w:r>
              <w:rPr>
                <w:rFonts w:hint="default" w:ascii="Times New Roman" w:hAnsi="Times New Roman" w:cs="Times New Roman"/>
                <w:color w:val="auto"/>
                <w:sz w:val="24"/>
                <w:szCs w:val="24"/>
                <w:lang w:val="en-US" w:eastAsia="zh-CN"/>
              </w:rPr>
              <w:t>t/d的生活污水量，由此可知，本项目依托现有化粪池可行。</w:t>
            </w:r>
          </w:p>
          <w:p>
            <w:pPr>
              <w:keepNext w:val="0"/>
              <w:keepLines w:val="0"/>
              <w:pageBreakBefore w:val="0"/>
              <w:widowControl w:val="0"/>
              <w:bidi w:val="0"/>
              <w:adjustRightInd w:val="0"/>
              <w:snapToGrid w:val="0"/>
              <w:spacing w:line="360" w:lineRule="auto"/>
              <w:ind w:firstLine="482" w:firstLineChars="200"/>
              <w:rPr>
                <w:rFonts w:hint="default" w:ascii="Times New Roman" w:hAnsi="Times New Roman" w:eastAsia="宋体" w:cs="Times New Roman"/>
                <w:b/>
                <w:bCs/>
                <w:color w:val="auto"/>
                <w:sz w:val="24"/>
                <w:szCs w:val="22"/>
                <w:u w:val="none"/>
                <w:lang w:val="en-US" w:eastAsia="zh-CN"/>
              </w:rPr>
            </w:pPr>
            <w:r>
              <w:rPr>
                <w:rFonts w:hint="eastAsia" w:cs="Times New Roman"/>
                <w:b/>
                <w:bCs/>
                <w:color w:val="auto"/>
                <w:sz w:val="24"/>
                <w:szCs w:val="24"/>
                <w:u w:val="none"/>
                <w:lang w:eastAsia="zh-CN"/>
              </w:rPr>
              <w:t>（</w:t>
            </w:r>
            <w:r>
              <w:rPr>
                <w:rFonts w:hint="eastAsia" w:cs="Times New Roman"/>
                <w:b/>
                <w:bCs/>
                <w:color w:val="auto"/>
                <w:sz w:val="24"/>
                <w:szCs w:val="24"/>
                <w:u w:val="none"/>
                <w:lang w:val="en-US" w:eastAsia="zh-CN"/>
              </w:rPr>
              <w:t>2</w:t>
            </w:r>
            <w:r>
              <w:rPr>
                <w:rFonts w:hint="eastAsia" w:cs="Times New Roman"/>
                <w:b/>
                <w:bCs/>
                <w:color w:val="auto"/>
                <w:sz w:val="24"/>
                <w:szCs w:val="24"/>
                <w:u w:val="none"/>
                <w:lang w:eastAsia="zh-CN"/>
              </w:rPr>
              <w:t>）</w:t>
            </w:r>
            <w:r>
              <w:rPr>
                <w:rFonts w:hint="default" w:ascii="Times New Roman" w:hAnsi="Times New Roman" w:cs="Times New Roman"/>
                <w:b/>
                <w:bCs/>
                <w:color w:val="auto"/>
                <w:sz w:val="24"/>
                <w:szCs w:val="22"/>
                <w:u w:val="none"/>
                <w:lang w:val="en-US" w:eastAsia="zh-CN"/>
              </w:rPr>
              <w:t>依托</w:t>
            </w:r>
            <w:r>
              <w:rPr>
                <w:rFonts w:hint="eastAsia" w:ascii="Times New Roman" w:hAnsi="Times New Roman" w:cs="Times New Roman"/>
                <w:b/>
                <w:bCs/>
                <w:color w:val="auto"/>
                <w:sz w:val="24"/>
                <w:szCs w:val="22"/>
                <w:lang w:val="en-US" w:eastAsia="zh-CN"/>
              </w:rPr>
              <w:t>鲁山县产业集聚区污水处理厂</w:t>
            </w:r>
            <w:r>
              <w:rPr>
                <w:rFonts w:hint="default" w:ascii="Times New Roman" w:hAnsi="Times New Roman" w:cs="Times New Roman"/>
                <w:b/>
                <w:bCs/>
                <w:color w:val="auto"/>
                <w:sz w:val="24"/>
                <w:szCs w:val="22"/>
                <w:u w:val="none"/>
              </w:rPr>
              <w:t>可行性分析</w:t>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cs="Times New Roman"/>
                <w:b w:val="0"/>
                <w:bCs w:val="0"/>
                <w:color w:val="auto"/>
                <w:sz w:val="24"/>
                <w:szCs w:val="22"/>
                <w:u w:val="none"/>
                <w:lang w:val="en-US" w:eastAsia="zh-CN"/>
              </w:rPr>
            </w:pPr>
            <w:r>
              <w:rPr>
                <w:rFonts w:hint="eastAsia" w:ascii="Times New Roman" w:hAnsi="Times New Roman" w:cs="Times New Roman"/>
                <w:b w:val="0"/>
                <w:bCs w:val="0"/>
                <w:color w:val="auto"/>
                <w:sz w:val="24"/>
                <w:szCs w:val="22"/>
                <w:u w:val="none"/>
                <w:lang w:val="en-US" w:eastAsia="zh-CN"/>
              </w:rPr>
              <w:t>1</w:t>
            </w:r>
            <w:r>
              <w:rPr>
                <w:rFonts w:hint="default" w:ascii="Times New Roman" w:hAnsi="Times New Roman" w:cs="Times New Roman"/>
                <w:b w:val="0"/>
                <w:bCs w:val="0"/>
                <w:color w:val="auto"/>
                <w:sz w:val="24"/>
                <w:szCs w:val="22"/>
                <w:u w:val="none"/>
                <w:lang w:val="en-US" w:eastAsia="zh-CN"/>
              </w:rPr>
              <w:t>）</w:t>
            </w:r>
            <w:r>
              <w:rPr>
                <w:rFonts w:hint="eastAsia" w:ascii="Times New Roman" w:hAnsi="Times New Roman" w:cs="Times New Roman"/>
                <w:color w:val="auto"/>
                <w:sz w:val="24"/>
                <w:szCs w:val="22"/>
                <w:lang w:val="en-US" w:eastAsia="zh-CN"/>
              </w:rPr>
              <w:t>鲁山县产业集聚区污水处理厂</w:t>
            </w:r>
            <w:r>
              <w:rPr>
                <w:rFonts w:hint="default" w:ascii="Times New Roman" w:hAnsi="Times New Roman" w:cs="Times New Roman"/>
                <w:b w:val="0"/>
                <w:bCs w:val="0"/>
                <w:color w:val="auto"/>
                <w:sz w:val="24"/>
                <w:szCs w:val="22"/>
                <w:u w:val="none"/>
                <w:lang w:val="en-US" w:eastAsia="zh-CN"/>
              </w:rPr>
              <w:t>收水范围</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szCs w:val="22"/>
                <w:u w:val="none"/>
                <w:lang w:val="en-US" w:eastAsia="zh-CN"/>
              </w:rPr>
            </w:pPr>
            <w:r>
              <w:rPr>
                <w:rFonts w:hint="eastAsia" w:ascii="Times New Roman" w:hAnsi="Times New Roman" w:cs="Times New Roman"/>
                <w:b w:val="0"/>
                <w:bCs w:val="0"/>
                <w:color w:val="auto"/>
                <w:sz w:val="24"/>
                <w:szCs w:val="22"/>
                <w:u w:val="none"/>
                <w:lang w:val="en-US" w:eastAsia="zh-CN"/>
              </w:rPr>
              <w:t>鲁山县产业集聚区污水处理厂</w:t>
            </w:r>
            <w:r>
              <w:rPr>
                <w:rFonts w:hint="default" w:ascii="Times New Roman" w:hAnsi="Times New Roman" w:cs="Times New Roman"/>
                <w:b w:val="0"/>
                <w:bCs w:val="0"/>
                <w:color w:val="auto"/>
                <w:sz w:val="24"/>
                <w:szCs w:val="22"/>
                <w:u w:val="none"/>
                <w:lang w:val="en-US" w:eastAsia="zh-CN"/>
              </w:rPr>
              <w:t>是针对产业集聚区</w:t>
            </w:r>
            <w:r>
              <w:rPr>
                <w:rFonts w:hint="eastAsia" w:ascii="Times New Roman" w:hAnsi="Times New Roman" w:cs="Times New Roman"/>
                <w:b w:val="0"/>
                <w:bCs w:val="0"/>
                <w:color w:val="auto"/>
                <w:sz w:val="24"/>
                <w:szCs w:val="22"/>
                <w:u w:val="none"/>
                <w:lang w:val="en-US" w:eastAsia="zh-CN"/>
              </w:rPr>
              <w:t>北区</w:t>
            </w:r>
            <w:r>
              <w:rPr>
                <w:rFonts w:hint="default" w:ascii="Times New Roman" w:hAnsi="Times New Roman" w:cs="Times New Roman"/>
                <w:b w:val="0"/>
                <w:bCs w:val="0"/>
                <w:color w:val="auto"/>
                <w:sz w:val="24"/>
                <w:szCs w:val="22"/>
                <w:u w:val="none"/>
                <w:lang w:val="en-US" w:eastAsia="zh-CN"/>
              </w:rPr>
              <w:t>污水处理的配套设施，</w:t>
            </w:r>
            <w:r>
              <w:rPr>
                <w:rFonts w:hint="default" w:ascii="Times New Roman" w:hAnsi="Times New Roman" w:cs="Times New Roman"/>
                <w:b w:val="0"/>
                <w:bCs w:val="0"/>
                <w:color w:val="auto"/>
                <w:kern w:val="0"/>
                <w:sz w:val="24"/>
                <w:u w:val="none"/>
              </w:rPr>
              <w:t>本项目位于</w:t>
            </w:r>
            <w:r>
              <w:rPr>
                <w:rFonts w:hint="eastAsia" w:ascii="Times New Roman" w:hAnsi="Times New Roman" w:cs="Times New Roman"/>
                <w:b w:val="0"/>
                <w:bCs w:val="0"/>
                <w:color w:val="auto"/>
                <w:kern w:val="0"/>
                <w:sz w:val="24"/>
                <w:u w:val="none"/>
                <w:lang w:val="en-US" w:eastAsia="zh-CN"/>
              </w:rPr>
              <w:t>产业集聚区北区</w:t>
            </w:r>
            <w:r>
              <w:rPr>
                <w:rFonts w:hint="default" w:ascii="Times New Roman" w:hAnsi="Times New Roman" w:cs="Times New Roman"/>
                <w:b w:val="0"/>
                <w:bCs w:val="0"/>
                <w:color w:val="auto"/>
                <w:kern w:val="0"/>
                <w:sz w:val="24"/>
                <w:u w:val="none"/>
              </w:rPr>
              <w:t>，</w:t>
            </w:r>
            <w:r>
              <w:rPr>
                <w:rFonts w:hint="eastAsia" w:ascii="Times New Roman" w:hAnsi="Times New Roman" w:cs="Times New Roman"/>
                <w:b w:val="0"/>
                <w:bCs w:val="0"/>
                <w:color w:val="auto"/>
                <w:kern w:val="0"/>
                <w:sz w:val="24"/>
                <w:u w:val="none"/>
                <w:lang w:val="en-US" w:eastAsia="zh-CN"/>
              </w:rPr>
              <w:t>位于</w:t>
            </w:r>
            <w:r>
              <w:rPr>
                <w:rFonts w:hint="eastAsia" w:ascii="Times New Roman" w:hAnsi="Times New Roman" w:cs="Times New Roman"/>
                <w:b w:val="0"/>
                <w:bCs w:val="0"/>
                <w:color w:val="auto"/>
                <w:sz w:val="24"/>
                <w:szCs w:val="22"/>
                <w:u w:val="none"/>
                <w:lang w:val="en-US" w:eastAsia="zh-CN"/>
              </w:rPr>
              <w:t>鲁山县产业集聚区污水处理厂收水范围内</w:t>
            </w:r>
            <w:r>
              <w:rPr>
                <w:rFonts w:hint="default" w:ascii="Times New Roman" w:hAnsi="Times New Roman" w:cs="Times New Roman"/>
                <w:b w:val="0"/>
                <w:bCs w:val="0"/>
                <w:color w:val="auto"/>
                <w:kern w:val="0"/>
                <w:sz w:val="24"/>
                <w:u w:val="none"/>
              </w:rPr>
              <w:t>。</w:t>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cs="Times New Roman"/>
                <w:b w:val="0"/>
                <w:bCs w:val="0"/>
                <w:color w:val="auto"/>
                <w:sz w:val="24"/>
                <w:szCs w:val="22"/>
                <w:u w:val="none"/>
              </w:rPr>
            </w:pPr>
            <w:r>
              <w:rPr>
                <w:rFonts w:hint="eastAsia" w:ascii="Times New Roman" w:hAnsi="Times New Roman" w:cs="Times New Roman"/>
                <w:b w:val="0"/>
                <w:bCs w:val="0"/>
                <w:color w:val="auto"/>
                <w:sz w:val="24"/>
                <w:szCs w:val="22"/>
                <w:u w:val="none"/>
                <w:lang w:val="en-US" w:eastAsia="zh-CN"/>
              </w:rPr>
              <w:t>2</w:t>
            </w:r>
            <w:r>
              <w:rPr>
                <w:rFonts w:hint="default" w:ascii="Times New Roman" w:hAnsi="Times New Roman" w:cs="Times New Roman"/>
                <w:b w:val="0"/>
                <w:bCs w:val="0"/>
                <w:color w:val="auto"/>
                <w:sz w:val="24"/>
                <w:szCs w:val="22"/>
                <w:u w:val="none"/>
              </w:rPr>
              <w:t>）</w:t>
            </w:r>
            <w:r>
              <w:rPr>
                <w:rFonts w:hint="eastAsia" w:ascii="Times New Roman" w:hAnsi="Times New Roman" w:cs="Times New Roman"/>
                <w:color w:val="auto"/>
                <w:sz w:val="24"/>
                <w:szCs w:val="22"/>
                <w:lang w:val="en-US" w:eastAsia="zh-CN"/>
              </w:rPr>
              <w:t>鲁山县产业集聚区污水处理厂</w:t>
            </w:r>
            <w:r>
              <w:rPr>
                <w:rFonts w:hint="default" w:ascii="Times New Roman" w:hAnsi="Times New Roman" w:cs="Times New Roman"/>
                <w:b w:val="0"/>
                <w:bCs w:val="0"/>
                <w:color w:val="auto"/>
                <w:sz w:val="24"/>
                <w:szCs w:val="22"/>
                <w:u w:val="none"/>
              </w:rPr>
              <w:t>处理能力</w:t>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eastAsia="宋体" w:cs="Times New Roman"/>
                <w:b w:val="0"/>
                <w:bCs w:val="0"/>
                <w:color w:val="auto"/>
                <w:sz w:val="24"/>
                <w:szCs w:val="22"/>
                <w:u w:val="none"/>
                <w:lang w:eastAsia="zh-CN"/>
              </w:rPr>
            </w:pPr>
            <w:r>
              <w:rPr>
                <w:rFonts w:hint="eastAsia" w:ascii="Times New Roman" w:hAnsi="Times New Roman" w:cs="Times New Roman"/>
                <w:color w:val="auto"/>
                <w:sz w:val="24"/>
                <w:szCs w:val="22"/>
                <w:lang w:val="en-US" w:eastAsia="zh-CN"/>
              </w:rPr>
              <w:t>鲁山县产业集聚区污水处理厂</w:t>
            </w:r>
            <w:r>
              <w:rPr>
                <w:rFonts w:hint="default" w:ascii="Times New Roman" w:hAnsi="Times New Roman" w:cs="Times New Roman"/>
                <w:b w:val="0"/>
                <w:bCs w:val="0"/>
                <w:color w:val="auto"/>
                <w:sz w:val="24"/>
                <w:szCs w:val="22"/>
                <w:u w:val="none"/>
                <w:lang w:val="en-US" w:eastAsia="zh-CN"/>
              </w:rPr>
              <w:t>已</w:t>
            </w:r>
            <w:r>
              <w:rPr>
                <w:rFonts w:hint="default" w:ascii="Times New Roman" w:hAnsi="Times New Roman" w:cs="Times New Roman"/>
                <w:b w:val="0"/>
                <w:bCs w:val="0"/>
                <w:color w:val="auto"/>
                <w:sz w:val="24"/>
                <w:szCs w:val="22"/>
                <w:u w:val="none"/>
              </w:rPr>
              <w:t>建规模</w:t>
            </w:r>
            <w:r>
              <w:rPr>
                <w:rFonts w:hint="default" w:ascii="Times New Roman" w:hAnsi="Times New Roman" w:cs="Times New Roman"/>
                <w:b w:val="0"/>
                <w:bCs w:val="0"/>
                <w:color w:val="auto"/>
                <w:sz w:val="24"/>
                <w:szCs w:val="22"/>
                <w:u w:val="none"/>
                <w:lang w:val="en-US" w:eastAsia="zh-CN"/>
              </w:rPr>
              <w:t>为</w:t>
            </w:r>
            <w:r>
              <w:rPr>
                <w:rFonts w:hint="eastAsia" w:ascii="Times New Roman" w:hAnsi="Times New Roman" w:cs="Times New Roman"/>
                <w:b w:val="0"/>
                <w:bCs w:val="0"/>
                <w:color w:val="auto"/>
                <w:sz w:val="24"/>
                <w:szCs w:val="22"/>
                <w:u w:val="none"/>
                <w:lang w:val="en-US" w:eastAsia="zh-CN"/>
              </w:rPr>
              <w:t>3</w:t>
            </w:r>
            <w:r>
              <w:rPr>
                <w:rFonts w:hint="default" w:ascii="Times New Roman" w:hAnsi="Times New Roman" w:cs="Times New Roman"/>
                <w:b w:val="0"/>
                <w:bCs w:val="0"/>
                <w:color w:val="auto"/>
                <w:sz w:val="24"/>
                <w:szCs w:val="22"/>
                <w:u w:val="none"/>
              </w:rPr>
              <w:t>万m</w:t>
            </w:r>
            <w:r>
              <w:rPr>
                <w:rFonts w:hint="default" w:ascii="Times New Roman" w:hAnsi="Times New Roman" w:cs="Times New Roman"/>
                <w:b w:val="0"/>
                <w:bCs w:val="0"/>
                <w:color w:val="auto"/>
                <w:sz w:val="24"/>
                <w:szCs w:val="22"/>
                <w:u w:val="none"/>
                <w:vertAlign w:val="superscript"/>
              </w:rPr>
              <w:t>3</w:t>
            </w:r>
            <w:r>
              <w:rPr>
                <w:rFonts w:hint="default" w:ascii="Times New Roman" w:hAnsi="Times New Roman" w:cs="Times New Roman"/>
                <w:b w:val="0"/>
                <w:bCs w:val="0"/>
                <w:color w:val="auto"/>
                <w:sz w:val="24"/>
                <w:szCs w:val="22"/>
                <w:u w:val="none"/>
              </w:rPr>
              <w:t>/d。目前实际接纳水量约9500</w:t>
            </w:r>
            <w:r>
              <w:rPr>
                <w:rFonts w:hint="default" w:ascii="Times New Roman" w:hAnsi="Times New Roman" w:cs="Times New Roman"/>
                <w:b w:val="0"/>
                <w:bCs w:val="0"/>
                <w:color w:val="auto"/>
                <w:sz w:val="24"/>
                <w:szCs w:val="22"/>
                <w:u w:val="none"/>
                <w:lang w:val="en-US" w:eastAsia="zh-CN"/>
              </w:rPr>
              <w:t>t</w:t>
            </w:r>
            <w:r>
              <w:rPr>
                <w:rFonts w:hint="default" w:ascii="Times New Roman" w:hAnsi="Times New Roman" w:cs="Times New Roman"/>
                <w:b w:val="0"/>
                <w:bCs w:val="0"/>
                <w:color w:val="auto"/>
                <w:sz w:val="24"/>
                <w:szCs w:val="22"/>
                <w:u w:val="none"/>
              </w:rPr>
              <w:t>/d，</w:t>
            </w:r>
            <w:r>
              <w:rPr>
                <w:rFonts w:hint="default" w:ascii="Times New Roman" w:hAnsi="Times New Roman" w:cs="Times New Roman"/>
                <w:b w:val="0"/>
                <w:bCs w:val="0"/>
                <w:color w:val="auto"/>
                <w:sz w:val="24"/>
                <w:szCs w:val="22"/>
                <w:u w:val="none"/>
                <w:lang w:val="en-US" w:eastAsia="zh-CN"/>
              </w:rPr>
              <w:t>本项目</w:t>
            </w:r>
            <w:r>
              <w:rPr>
                <w:rFonts w:hint="default" w:ascii="Times New Roman" w:hAnsi="Times New Roman" w:cs="Times New Roman"/>
                <w:b w:val="0"/>
                <w:bCs w:val="0"/>
                <w:color w:val="auto"/>
                <w:sz w:val="24"/>
                <w:szCs w:val="22"/>
                <w:u w:val="none"/>
              </w:rPr>
              <w:t>职工生活污水排放量为</w:t>
            </w:r>
            <w:r>
              <w:rPr>
                <w:rFonts w:hint="eastAsia" w:cs="Times New Roman"/>
                <w:b w:val="0"/>
                <w:bCs w:val="0"/>
                <w:color w:val="auto"/>
                <w:sz w:val="24"/>
                <w:szCs w:val="22"/>
                <w:u w:val="none"/>
                <w:lang w:val="en-US" w:eastAsia="zh-CN"/>
              </w:rPr>
              <w:t>0.32</w:t>
            </w:r>
            <w:r>
              <w:rPr>
                <w:rFonts w:hint="default" w:ascii="Times New Roman" w:hAnsi="Times New Roman" w:cs="Times New Roman"/>
                <w:b w:val="0"/>
                <w:bCs w:val="0"/>
                <w:color w:val="auto"/>
                <w:sz w:val="24"/>
                <w:szCs w:val="22"/>
                <w:u w:val="none"/>
              </w:rPr>
              <w:t>m</w:t>
            </w:r>
            <w:r>
              <w:rPr>
                <w:rFonts w:hint="eastAsia" w:cs="Times New Roman"/>
                <w:b w:val="0"/>
                <w:bCs w:val="0"/>
                <w:color w:val="auto"/>
                <w:sz w:val="24"/>
                <w:szCs w:val="22"/>
                <w:u w:val="none"/>
                <w:vertAlign w:val="superscript"/>
                <w:lang w:val="en-US" w:eastAsia="zh-CN"/>
              </w:rPr>
              <w:t>3</w:t>
            </w:r>
            <w:r>
              <w:rPr>
                <w:rFonts w:hint="default" w:ascii="Times New Roman" w:hAnsi="Times New Roman" w:cs="Times New Roman"/>
                <w:b w:val="0"/>
                <w:bCs w:val="0"/>
                <w:color w:val="auto"/>
                <w:sz w:val="24"/>
                <w:szCs w:val="22"/>
                <w:u w:val="none"/>
              </w:rPr>
              <w:t>/d，有足够的余量接纳本项目废水</w:t>
            </w:r>
            <w:r>
              <w:rPr>
                <w:rFonts w:hint="default" w:ascii="Times New Roman" w:hAnsi="Times New Roman" w:cs="Times New Roman"/>
                <w:b w:val="0"/>
                <w:bCs w:val="0"/>
                <w:color w:val="auto"/>
                <w:sz w:val="24"/>
                <w:szCs w:val="22"/>
                <w:u w:val="none"/>
                <w:lang w:eastAsia="zh-CN"/>
              </w:rPr>
              <w:t>。</w:t>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eastAsia="宋体" w:cs="Times New Roman"/>
                <w:b w:val="0"/>
                <w:bCs w:val="0"/>
                <w:color w:val="auto"/>
                <w:sz w:val="24"/>
                <w:szCs w:val="22"/>
                <w:u w:val="none"/>
                <w:lang w:val="en-US" w:eastAsia="zh-CN"/>
              </w:rPr>
            </w:pPr>
            <w:r>
              <w:rPr>
                <w:rFonts w:hint="default" w:ascii="Times New Roman" w:hAnsi="Times New Roman" w:cs="Times New Roman"/>
                <w:b w:val="0"/>
                <w:bCs w:val="0"/>
                <w:color w:val="auto"/>
                <w:sz w:val="24"/>
                <w:szCs w:val="22"/>
                <w:u w:val="none"/>
                <w:lang w:val="en-US" w:eastAsia="zh-CN"/>
              </w:rPr>
              <w:t>4）与</w:t>
            </w:r>
            <w:r>
              <w:rPr>
                <w:rFonts w:hint="eastAsia" w:ascii="Times New Roman" w:hAnsi="Times New Roman" w:cs="Times New Roman"/>
                <w:color w:val="auto"/>
                <w:sz w:val="24"/>
                <w:szCs w:val="22"/>
                <w:lang w:val="en-US" w:eastAsia="zh-CN"/>
              </w:rPr>
              <w:t>鲁山县产业集聚区污水处理厂</w:t>
            </w:r>
            <w:r>
              <w:rPr>
                <w:rFonts w:hint="default" w:ascii="Times New Roman" w:hAnsi="Times New Roman" w:cs="Times New Roman"/>
                <w:b w:val="0"/>
                <w:bCs w:val="0"/>
                <w:color w:val="auto"/>
                <w:sz w:val="24"/>
                <w:szCs w:val="22"/>
                <w:u w:val="none"/>
                <w:lang w:val="en-US" w:eastAsia="zh-CN"/>
              </w:rPr>
              <w:t>进水水质要求相符性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项目废水产生及排放情况详见下表。</w:t>
            </w:r>
          </w:p>
          <w:p>
            <w:pPr>
              <w:pStyle w:val="10"/>
              <w:widowControl w:val="0"/>
              <w:spacing w:line="240" w:lineRule="auto"/>
              <w:ind w:firstLine="0" w:firstLineChars="0"/>
              <w:jc w:val="center"/>
              <w:rPr>
                <w:rFonts w:hint="default" w:ascii="Times New Roman" w:hAnsi="Times New Roman" w:cs="Times New Roman"/>
                <w:b/>
                <w:bCs/>
                <w:szCs w:val="24"/>
              </w:rPr>
            </w:pPr>
            <w:r>
              <w:rPr>
                <w:rFonts w:hint="default" w:ascii="Times New Roman" w:hAnsi="Times New Roman" w:cs="Times New Roman"/>
                <w:b/>
                <w:bCs/>
                <w:szCs w:val="24"/>
              </w:rPr>
              <w:t>表4-</w:t>
            </w:r>
            <w:r>
              <w:rPr>
                <w:rFonts w:hint="eastAsia" w:cs="Times New Roman"/>
                <w:b/>
                <w:bCs/>
                <w:szCs w:val="24"/>
                <w:lang w:val="en-US" w:eastAsia="zh-CN"/>
              </w:rPr>
              <w:t>7</w:t>
            </w:r>
            <w:r>
              <w:rPr>
                <w:rFonts w:hint="default" w:ascii="Times New Roman" w:hAnsi="Times New Roman" w:cs="Times New Roman"/>
                <w:b/>
                <w:bCs/>
                <w:szCs w:val="24"/>
              </w:rPr>
              <w:t>项目废水水质与接管标准、排放标准的对比情况一览表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2235"/>
              <w:gridCol w:w="1083"/>
              <w:gridCol w:w="1011"/>
              <w:gridCol w:w="933"/>
              <w:gridCol w:w="1312"/>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类别</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废水量（m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/a）</w:t>
                  </w:r>
                </w:p>
              </w:tc>
              <w:tc>
                <w:tcPr>
                  <w:tcW w:w="533"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bCs/>
                      <w:color w:val="auto"/>
                      <w:szCs w:val="21"/>
                    </w:rPr>
                    <w:t>COD</w:t>
                  </w:r>
                </w:p>
              </w:tc>
              <w:tc>
                <w:tcPr>
                  <w:tcW w:w="492"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bCs/>
                      <w:color w:val="auto"/>
                      <w:szCs w:val="21"/>
                    </w:rPr>
                    <w:t>SS</w:t>
                  </w:r>
                </w:p>
              </w:tc>
              <w:tc>
                <w:tcPr>
                  <w:tcW w:w="692"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694"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bCs/>
                      <w:color w:val="auto"/>
                      <w:szCs w:val="21"/>
                    </w:rPr>
                    <w:t>BOD</w:t>
                  </w:r>
                  <w:r>
                    <w:rPr>
                      <w:rFonts w:hint="default" w:ascii="Times New Roman" w:hAnsi="Times New Roman" w:cs="Times New Roman"/>
                      <w:bCs/>
                      <w:color w:val="auto"/>
                      <w:szCs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产生情况</w:t>
                  </w:r>
                </w:p>
              </w:tc>
              <w:tc>
                <w:tcPr>
                  <w:tcW w:w="117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浓度（mg/L）</w:t>
                  </w:r>
                </w:p>
              </w:tc>
              <w:tc>
                <w:tcPr>
                  <w:tcW w:w="571"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96</w:t>
                  </w:r>
                </w:p>
              </w:tc>
              <w:tc>
                <w:tcPr>
                  <w:tcW w:w="533"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289</w:t>
                  </w:r>
                </w:p>
              </w:tc>
              <w:tc>
                <w:tcPr>
                  <w:tcW w:w="492"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175</w:t>
                  </w:r>
                </w:p>
              </w:tc>
              <w:tc>
                <w:tcPr>
                  <w:tcW w:w="692"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24.25</w:t>
                  </w:r>
                </w:p>
              </w:tc>
              <w:tc>
                <w:tcPr>
                  <w:tcW w:w="694"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p>
              </w:tc>
              <w:tc>
                <w:tcPr>
                  <w:tcW w:w="117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产生量（t/a）</w:t>
                  </w:r>
                </w:p>
              </w:tc>
              <w:tc>
                <w:tcPr>
                  <w:tcW w:w="57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p>
              </w:tc>
              <w:tc>
                <w:tcPr>
                  <w:tcW w:w="533"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0.02</w:t>
                  </w:r>
                  <w:r>
                    <w:rPr>
                      <w:rFonts w:hint="eastAsia" w:cs="Times New Roman"/>
                      <w:bCs/>
                      <w:color w:val="auto"/>
                      <w:szCs w:val="21"/>
                      <w:lang w:val="en-US" w:eastAsia="zh-CN"/>
                    </w:rPr>
                    <w:t>8</w:t>
                  </w:r>
                </w:p>
              </w:tc>
              <w:tc>
                <w:tcPr>
                  <w:tcW w:w="492"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0.01</w:t>
                  </w:r>
                  <w:r>
                    <w:rPr>
                      <w:rFonts w:hint="eastAsia" w:cs="Times New Roman"/>
                      <w:bCs/>
                      <w:color w:val="auto"/>
                      <w:szCs w:val="21"/>
                      <w:lang w:val="en-US" w:eastAsia="zh-CN"/>
                    </w:rPr>
                    <w:t>7</w:t>
                  </w:r>
                </w:p>
              </w:tc>
              <w:tc>
                <w:tcPr>
                  <w:tcW w:w="692"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0.0023</w:t>
                  </w:r>
                </w:p>
              </w:tc>
              <w:tc>
                <w:tcPr>
                  <w:tcW w:w="694"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0.02</w:t>
                  </w:r>
                  <w:r>
                    <w:rPr>
                      <w:rFonts w:hint="eastAsia" w:cs="Times New Roman"/>
                      <w:bCs/>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01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sz w:val="21"/>
                      <w:szCs w:val="21"/>
                      <w:lang w:val="en-US" w:eastAsia="zh-CN"/>
                    </w:rPr>
                    <w:t>鲁山县产业集聚区污水处理厂</w:t>
                  </w:r>
                  <w:r>
                    <w:rPr>
                      <w:rFonts w:hint="default" w:ascii="Times New Roman" w:hAnsi="Times New Roman" w:cs="Times New Roman"/>
                      <w:b w:val="0"/>
                      <w:bCs w:val="0"/>
                      <w:color w:val="auto"/>
                      <w:sz w:val="21"/>
                      <w:szCs w:val="21"/>
                      <w:u w:val="none"/>
                    </w:rPr>
                    <w:t>设计进水水质要求</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5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360</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280</w:t>
                  </w:r>
                </w:p>
              </w:tc>
              <w:tc>
                <w:tcPr>
                  <w:tcW w:w="6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28</w:t>
                  </w:r>
                </w:p>
              </w:tc>
              <w:tc>
                <w:tcPr>
                  <w:tcW w:w="69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污水处理厂排放口</w:t>
                  </w:r>
                </w:p>
              </w:tc>
              <w:tc>
                <w:tcPr>
                  <w:tcW w:w="117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排放浓度（mg/L）</w:t>
                  </w:r>
                </w:p>
              </w:tc>
              <w:tc>
                <w:tcPr>
                  <w:tcW w:w="571"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96</w:t>
                  </w:r>
                </w:p>
              </w:tc>
              <w:tc>
                <w:tcPr>
                  <w:tcW w:w="5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50</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10</w:t>
                  </w:r>
                </w:p>
              </w:tc>
              <w:tc>
                <w:tcPr>
                  <w:tcW w:w="6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5</w:t>
                  </w:r>
                </w:p>
              </w:tc>
              <w:tc>
                <w:tcPr>
                  <w:tcW w:w="69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p>
              </w:tc>
              <w:tc>
                <w:tcPr>
                  <w:tcW w:w="117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排放量（t/a）</w:t>
                  </w:r>
                </w:p>
              </w:tc>
              <w:tc>
                <w:tcPr>
                  <w:tcW w:w="57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p>
              </w:tc>
              <w:tc>
                <w:tcPr>
                  <w:tcW w:w="5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0.0048</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0.00</w:t>
                  </w:r>
                  <w:r>
                    <w:rPr>
                      <w:rFonts w:hint="eastAsia" w:cs="Times New Roman"/>
                      <w:color w:val="auto"/>
                      <w:kern w:val="0"/>
                      <w:sz w:val="21"/>
                      <w:szCs w:val="21"/>
                      <w:vertAlign w:val="baseline"/>
                      <w:lang w:val="en-US" w:eastAsia="zh-CN"/>
                    </w:rPr>
                    <w:t>097</w:t>
                  </w:r>
                </w:p>
              </w:tc>
              <w:tc>
                <w:tcPr>
                  <w:tcW w:w="6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0.00</w:t>
                  </w:r>
                  <w:r>
                    <w:rPr>
                      <w:rFonts w:hint="eastAsia" w:cs="Times New Roman"/>
                      <w:color w:val="auto"/>
                      <w:kern w:val="0"/>
                      <w:sz w:val="21"/>
                      <w:szCs w:val="21"/>
                      <w:vertAlign w:val="baseline"/>
                      <w:lang w:val="en-US" w:eastAsia="zh-CN"/>
                    </w:rPr>
                    <w:t>047</w:t>
                  </w:r>
                </w:p>
              </w:tc>
              <w:tc>
                <w:tcPr>
                  <w:tcW w:w="69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0.00</w:t>
                  </w:r>
                  <w:r>
                    <w:rPr>
                      <w:rFonts w:hint="eastAsia" w:cs="Times New Roman"/>
                      <w:color w:val="auto"/>
                      <w:kern w:val="0"/>
                      <w:sz w:val="21"/>
                      <w:szCs w:val="21"/>
                      <w:vertAlign w:val="baseline"/>
                      <w:lang w:val="en-US" w:eastAsia="zh-CN"/>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《城镇污水处理厂污染物排放标准》</w:t>
                  </w:r>
                  <w:r>
                    <w:rPr>
                      <w:rFonts w:hint="eastAsia" w:cs="Times New Roman"/>
                      <w:color w:val="auto"/>
                      <w:kern w:val="0"/>
                      <w:sz w:val="21"/>
                      <w:szCs w:val="21"/>
                      <w:vertAlign w:val="baseline"/>
                      <w:lang w:val="en-US" w:eastAsia="zh-CN"/>
                    </w:rPr>
                    <w:t>（</w:t>
                  </w:r>
                  <w:r>
                    <w:rPr>
                      <w:rFonts w:hint="default" w:ascii="Times New Roman" w:hAnsi="Times New Roman" w:cs="Times New Roman"/>
                      <w:color w:val="auto"/>
                      <w:kern w:val="0"/>
                      <w:sz w:val="21"/>
                      <w:szCs w:val="21"/>
                      <w:vertAlign w:val="baseline"/>
                      <w:lang w:val="en-US" w:eastAsia="zh-CN"/>
                    </w:rPr>
                    <w:t>GB18918-2002）一级A标准</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5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≤50</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≤10</w:t>
                  </w:r>
                </w:p>
              </w:tc>
              <w:tc>
                <w:tcPr>
                  <w:tcW w:w="6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≤5</w:t>
                  </w:r>
                </w:p>
              </w:tc>
              <w:tc>
                <w:tcPr>
                  <w:tcW w:w="69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≤10</w:t>
                  </w:r>
                </w:p>
              </w:tc>
            </w:tr>
          </w:tbl>
          <w:p>
            <w:pPr>
              <w:keepNext w:val="0"/>
              <w:keepLines w:val="0"/>
              <w:pageBreakBefore w:val="0"/>
              <w:widowControl w:val="0"/>
              <w:bidi w:val="0"/>
              <w:adjustRightInd w:val="0"/>
              <w:snapToGrid w:val="0"/>
              <w:spacing w:line="360" w:lineRule="auto"/>
              <w:ind w:firstLine="480" w:firstLineChars="200"/>
              <w:rPr>
                <w:rFonts w:hint="default" w:ascii="Times New Roman" w:hAnsi="Times New Roman" w:cs="Times New Roman"/>
                <w:b w:val="0"/>
                <w:bCs w:val="0"/>
                <w:color w:val="auto"/>
                <w:sz w:val="24"/>
                <w:szCs w:val="22"/>
                <w:u w:val="none"/>
              </w:rPr>
            </w:pPr>
            <w:r>
              <w:rPr>
                <w:rFonts w:hint="default" w:ascii="Times New Roman" w:hAnsi="Times New Roman" w:cs="Times New Roman"/>
                <w:sz w:val="24"/>
                <w:szCs w:val="24"/>
              </w:rPr>
              <w:t>由上表可知，</w:t>
            </w:r>
            <w:r>
              <w:rPr>
                <w:rFonts w:hint="eastAsia" w:ascii="Times New Roman" w:hAnsi="Times New Roman" w:cs="Times New Roman"/>
                <w:color w:val="auto"/>
                <w:sz w:val="24"/>
                <w:szCs w:val="22"/>
                <w:lang w:val="en-US" w:eastAsia="zh-CN"/>
              </w:rPr>
              <w:t>鲁山县产业集聚区污水处理厂</w:t>
            </w:r>
            <w:r>
              <w:rPr>
                <w:rFonts w:hint="default" w:ascii="Times New Roman" w:hAnsi="Times New Roman" w:cs="Times New Roman"/>
                <w:b w:val="0"/>
                <w:bCs w:val="0"/>
                <w:color w:val="auto"/>
                <w:sz w:val="24"/>
                <w:szCs w:val="22"/>
                <w:u w:val="none"/>
              </w:rPr>
              <w:t>设计进水水质要求：COD≤360mg/L、SS≤</w:t>
            </w:r>
            <w:r>
              <w:rPr>
                <w:rFonts w:hint="eastAsia" w:ascii="Times New Roman" w:hAnsi="Times New Roman" w:cs="Times New Roman"/>
                <w:b w:val="0"/>
                <w:bCs w:val="0"/>
                <w:color w:val="auto"/>
                <w:sz w:val="24"/>
                <w:szCs w:val="22"/>
                <w:u w:val="none"/>
                <w:lang w:val="en-US" w:eastAsia="zh-CN"/>
              </w:rPr>
              <w:t>280</w:t>
            </w:r>
            <w:r>
              <w:rPr>
                <w:rFonts w:hint="default" w:ascii="Times New Roman" w:hAnsi="Times New Roman" w:cs="Times New Roman"/>
                <w:b w:val="0"/>
                <w:bCs w:val="0"/>
                <w:color w:val="auto"/>
                <w:sz w:val="24"/>
                <w:szCs w:val="22"/>
                <w:u w:val="none"/>
              </w:rPr>
              <w:t>mg/L、NH</w:t>
            </w:r>
            <w:r>
              <w:rPr>
                <w:rFonts w:hint="default" w:ascii="Times New Roman" w:hAnsi="Times New Roman" w:cs="Times New Roman"/>
                <w:b w:val="0"/>
                <w:bCs w:val="0"/>
                <w:color w:val="auto"/>
                <w:sz w:val="24"/>
                <w:szCs w:val="22"/>
                <w:u w:val="none"/>
                <w:vertAlign w:val="subscript"/>
              </w:rPr>
              <w:t>3</w:t>
            </w:r>
            <w:r>
              <w:rPr>
                <w:rFonts w:hint="default" w:ascii="Times New Roman" w:hAnsi="Times New Roman" w:cs="Times New Roman"/>
                <w:b w:val="0"/>
                <w:bCs w:val="0"/>
                <w:color w:val="auto"/>
                <w:sz w:val="24"/>
                <w:szCs w:val="22"/>
                <w:u w:val="none"/>
              </w:rPr>
              <w:t>-N≤</w:t>
            </w:r>
            <w:r>
              <w:rPr>
                <w:rFonts w:hint="eastAsia" w:ascii="Times New Roman" w:hAnsi="Times New Roman" w:cs="Times New Roman"/>
                <w:b w:val="0"/>
                <w:bCs w:val="0"/>
                <w:color w:val="auto"/>
                <w:sz w:val="24"/>
                <w:szCs w:val="22"/>
                <w:u w:val="none"/>
                <w:lang w:val="en-US" w:eastAsia="zh-CN"/>
              </w:rPr>
              <w:t>28</w:t>
            </w:r>
            <w:r>
              <w:rPr>
                <w:rFonts w:hint="default" w:ascii="Times New Roman" w:hAnsi="Times New Roman" w:cs="Times New Roman"/>
                <w:b w:val="0"/>
                <w:bCs w:val="0"/>
                <w:color w:val="auto"/>
                <w:sz w:val="24"/>
                <w:szCs w:val="22"/>
                <w:u w:val="none"/>
              </w:rPr>
              <w:t>mg/L，污水可以满足污水处理厂进水水质要求</w:t>
            </w:r>
            <w:r>
              <w:rPr>
                <w:rFonts w:hint="default" w:ascii="Times New Roman" w:hAnsi="Times New Roman" w:cs="Times New Roman"/>
                <w:b w:val="0"/>
                <w:bCs w:val="0"/>
                <w:color w:val="auto"/>
                <w:sz w:val="24"/>
                <w:szCs w:val="22"/>
                <w:u w:val="none"/>
                <w:lang w:eastAsia="zh-CN"/>
              </w:rPr>
              <w:t>。</w:t>
            </w:r>
            <w:r>
              <w:rPr>
                <w:rFonts w:hint="default" w:ascii="Times New Roman" w:hAnsi="Times New Roman" w:cs="Times New Roman"/>
                <w:b w:val="0"/>
                <w:bCs w:val="0"/>
                <w:color w:val="auto"/>
                <w:sz w:val="24"/>
                <w:szCs w:val="22"/>
                <w:u w:val="none"/>
              </w:rPr>
              <w:t>因此可以通过污水管网进入</w:t>
            </w:r>
            <w:r>
              <w:rPr>
                <w:rFonts w:hint="eastAsia" w:ascii="Times New Roman" w:hAnsi="Times New Roman" w:cs="Times New Roman"/>
                <w:b w:val="0"/>
                <w:bCs w:val="0"/>
                <w:color w:val="auto"/>
                <w:sz w:val="24"/>
                <w:szCs w:val="22"/>
                <w:u w:val="none"/>
                <w:lang w:eastAsia="zh-CN"/>
              </w:rPr>
              <w:t>鲁山县产业集聚区污水处理厂</w:t>
            </w:r>
            <w:r>
              <w:rPr>
                <w:rFonts w:hint="default" w:ascii="Times New Roman" w:hAnsi="Times New Roman" w:cs="Times New Roman"/>
                <w:b w:val="0"/>
                <w:bCs w:val="0"/>
                <w:color w:val="auto"/>
                <w:sz w:val="24"/>
                <w:szCs w:val="22"/>
                <w:u w:val="none"/>
              </w:rPr>
              <w:t>。</w:t>
            </w:r>
            <w:r>
              <w:rPr>
                <w:rFonts w:hint="eastAsia" w:ascii="Times New Roman" w:hAnsi="Times New Roman" w:cs="Times New Roman"/>
                <w:b w:val="0"/>
                <w:bCs w:val="0"/>
                <w:color w:val="auto"/>
                <w:sz w:val="24"/>
                <w:szCs w:val="22"/>
                <w:u w:val="none"/>
                <w:lang w:eastAsia="zh-CN"/>
              </w:rPr>
              <w:t>鲁山县产业集聚区污水处理厂</w:t>
            </w:r>
            <w:r>
              <w:rPr>
                <w:rFonts w:hint="default" w:ascii="Times New Roman" w:hAnsi="Times New Roman" w:cs="Times New Roman"/>
                <w:b w:val="0"/>
                <w:bCs w:val="0"/>
                <w:color w:val="auto"/>
                <w:sz w:val="24"/>
                <w:szCs w:val="22"/>
                <w:u w:val="none"/>
              </w:rPr>
              <w:t>采用改良型氧化沟及深度处理工艺，出水满足《城镇污水处理厂污染物排放标准》（GB18918-2002）中一级A标准限值（COD≤50mg/L、NH</w:t>
            </w:r>
            <w:r>
              <w:rPr>
                <w:rFonts w:hint="default" w:ascii="Times New Roman" w:hAnsi="Times New Roman" w:cs="Times New Roman"/>
                <w:b w:val="0"/>
                <w:bCs w:val="0"/>
                <w:color w:val="auto"/>
                <w:sz w:val="24"/>
                <w:szCs w:val="22"/>
                <w:u w:val="none"/>
                <w:vertAlign w:val="subscript"/>
              </w:rPr>
              <w:t>3</w:t>
            </w:r>
            <w:r>
              <w:rPr>
                <w:rFonts w:hint="default" w:ascii="Times New Roman" w:hAnsi="Times New Roman" w:cs="Times New Roman"/>
                <w:b w:val="0"/>
                <w:bCs w:val="0"/>
                <w:color w:val="auto"/>
                <w:sz w:val="24"/>
                <w:szCs w:val="22"/>
                <w:u w:val="none"/>
              </w:rPr>
              <w:t>-N≤5mg/L）要求，</w:t>
            </w:r>
            <w:r>
              <w:rPr>
                <w:rFonts w:hint="eastAsia" w:cs="Times New Roman"/>
                <w:snapToGrid w:val="0"/>
                <w:color w:val="auto"/>
                <w:kern w:val="0"/>
                <w:sz w:val="24"/>
                <w:szCs w:val="24"/>
                <w:lang w:val="en-US" w:eastAsia="zh-CN"/>
              </w:rPr>
              <w:t>最终中水全部回用</w:t>
            </w:r>
            <w:r>
              <w:rPr>
                <w:rFonts w:hint="default" w:ascii="Times New Roman" w:hAnsi="Times New Roman" w:cs="Times New Roman"/>
                <w:b w:val="0"/>
                <w:bCs w:val="0"/>
                <w:color w:val="auto"/>
                <w:sz w:val="24"/>
                <w:szCs w:val="22"/>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b w:val="0"/>
                <w:bCs w:val="0"/>
                <w:color w:val="auto"/>
                <w:sz w:val="24"/>
                <w:szCs w:val="22"/>
                <w:u w:val="none"/>
              </w:rPr>
              <w:t>综上所述，本项目废水经化粪池</w:t>
            </w:r>
            <w:r>
              <w:rPr>
                <w:rFonts w:hint="eastAsia" w:cs="Times New Roman"/>
                <w:b w:val="0"/>
                <w:bCs w:val="0"/>
                <w:color w:val="auto"/>
                <w:sz w:val="24"/>
                <w:szCs w:val="22"/>
                <w:u w:val="none"/>
                <w:lang w:val="en-US" w:eastAsia="zh-CN"/>
              </w:rPr>
              <w:t>预</w:t>
            </w:r>
            <w:r>
              <w:rPr>
                <w:rFonts w:hint="default" w:ascii="Times New Roman" w:hAnsi="Times New Roman" w:cs="Times New Roman"/>
                <w:b w:val="0"/>
                <w:bCs w:val="0"/>
                <w:color w:val="auto"/>
                <w:sz w:val="24"/>
                <w:szCs w:val="22"/>
                <w:u w:val="none"/>
              </w:rPr>
              <w:t>处理后，各污染物浓度满足污水处理厂进厂指标要求，且污水管网已</w:t>
            </w:r>
            <w:r>
              <w:rPr>
                <w:rFonts w:hint="eastAsia" w:ascii="Times New Roman" w:hAnsi="Times New Roman" w:cs="Times New Roman"/>
                <w:b w:val="0"/>
                <w:bCs w:val="0"/>
                <w:color w:val="auto"/>
                <w:sz w:val="24"/>
                <w:szCs w:val="22"/>
                <w:u w:val="none"/>
                <w:lang w:val="en-US" w:eastAsia="zh-CN"/>
              </w:rPr>
              <w:t>铺设</w:t>
            </w:r>
            <w:r>
              <w:rPr>
                <w:rFonts w:hint="default" w:ascii="Times New Roman" w:hAnsi="Times New Roman" w:cs="Times New Roman"/>
                <w:b w:val="0"/>
                <w:bCs w:val="0"/>
                <w:color w:val="auto"/>
                <w:sz w:val="24"/>
                <w:szCs w:val="22"/>
                <w:u w:val="none"/>
              </w:rPr>
              <w:t>，本项目生活污水产生量为</w:t>
            </w:r>
            <w:r>
              <w:rPr>
                <w:rFonts w:hint="eastAsia" w:cs="Times New Roman"/>
                <w:b w:val="0"/>
                <w:bCs w:val="0"/>
                <w:color w:val="auto"/>
                <w:sz w:val="24"/>
                <w:szCs w:val="22"/>
                <w:u w:val="none"/>
                <w:lang w:val="en-US" w:eastAsia="zh-CN"/>
              </w:rPr>
              <w:t>0.32</w:t>
            </w:r>
            <w:r>
              <w:rPr>
                <w:rFonts w:hint="default" w:ascii="Times New Roman" w:hAnsi="Times New Roman" w:cs="Times New Roman"/>
                <w:b w:val="0"/>
                <w:bCs w:val="0"/>
                <w:color w:val="auto"/>
                <w:sz w:val="24"/>
                <w:szCs w:val="22"/>
                <w:u w:val="none"/>
              </w:rPr>
              <w:t>t/d，不会增加污水处理厂的处理负荷，其冲击较小。由此可知，本项目废水经</w:t>
            </w:r>
            <w:r>
              <w:rPr>
                <w:rFonts w:hint="eastAsia" w:ascii="Times New Roman" w:hAnsi="Times New Roman" w:cs="Times New Roman"/>
                <w:color w:val="auto"/>
                <w:sz w:val="24"/>
                <w:lang w:val="en-US" w:eastAsia="zh-CN"/>
              </w:rPr>
              <w:t>现有</w:t>
            </w:r>
            <w:r>
              <w:rPr>
                <w:rFonts w:hint="default" w:ascii="Times New Roman" w:hAnsi="Times New Roman" w:cs="Times New Roman"/>
                <w:b w:val="0"/>
                <w:bCs w:val="0"/>
                <w:color w:val="auto"/>
                <w:sz w:val="24"/>
                <w:szCs w:val="22"/>
                <w:u w:val="none"/>
              </w:rPr>
              <w:t>化粪池处理达标后进入污水处理厂可行，项目建成营运后排放的废水对周围水环境影响较小。</w:t>
            </w:r>
          </w:p>
          <w:p>
            <w:pPr>
              <w:numPr>
                <w:ilvl w:val="0"/>
                <w:numId w:val="10"/>
              </w:numPr>
              <w:adjustRightInd w:val="0"/>
              <w:spacing w:line="360" w:lineRule="auto"/>
              <w:ind w:left="0" w:firstLine="482" w:firstLineChars="200"/>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项目水平衡图</w:t>
            </w:r>
          </w:p>
          <w:p>
            <w:pPr>
              <w:pStyle w:val="10"/>
              <w:ind w:firstLine="480"/>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本项目运营</w:t>
            </w:r>
            <w:r>
              <w:rPr>
                <w:rFonts w:hint="default" w:ascii="Times New Roman" w:hAnsi="Times New Roman" w:cs="Times New Roman"/>
                <w:b w:val="0"/>
                <w:bCs w:val="0"/>
                <w:color w:val="auto"/>
                <w:u w:val="none"/>
                <w:lang w:eastAsia="zh-CN"/>
              </w:rPr>
              <w:t>期间</w:t>
            </w:r>
            <w:r>
              <w:rPr>
                <w:rFonts w:hint="eastAsia" w:cs="Times New Roman"/>
                <w:b w:val="0"/>
                <w:bCs w:val="0"/>
                <w:color w:val="auto"/>
                <w:u w:val="none"/>
                <w:lang w:eastAsia="zh-CN"/>
              </w:rPr>
              <w:t>地</w:t>
            </w:r>
            <w:r>
              <w:rPr>
                <w:rFonts w:hint="default" w:ascii="Times New Roman" w:hAnsi="Times New Roman" w:cs="Times New Roman"/>
                <w:b w:val="0"/>
                <w:bCs w:val="0"/>
                <w:color w:val="auto"/>
                <w:u w:val="none"/>
                <w:lang w:eastAsia="zh-CN"/>
              </w:rPr>
              <w:t>水平</w:t>
            </w:r>
            <w:r>
              <w:rPr>
                <w:rFonts w:hint="default" w:ascii="Times New Roman" w:hAnsi="Times New Roman" w:cs="Times New Roman"/>
                <w:b w:val="0"/>
                <w:bCs w:val="0"/>
                <w:color w:val="auto"/>
                <w:u w:val="none"/>
              </w:rPr>
              <w:t>衡图见下图所示：</w:t>
            </w:r>
          </w:p>
          <w:p>
            <w:pPr>
              <w:pStyle w:val="15"/>
              <w:keepNext w:val="0"/>
              <w:keepLines w:val="0"/>
              <w:pageBreakBefore w:val="0"/>
              <w:widowControl w:val="0"/>
              <w:kinsoku/>
              <w:wordWrap/>
              <w:overflowPunct/>
              <w:topLinePunct w:val="0"/>
              <w:bidi w:val="0"/>
              <w:adjustRightInd w:val="0"/>
              <w:snapToGrid w:val="0"/>
              <w:spacing w:line="360" w:lineRule="auto"/>
              <w:ind w:left="0" w:leftChars="0" w:firstLine="0" w:firstLineChars="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object>
                <v:shape id="_x0000_i1027" o:spt="75" type="#_x0000_t75" style="height:94.9pt;width:388.95pt;" o:ole="t" filled="f" o:preferrelative="t" stroked="f" coordsize="21600,21600">
                  <v:path/>
                  <v:fill on="f" focussize="0,0"/>
                  <v:stroke on="f"/>
                  <v:imagedata r:id="rId23" o:title=""/>
                  <o:lock v:ext="edit" aspectratio="f"/>
                  <w10:wrap type="none"/>
                  <w10:anchorlock/>
                </v:shape>
                <o:OLEObject Type="Embed" ProgID="Visio.Drawing.15" ShapeID="_x0000_i1027" DrawAspect="Content" ObjectID="_1468075727" r:id="rId22">
                  <o:LockedField>false</o:LockedField>
                </o:OLEObject>
              </w:object>
            </w:r>
          </w:p>
          <w:p>
            <w:pPr>
              <w:pStyle w:val="15"/>
              <w:keepNext w:val="0"/>
              <w:keepLines w:val="0"/>
              <w:pageBreakBefore w:val="0"/>
              <w:widowControl w:val="0"/>
              <w:kinsoku/>
              <w:wordWrap/>
              <w:overflowPunct/>
              <w:topLinePunct w:val="0"/>
              <w:bidi w:val="0"/>
              <w:adjustRightInd w:val="0"/>
              <w:snapToGrid w:val="0"/>
              <w:spacing w:line="360" w:lineRule="auto"/>
              <w:ind w:left="0" w:leftChars="0" w:firstLine="0" w:firstLineChars="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图</w:t>
            </w:r>
            <w:r>
              <w:rPr>
                <w:rFonts w:hint="default" w:ascii="Times New Roman" w:hAnsi="Times New Roman" w:cs="Times New Roman"/>
                <w:b/>
                <w:bCs/>
                <w:color w:val="auto"/>
                <w:kern w:val="0"/>
                <w:sz w:val="24"/>
                <w:szCs w:val="24"/>
                <w:lang w:val="en-US" w:eastAsia="zh-CN" w:bidi="ar"/>
              </w:rPr>
              <w:t>4</w:t>
            </w:r>
            <w:r>
              <w:rPr>
                <w:rFonts w:hint="default" w:ascii="Times New Roman" w:hAnsi="Times New Roman" w:eastAsia="宋体" w:cs="Times New Roman"/>
                <w:b/>
                <w:bCs/>
                <w:color w:val="auto"/>
                <w:kern w:val="0"/>
                <w:sz w:val="24"/>
                <w:szCs w:val="24"/>
                <w:lang w:val="en-US" w:eastAsia="zh-CN" w:bidi="ar"/>
              </w:rPr>
              <w:t>-</w:t>
            </w:r>
            <w:r>
              <w:rPr>
                <w:rFonts w:hint="eastAsia"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项目水平衡图单位：m</w:t>
            </w:r>
            <w:r>
              <w:rPr>
                <w:rFonts w:hint="default" w:ascii="Times New Roman" w:hAnsi="Times New Roman" w:eastAsia="宋体" w:cs="Times New Roman"/>
                <w:b/>
                <w:bCs/>
                <w:color w:val="auto"/>
                <w:kern w:val="0"/>
                <w:sz w:val="24"/>
                <w:szCs w:val="24"/>
                <w:vertAlign w:val="superscript"/>
                <w:lang w:val="en-US" w:eastAsia="zh-CN" w:bidi="ar"/>
              </w:rPr>
              <w:t>3</w:t>
            </w:r>
            <w:r>
              <w:rPr>
                <w:rFonts w:hint="default" w:ascii="Times New Roman" w:hAnsi="Times New Roman" w:eastAsia="宋体" w:cs="Times New Roman"/>
                <w:b/>
                <w:bCs/>
                <w:color w:val="auto"/>
                <w:kern w:val="0"/>
                <w:sz w:val="24"/>
                <w:szCs w:val="24"/>
                <w:lang w:val="en-US" w:eastAsia="zh-CN" w:bidi="ar"/>
              </w:rPr>
              <w:t>/d</w:t>
            </w:r>
          </w:p>
          <w:p>
            <w:pPr>
              <w:numPr>
                <w:ilvl w:val="0"/>
                <w:numId w:val="10"/>
              </w:numPr>
              <w:adjustRightInd w:val="0"/>
              <w:spacing w:line="360" w:lineRule="auto"/>
              <w:ind w:left="0" w:firstLine="482" w:firstLineChars="200"/>
              <w:rPr>
                <w:rFonts w:hint="default" w:ascii="Times New Roman" w:hAnsi="Times New Roman" w:cs="Times New Roman"/>
                <w:b/>
                <w:bCs/>
                <w:sz w:val="24"/>
              </w:rPr>
            </w:pPr>
            <w:r>
              <w:rPr>
                <w:rFonts w:hint="default" w:ascii="Times New Roman" w:hAnsi="Times New Roman" w:cs="Times New Roman"/>
                <w:b/>
                <w:bCs/>
                <w:sz w:val="24"/>
              </w:rPr>
              <w:t>废水治理设施及排放情况</w:t>
            </w:r>
          </w:p>
          <w:p>
            <w:pPr>
              <w:pStyle w:val="10"/>
              <w:ind w:firstLine="480"/>
              <w:rPr>
                <w:rFonts w:hint="default" w:ascii="Times New Roman" w:hAnsi="Times New Roman" w:cs="Times New Roman"/>
                <w:b/>
                <w:bCs/>
                <w:kern w:val="2"/>
                <w:szCs w:val="24"/>
              </w:rPr>
            </w:pPr>
            <w:r>
              <w:rPr>
                <w:rFonts w:hint="default" w:ascii="Times New Roman" w:hAnsi="Times New Roman" w:cs="Times New Roman"/>
                <w:b/>
                <w:bCs/>
                <w:kern w:val="2"/>
                <w:szCs w:val="24"/>
              </w:rPr>
              <w:t>①废水类别、污染物及污染物治理设施信息表</w:t>
            </w:r>
          </w:p>
          <w:p>
            <w:pPr>
              <w:pStyle w:val="10"/>
              <w:widowControl w:val="0"/>
              <w:spacing w:line="240" w:lineRule="auto"/>
              <w:ind w:firstLine="0" w:firstLineChars="0"/>
              <w:jc w:val="center"/>
              <w:rPr>
                <w:rFonts w:hint="default" w:ascii="Times New Roman" w:hAnsi="Times New Roman" w:cs="Times New Roman"/>
                <w:b/>
                <w:bCs/>
                <w:szCs w:val="24"/>
              </w:rPr>
            </w:pPr>
            <w:r>
              <w:rPr>
                <w:rFonts w:hint="default" w:ascii="Times New Roman" w:hAnsi="Times New Roman" w:cs="Times New Roman"/>
                <w:b/>
                <w:bCs/>
                <w:szCs w:val="24"/>
              </w:rPr>
              <w:t>表4-</w:t>
            </w:r>
            <w:r>
              <w:rPr>
                <w:rFonts w:hint="eastAsia" w:cs="Times New Roman"/>
                <w:b/>
                <w:bCs/>
                <w:szCs w:val="24"/>
                <w:lang w:val="en-US" w:eastAsia="zh-CN"/>
              </w:rPr>
              <w:t>8</w:t>
            </w:r>
            <w:r>
              <w:rPr>
                <w:rFonts w:hint="default" w:ascii="Times New Roman" w:hAnsi="Times New Roman" w:cs="Times New Roman"/>
                <w:b/>
                <w:bCs/>
                <w:szCs w:val="24"/>
              </w:rPr>
              <w:t>废水类别、污染物及污染物治理设施信息表</w:t>
            </w:r>
          </w:p>
          <w:tbl>
            <w:tblPr>
              <w:tblStyle w:val="24"/>
              <w:tblW w:w="4999"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15" w:type="dxa"/>
                <w:left w:w="15" w:type="dxa"/>
                <w:bottom w:w="15" w:type="dxa"/>
                <w:right w:w="15" w:type="dxa"/>
              </w:tblCellMar>
            </w:tblPr>
            <w:tblGrid>
              <w:gridCol w:w="924"/>
              <w:gridCol w:w="1113"/>
              <w:gridCol w:w="688"/>
              <w:gridCol w:w="541"/>
              <w:gridCol w:w="1090"/>
              <w:gridCol w:w="1064"/>
              <w:gridCol w:w="988"/>
              <w:gridCol w:w="915"/>
              <w:gridCol w:w="1141"/>
              <w:gridCol w:w="1024"/>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15" w:type="dxa"/>
                  <w:left w:w="15" w:type="dxa"/>
                  <w:bottom w:w="15" w:type="dxa"/>
                  <w:right w:w="15" w:type="dxa"/>
                </w:tblCellMar>
              </w:tblPrEx>
              <w:trPr>
                <w:trHeight w:val="301" w:hRule="atLeast"/>
                <w:jc w:val="center"/>
              </w:trPr>
              <w:tc>
                <w:tcPr>
                  <w:tcW w:w="487"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废水类别</w:t>
                  </w:r>
                </w:p>
              </w:tc>
              <w:tc>
                <w:tcPr>
                  <w:tcW w:w="586"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污染物种类</w:t>
                  </w:r>
                </w:p>
              </w:tc>
              <w:tc>
                <w:tcPr>
                  <w:tcW w:w="362"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排放去向</w:t>
                  </w:r>
                </w:p>
              </w:tc>
              <w:tc>
                <w:tcPr>
                  <w:tcW w:w="285"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排放规律</w:t>
                  </w:r>
                </w:p>
              </w:tc>
              <w:tc>
                <w:tcPr>
                  <w:tcW w:w="1654" w:type="pct"/>
                  <w:gridSpan w:val="3"/>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污染物治理设施</w:t>
                  </w:r>
                </w:p>
              </w:tc>
              <w:tc>
                <w:tcPr>
                  <w:tcW w:w="482"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排放</w:t>
                  </w:r>
                  <w:r>
                    <w:rPr>
                      <w:rFonts w:hint="default" w:ascii="Times New Roman" w:hAnsi="Times New Roman" w:cs="Times New Roman"/>
                      <w:highlight w:val="none"/>
                      <w:lang w:val="en-US" w:eastAsia="zh-CN"/>
                    </w:rPr>
                    <w:t>口</w:t>
                  </w:r>
                  <w:r>
                    <w:rPr>
                      <w:rFonts w:hint="default" w:ascii="Times New Roman" w:hAnsi="Times New Roman" w:cs="Times New Roman"/>
                    </w:rPr>
                    <w:t>编号</w:t>
                  </w:r>
                </w:p>
              </w:tc>
              <w:tc>
                <w:tcPr>
                  <w:tcW w:w="601"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排放</w:t>
                  </w:r>
                  <w:r>
                    <w:rPr>
                      <w:rFonts w:hint="default" w:ascii="Times New Roman" w:hAnsi="Times New Roman" w:cs="Times New Roman"/>
                      <w:lang w:val="en-US" w:eastAsia="zh-CN"/>
                    </w:rPr>
                    <w:t>口</w:t>
                  </w:r>
                  <w:r>
                    <w:rPr>
                      <w:rFonts w:hint="default" w:ascii="Times New Roman" w:hAnsi="Times New Roman" w:cs="Times New Roman"/>
                    </w:rPr>
                    <w:t>设置是否符合要求</w:t>
                  </w:r>
                </w:p>
              </w:tc>
              <w:tc>
                <w:tcPr>
                  <w:tcW w:w="539"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排放</w:t>
                  </w:r>
                  <w:r>
                    <w:rPr>
                      <w:rFonts w:hint="default" w:ascii="Times New Roman" w:hAnsi="Times New Roman" w:cs="Times New Roman"/>
                      <w:highlight w:val="none"/>
                      <w:lang w:val="en-US" w:eastAsia="zh-CN"/>
                    </w:rPr>
                    <w:t>口</w:t>
                  </w:r>
                  <w:r>
                    <w:rPr>
                      <w:rFonts w:hint="default" w:ascii="Times New Roman" w:hAnsi="Times New Roman" w:cs="Times New Roman"/>
                    </w:rPr>
                    <w:t>类型</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15" w:type="dxa"/>
                  <w:left w:w="15" w:type="dxa"/>
                  <w:bottom w:w="15" w:type="dxa"/>
                  <w:right w:w="15" w:type="dxa"/>
                </w:tblCellMar>
              </w:tblPrEx>
              <w:trPr>
                <w:trHeight w:val="301" w:hRule="atLeast"/>
                <w:jc w:val="center"/>
              </w:trPr>
              <w:tc>
                <w:tcPr>
                  <w:tcW w:w="487"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c>
                <w:tcPr>
                  <w:tcW w:w="586"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c>
                <w:tcPr>
                  <w:tcW w:w="362"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c>
                <w:tcPr>
                  <w:tcW w:w="285"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c>
                <w:tcPr>
                  <w:tcW w:w="574"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污染治理设施编号</w:t>
                  </w:r>
                </w:p>
              </w:tc>
              <w:tc>
                <w:tcPr>
                  <w:tcW w:w="560"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污染治理设施名称</w:t>
                  </w:r>
                </w:p>
              </w:tc>
              <w:tc>
                <w:tcPr>
                  <w:tcW w:w="519"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污染治理设施工艺</w:t>
                  </w:r>
                </w:p>
              </w:tc>
              <w:tc>
                <w:tcPr>
                  <w:tcW w:w="482"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c>
                <w:tcPr>
                  <w:tcW w:w="601"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c>
                <w:tcPr>
                  <w:tcW w:w="539"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15" w:type="dxa"/>
                  <w:left w:w="15" w:type="dxa"/>
                  <w:bottom w:w="15" w:type="dxa"/>
                  <w:right w:w="15" w:type="dxa"/>
                </w:tblCellMar>
              </w:tblPrEx>
              <w:trPr>
                <w:trHeight w:val="301" w:hRule="atLeast"/>
                <w:jc w:val="center"/>
              </w:trPr>
              <w:tc>
                <w:tcPr>
                  <w:tcW w:w="487"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生活污水</w:t>
                  </w:r>
                </w:p>
              </w:tc>
              <w:tc>
                <w:tcPr>
                  <w:tcW w:w="586"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pH、COD、BOD</w:t>
                  </w:r>
                  <w:r>
                    <w:rPr>
                      <w:rFonts w:hint="default" w:ascii="Times New Roman" w:hAnsi="Times New Roman" w:cs="Times New Roman"/>
                      <w:vertAlign w:val="subscript"/>
                    </w:rPr>
                    <w:t>5</w:t>
                  </w:r>
                  <w:r>
                    <w:rPr>
                      <w:rFonts w:hint="default" w:ascii="Times New Roman" w:hAnsi="Times New Roman" w:cs="Times New Roman"/>
                    </w:rPr>
                    <w:t>、SS、NH</w:t>
                  </w:r>
                  <w:r>
                    <w:rPr>
                      <w:rFonts w:hint="default" w:ascii="Times New Roman" w:hAnsi="Times New Roman" w:cs="Times New Roman"/>
                      <w:vertAlign w:val="subscript"/>
                    </w:rPr>
                    <w:t>3</w:t>
                  </w:r>
                  <w:r>
                    <w:rPr>
                      <w:rFonts w:hint="default" w:ascii="Times New Roman" w:hAnsi="Times New Roman" w:cs="Times New Roman"/>
                    </w:rPr>
                    <w:t>-N、</w:t>
                  </w:r>
                </w:p>
              </w:tc>
              <w:tc>
                <w:tcPr>
                  <w:tcW w:w="362" w:type="pct"/>
                  <w:tcBorders>
                    <w:tl2br w:val="nil"/>
                    <w:tr2bl w:val="nil"/>
                  </w:tcBorders>
                  <w:noWrap w:val="0"/>
                  <w:vAlign w:val="center"/>
                </w:tcPr>
                <w:p>
                  <w:pPr>
                    <w:spacing w:line="360" w:lineRule="exact"/>
                    <w:jc w:val="center"/>
                    <w:rPr>
                      <w:rFonts w:hint="default" w:ascii="Times New Roman" w:hAnsi="Times New Roman" w:cs="Times New Roman"/>
                    </w:rPr>
                  </w:pPr>
                  <w:r>
                    <w:rPr>
                      <w:rFonts w:hint="eastAsia" w:cs="Times New Roman"/>
                      <w:lang w:val="en-US" w:eastAsia="zh-CN"/>
                    </w:rPr>
                    <w:t>鲁山</w:t>
                  </w:r>
                  <w:r>
                    <w:rPr>
                      <w:rFonts w:hint="default" w:ascii="Times New Roman" w:hAnsi="Times New Roman" w:cs="Times New Roman"/>
                      <w:lang w:val="en-US" w:eastAsia="zh-CN"/>
                    </w:rPr>
                    <w:t>县产业集聚区污水处理厂</w:t>
                  </w:r>
                </w:p>
              </w:tc>
              <w:tc>
                <w:tcPr>
                  <w:tcW w:w="285"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间接排放</w:t>
                  </w:r>
                </w:p>
              </w:tc>
              <w:tc>
                <w:tcPr>
                  <w:tcW w:w="574"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TW001</w:t>
                  </w:r>
                </w:p>
              </w:tc>
              <w:tc>
                <w:tcPr>
                  <w:tcW w:w="1079" w:type="pct"/>
                  <w:gridSpan w:val="2"/>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化粪池</w:t>
                  </w:r>
                </w:p>
              </w:tc>
              <w:tc>
                <w:tcPr>
                  <w:tcW w:w="482"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DW001</w:t>
                  </w:r>
                </w:p>
              </w:tc>
              <w:tc>
                <w:tcPr>
                  <w:tcW w:w="601"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sym w:font="Wingdings 2" w:char="0052"/>
                  </w:r>
                  <w:r>
                    <w:rPr>
                      <w:rFonts w:hint="default" w:ascii="Times New Roman" w:hAnsi="Times New Roman" w:cs="Times New Roman"/>
                    </w:rPr>
                    <w:t>是</w:t>
                  </w:r>
                  <w:r>
                    <w:rPr>
                      <w:rFonts w:hint="default" w:ascii="Times New Roman" w:hAnsi="Times New Roman" w:cs="Times New Roman"/>
                    </w:rPr>
                    <w:sym w:font="Wingdings 2" w:char="00A3"/>
                  </w:r>
                  <w:r>
                    <w:rPr>
                      <w:rFonts w:hint="default" w:ascii="Times New Roman" w:hAnsi="Times New Roman" w:cs="Times New Roman"/>
                    </w:rPr>
                    <w:t>否</w:t>
                  </w:r>
                </w:p>
              </w:tc>
              <w:tc>
                <w:tcPr>
                  <w:tcW w:w="539"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总排口</w:t>
                  </w:r>
                </w:p>
              </w:tc>
            </w:tr>
          </w:tbl>
          <w:p>
            <w:pPr>
              <w:pStyle w:val="10"/>
              <w:adjustRightInd w:val="0"/>
              <w:ind w:firstLine="480"/>
              <w:rPr>
                <w:rFonts w:hint="default" w:ascii="Times New Roman" w:hAnsi="Times New Roman" w:cs="Times New Roman"/>
                <w:b/>
                <w:bCs/>
                <w:kern w:val="2"/>
                <w:szCs w:val="24"/>
              </w:rPr>
            </w:pPr>
            <w:r>
              <w:rPr>
                <w:rFonts w:hint="default" w:ascii="Times New Roman" w:hAnsi="Times New Roman" w:cs="Times New Roman"/>
                <w:b/>
                <w:bCs/>
                <w:kern w:val="2"/>
                <w:szCs w:val="24"/>
              </w:rPr>
              <w:t>②废水间接排放口基本情况表</w:t>
            </w:r>
          </w:p>
          <w:p>
            <w:pPr>
              <w:pStyle w:val="10"/>
              <w:widowControl w:val="0"/>
              <w:spacing w:line="240" w:lineRule="auto"/>
              <w:ind w:firstLine="0" w:firstLineChars="0"/>
              <w:jc w:val="center"/>
              <w:rPr>
                <w:rFonts w:hint="default" w:ascii="Times New Roman" w:hAnsi="Times New Roman" w:cs="Times New Roman"/>
                <w:b/>
                <w:bCs/>
                <w:szCs w:val="24"/>
              </w:rPr>
            </w:pPr>
            <w:r>
              <w:rPr>
                <w:rFonts w:hint="default" w:ascii="Times New Roman" w:hAnsi="Times New Roman" w:cs="Times New Roman"/>
                <w:b/>
                <w:bCs/>
                <w:szCs w:val="24"/>
              </w:rPr>
              <w:t>表4-</w:t>
            </w:r>
            <w:r>
              <w:rPr>
                <w:rFonts w:hint="eastAsia" w:cs="Times New Roman"/>
                <w:b/>
                <w:bCs/>
                <w:szCs w:val="24"/>
                <w:lang w:val="en-US" w:eastAsia="zh-CN"/>
              </w:rPr>
              <w:t>9</w:t>
            </w:r>
            <w:r>
              <w:rPr>
                <w:rFonts w:hint="default" w:ascii="Times New Roman" w:hAnsi="Times New Roman" w:cs="Times New Roman"/>
                <w:b/>
                <w:bCs/>
                <w:szCs w:val="24"/>
              </w:rPr>
              <w:t>废水间接排放口基本情况表</w:t>
            </w:r>
          </w:p>
          <w:tbl>
            <w:tblPr>
              <w:tblStyle w:val="24"/>
              <w:tblW w:w="9499"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569"/>
              <w:gridCol w:w="1101"/>
              <w:gridCol w:w="1055"/>
              <w:gridCol w:w="871"/>
              <w:gridCol w:w="833"/>
              <w:gridCol w:w="840"/>
              <w:gridCol w:w="942"/>
              <w:gridCol w:w="578"/>
              <w:gridCol w:w="550"/>
              <w:gridCol w:w="875"/>
              <w:gridCol w:w="1285"/>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9"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序号</w:t>
                  </w:r>
                </w:p>
              </w:tc>
              <w:tc>
                <w:tcPr>
                  <w:tcW w:w="579"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排放口编号</w:t>
                  </w:r>
                </w:p>
              </w:tc>
              <w:tc>
                <w:tcPr>
                  <w:tcW w:w="1013" w:type="pct"/>
                  <w:gridSpan w:val="2"/>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排放口地理坐标</w:t>
                  </w:r>
                </w:p>
              </w:tc>
              <w:tc>
                <w:tcPr>
                  <w:tcW w:w="438"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废水排放量</w:t>
                  </w:r>
                </w:p>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（t/a）</w:t>
                  </w:r>
                </w:p>
              </w:tc>
              <w:tc>
                <w:tcPr>
                  <w:tcW w:w="442"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排放去向</w:t>
                  </w:r>
                </w:p>
              </w:tc>
              <w:tc>
                <w:tcPr>
                  <w:tcW w:w="495"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排放规律</w:t>
                  </w:r>
                </w:p>
              </w:tc>
              <w:tc>
                <w:tcPr>
                  <w:tcW w:w="304"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间接排放时段</w:t>
                  </w:r>
                </w:p>
              </w:tc>
              <w:tc>
                <w:tcPr>
                  <w:tcW w:w="1426" w:type="pct"/>
                  <w:gridSpan w:val="3"/>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受纳污水处理厂信息</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7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55"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经度</w:t>
                  </w:r>
                </w:p>
              </w:tc>
              <w:tc>
                <w:tcPr>
                  <w:tcW w:w="458"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纬度</w:t>
                  </w:r>
                </w:p>
              </w:tc>
              <w:tc>
                <w:tcPr>
                  <w:tcW w:w="438"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42"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95"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04"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289"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名称</w:t>
                  </w:r>
                </w:p>
              </w:tc>
              <w:tc>
                <w:tcPr>
                  <w:tcW w:w="460"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污染物种类</w:t>
                  </w:r>
                </w:p>
              </w:tc>
              <w:tc>
                <w:tcPr>
                  <w:tcW w:w="676"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国家或地方污染物排放标准浓度限值（mg/L）</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9"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1</w:t>
                  </w:r>
                </w:p>
              </w:tc>
              <w:tc>
                <w:tcPr>
                  <w:tcW w:w="579"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DW001</w:t>
                  </w:r>
                </w:p>
              </w:tc>
              <w:tc>
                <w:tcPr>
                  <w:tcW w:w="555" w:type="pct"/>
                  <w:vMerge w:val="restart"/>
                  <w:tcBorders>
                    <w:tl2br w:val="nil"/>
                    <w:tr2bl w:val="nil"/>
                  </w:tcBorders>
                  <w:noWrap w:val="0"/>
                  <w:vAlign w:val="center"/>
                </w:tcPr>
                <w:p>
                  <w:pPr>
                    <w:adjustRightInd w:val="0"/>
                    <w:snapToGrid w:val="0"/>
                    <w:spacing w:line="360" w:lineRule="exact"/>
                    <w:jc w:val="center"/>
                    <w:rPr>
                      <w:rFonts w:hint="eastAsia" w:ascii="Times New Roman" w:hAnsi="Times New Roman" w:eastAsia="宋体" w:cs="Times New Roman"/>
                      <w:lang w:val="en-US" w:eastAsia="zh-CN"/>
                    </w:rPr>
                  </w:pPr>
                  <w:r>
                    <w:rPr>
                      <w:rFonts w:hint="default" w:ascii="Times New Roman" w:hAnsi="Times New Roman" w:cs="Times New Roman"/>
                    </w:rPr>
                    <w:t>112.94150099</w:t>
                  </w:r>
                  <w:r>
                    <w:rPr>
                      <w:rFonts w:hint="eastAsia" w:cs="Times New Roman"/>
                      <w:lang w:val="en-US" w:eastAsia="zh-CN"/>
                    </w:rPr>
                    <w:t>°</w:t>
                  </w:r>
                </w:p>
              </w:tc>
              <w:tc>
                <w:tcPr>
                  <w:tcW w:w="458" w:type="pct"/>
                  <w:vMerge w:val="restart"/>
                  <w:tcBorders>
                    <w:tl2br w:val="nil"/>
                    <w:tr2bl w:val="nil"/>
                  </w:tcBorders>
                  <w:noWrap w:val="0"/>
                  <w:vAlign w:val="center"/>
                </w:tcPr>
                <w:p>
                  <w:pPr>
                    <w:adjustRightInd w:val="0"/>
                    <w:snapToGrid w:val="0"/>
                    <w:spacing w:line="360" w:lineRule="exact"/>
                    <w:jc w:val="center"/>
                    <w:rPr>
                      <w:rFonts w:hint="eastAsia" w:ascii="Times New Roman" w:hAnsi="Times New Roman" w:eastAsia="宋体" w:cs="Times New Roman"/>
                      <w:lang w:val="en-US" w:eastAsia="zh-CN"/>
                    </w:rPr>
                  </w:pPr>
                  <w:r>
                    <w:rPr>
                      <w:rFonts w:hint="default" w:ascii="Times New Roman" w:hAnsi="Times New Roman" w:cs="Times New Roman"/>
                    </w:rPr>
                    <w:t>33.79549966</w:t>
                  </w:r>
                  <w:r>
                    <w:rPr>
                      <w:rFonts w:hint="eastAsia" w:cs="Times New Roman"/>
                      <w:lang w:val="en-US" w:eastAsia="zh-CN"/>
                    </w:rPr>
                    <w:t>°</w:t>
                  </w:r>
                </w:p>
              </w:tc>
              <w:tc>
                <w:tcPr>
                  <w:tcW w:w="438"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lang w:val="en-US" w:eastAsia="zh-CN"/>
                    </w:rPr>
                  </w:pPr>
                  <w:r>
                    <w:rPr>
                      <w:rFonts w:hint="eastAsia" w:cs="Times New Roman"/>
                      <w:lang w:val="en-US" w:eastAsia="zh-CN"/>
                    </w:rPr>
                    <w:t>96</w:t>
                  </w:r>
                </w:p>
              </w:tc>
              <w:tc>
                <w:tcPr>
                  <w:tcW w:w="442"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eastAsia" w:cs="Times New Roman"/>
                      <w:lang w:val="en-US" w:eastAsia="zh-CN"/>
                    </w:rPr>
                    <w:t>鲁山县</w:t>
                  </w:r>
                  <w:r>
                    <w:rPr>
                      <w:rFonts w:hint="default" w:ascii="Times New Roman" w:hAnsi="Times New Roman" w:cs="Times New Roman"/>
                      <w:lang w:val="en-US" w:eastAsia="zh-CN"/>
                    </w:rPr>
                    <w:t>产业集聚区污水处理厂</w:t>
                  </w:r>
                </w:p>
              </w:tc>
              <w:tc>
                <w:tcPr>
                  <w:tcW w:w="495"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间接排放</w:t>
                  </w:r>
                </w:p>
              </w:tc>
              <w:tc>
                <w:tcPr>
                  <w:tcW w:w="304"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w:t>
                  </w:r>
                </w:p>
              </w:tc>
              <w:tc>
                <w:tcPr>
                  <w:tcW w:w="289"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eastAsia" w:cs="Times New Roman"/>
                      <w:lang w:val="en-US" w:eastAsia="zh-CN"/>
                    </w:rPr>
                    <w:t>鲁山县</w:t>
                  </w:r>
                  <w:r>
                    <w:rPr>
                      <w:rFonts w:hint="default" w:ascii="Times New Roman" w:hAnsi="Times New Roman" w:cs="Times New Roman"/>
                      <w:lang w:val="en-US" w:eastAsia="zh-CN"/>
                    </w:rPr>
                    <w:t>产业集聚区污水处理厂</w:t>
                  </w:r>
                </w:p>
              </w:tc>
              <w:tc>
                <w:tcPr>
                  <w:tcW w:w="460"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COD</w:t>
                  </w:r>
                </w:p>
              </w:tc>
              <w:tc>
                <w:tcPr>
                  <w:tcW w:w="676"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50</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7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55"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58"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38"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42"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95"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04"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28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60"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BOD</w:t>
                  </w:r>
                  <w:r>
                    <w:rPr>
                      <w:rFonts w:hint="default" w:ascii="Times New Roman" w:hAnsi="Times New Roman" w:cs="Times New Roman"/>
                      <w:vertAlign w:val="subscript"/>
                    </w:rPr>
                    <w:t>5</w:t>
                  </w:r>
                </w:p>
              </w:tc>
              <w:tc>
                <w:tcPr>
                  <w:tcW w:w="676"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7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55"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58"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38"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42"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95"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04"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28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60"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SS</w:t>
                  </w:r>
                </w:p>
              </w:tc>
              <w:tc>
                <w:tcPr>
                  <w:tcW w:w="676"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7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55"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58"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38"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42"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95"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04"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28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60"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氨氮</w:t>
                  </w:r>
                </w:p>
              </w:tc>
              <w:tc>
                <w:tcPr>
                  <w:tcW w:w="676"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5</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7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55"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58"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38"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42"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95"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04"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28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60"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pH</w:t>
                  </w:r>
                </w:p>
              </w:tc>
              <w:tc>
                <w:tcPr>
                  <w:tcW w:w="676"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6-9</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sz w:val="24"/>
                <w:u w:val="none"/>
                <w:lang w:val="en-US" w:eastAsia="zh-CN"/>
              </w:rPr>
            </w:pPr>
            <w:r>
              <w:rPr>
                <w:rFonts w:hint="default" w:ascii="Times New Roman" w:hAnsi="Times New Roman" w:eastAsia="宋体" w:cs="Times New Roman"/>
                <w:b/>
                <w:sz w:val="24"/>
                <w:u w:val="none"/>
                <w:lang w:val="en-US" w:eastAsia="zh-CN"/>
              </w:rPr>
              <w:t>3、噪声</w:t>
            </w:r>
            <w:r>
              <w:rPr>
                <w:rFonts w:hint="default" w:ascii="Times New Roman" w:hAnsi="Times New Roman" w:cs="Times New Roman"/>
                <w:b/>
                <w:sz w:val="24"/>
                <w:u w:val="none"/>
                <w:lang w:val="en-US" w:eastAsia="zh-CN"/>
              </w:rPr>
              <w:t>环境影响和保护措施</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厂区设备噪声对周围环境影响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（1）环境影响分析</w:t>
            </w:r>
          </w:p>
          <w:p>
            <w:pPr>
              <w:snapToGrid w:val="0"/>
              <w:spacing w:line="360" w:lineRule="auto"/>
              <w:ind w:firstLine="480" w:firstLineChars="200"/>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本项目噪声源主要为</w:t>
            </w:r>
            <w:r>
              <w:rPr>
                <w:rFonts w:hint="default" w:ascii="Times New Roman" w:hAnsi="Times New Roman" w:eastAsia="宋体" w:cs="Times New Roman"/>
                <w:color w:val="auto"/>
                <w:sz w:val="24"/>
                <w:szCs w:val="24"/>
                <w:lang w:val="en-US" w:eastAsia="zh-CN"/>
              </w:rPr>
              <w:t>焊机</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等离子</w:t>
            </w:r>
            <w:r>
              <w:rPr>
                <w:rFonts w:hint="default" w:ascii="Times New Roman" w:hAnsi="Times New Roman" w:eastAsia="宋体" w:cs="Times New Roman"/>
                <w:color w:val="auto"/>
                <w:sz w:val="24"/>
                <w:szCs w:val="24"/>
                <w:lang w:val="en-US" w:eastAsia="zh-CN"/>
              </w:rPr>
              <w:t>切割机</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抛</w:t>
            </w:r>
            <w:r>
              <w:rPr>
                <w:rFonts w:hint="eastAsia" w:ascii="Times New Roman" w:hAnsi="Times New Roman" w:eastAsia="宋体" w:cs="Times New Roman"/>
                <w:color w:val="auto"/>
                <w:sz w:val="24"/>
                <w:szCs w:val="24"/>
                <w:lang w:val="en-US" w:eastAsia="zh-CN"/>
              </w:rPr>
              <w:t>光机</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风机</w:t>
            </w:r>
            <w:r>
              <w:rPr>
                <w:rFonts w:hint="default" w:ascii="Times New Roman" w:hAnsi="Times New Roman" w:eastAsia="宋体" w:cs="Times New Roman"/>
                <w:color w:val="auto"/>
                <w:sz w:val="24"/>
                <w:szCs w:val="24"/>
              </w:rPr>
              <w:t>等设备噪声</w:t>
            </w:r>
            <w:r>
              <w:rPr>
                <w:rFonts w:hint="default" w:ascii="Times New Roman" w:hAnsi="Times New Roman" w:cs="Times New Roman"/>
                <w:b w:val="0"/>
                <w:bCs w:val="0"/>
                <w:color w:val="auto"/>
                <w:sz w:val="24"/>
                <w:szCs w:val="24"/>
                <w:u w:val="none"/>
              </w:rPr>
              <w:t>，其源强约为</w:t>
            </w:r>
            <w:r>
              <w:rPr>
                <w:rFonts w:hint="eastAsia" w:cs="Times New Roman"/>
                <w:b w:val="0"/>
                <w:bCs w:val="0"/>
                <w:color w:val="auto"/>
                <w:sz w:val="24"/>
                <w:szCs w:val="24"/>
                <w:u w:val="none"/>
                <w:lang w:val="en-US" w:eastAsia="zh-CN"/>
              </w:rPr>
              <w:t>80</w:t>
            </w:r>
            <w:r>
              <w:rPr>
                <w:rFonts w:hint="default" w:ascii="Times New Roman" w:hAnsi="Times New Roman" w:cs="Times New Roman"/>
                <w:b w:val="0"/>
                <w:bCs w:val="0"/>
                <w:color w:val="auto"/>
                <w:sz w:val="24"/>
                <w:szCs w:val="24"/>
                <w:u w:val="none"/>
              </w:rPr>
              <w:t>-85dB（A），拟采取相应的降噪措施。项目噪声污染源源强及治理措施见</w:t>
            </w:r>
            <w:r>
              <w:rPr>
                <w:rFonts w:hint="default" w:ascii="Times New Roman" w:hAnsi="Times New Roman" w:cs="Times New Roman"/>
                <w:b w:val="0"/>
                <w:bCs w:val="0"/>
                <w:color w:val="auto"/>
                <w:sz w:val="24"/>
                <w:szCs w:val="24"/>
                <w:u w:val="none"/>
                <w:lang w:val="en-US" w:eastAsia="zh-CN"/>
              </w:rPr>
              <w:t>下</w:t>
            </w:r>
            <w:r>
              <w:rPr>
                <w:rFonts w:hint="default" w:ascii="Times New Roman" w:hAnsi="Times New Roman" w:cs="Times New Roman"/>
                <w:b w:val="0"/>
                <w:bCs w:val="0"/>
                <w:color w:val="auto"/>
                <w:sz w:val="24"/>
                <w:szCs w:val="24"/>
                <w:u w:val="none"/>
              </w:rPr>
              <w:t>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kern w:val="0"/>
                <w:sz w:val="24"/>
                <w:szCs w:val="20"/>
                <w:u w:val="none"/>
                <w:lang w:val="en-US" w:eastAsia="zh-CN" w:bidi="ar-SA"/>
              </w:rPr>
            </w:pPr>
            <w:r>
              <w:rPr>
                <w:rFonts w:hint="default" w:ascii="Times New Roman" w:hAnsi="Times New Roman" w:eastAsia="宋体" w:cs="Times New Roman"/>
                <w:b/>
                <w:bCs/>
                <w:color w:val="auto"/>
                <w:kern w:val="0"/>
                <w:sz w:val="24"/>
                <w:szCs w:val="20"/>
                <w:u w:val="none"/>
                <w:lang w:val="en-US" w:eastAsia="zh-CN" w:bidi="ar-SA"/>
              </w:rPr>
              <w:t>表</w:t>
            </w:r>
            <w:r>
              <w:rPr>
                <w:rFonts w:hint="default" w:ascii="Times New Roman" w:hAnsi="Times New Roman" w:cs="Times New Roman"/>
                <w:b/>
                <w:bCs/>
                <w:color w:val="auto"/>
                <w:kern w:val="0"/>
                <w:sz w:val="24"/>
                <w:szCs w:val="20"/>
                <w:u w:val="none"/>
                <w:lang w:val="en-US" w:eastAsia="zh-CN" w:bidi="ar-SA"/>
              </w:rPr>
              <w:t>4-</w:t>
            </w:r>
            <w:r>
              <w:rPr>
                <w:rFonts w:hint="eastAsia" w:cs="Times New Roman"/>
                <w:b/>
                <w:bCs/>
                <w:color w:val="auto"/>
                <w:kern w:val="0"/>
                <w:sz w:val="24"/>
                <w:szCs w:val="20"/>
                <w:u w:val="none"/>
                <w:lang w:val="en-US" w:eastAsia="zh-CN" w:bidi="ar-SA"/>
              </w:rPr>
              <w:t>10</w:t>
            </w:r>
            <w:r>
              <w:rPr>
                <w:rFonts w:hint="default" w:ascii="Times New Roman" w:hAnsi="Times New Roman" w:eastAsia="宋体" w:cs="Times New Roman"/>
                <w:b/>
                <w:bCs/>
                <w:color w:val="auto"/>
                <w:kern w:val="0"/>
                <w:sz w:val="24"/>
                <w:szCs w:val="20"/>
                <w:u w:val="none"/>
                <w:lang w:val="en-US" w:eastAsia="zh-CN" w:bidi="ar-SA"/>
              </w:rPr>
              <w:t>本项目噪声污染源源强及治理措施一览表</w:t>
            </w:r>
          </w:p>
          <w:tbl>
            <w:tblPr>
              <w:tblStyle w:val="24"/>
              <w:tblW w:w="499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524"/>
              <w:gridCol w:w="1807"/>
              <w:gridCol w:w="1807"/>
              <w:gridCol w:w="334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31" w:type="pct"/>
                  <w:tcBorders>
                    <w:tl2br w:val="nil"/>
                    <w:tr2bl w:val="nil"/>
                  </w:tcBorders>
                  <w:noWrap w:val="0"/>
                  <w:vAlign w:val="center"/>
                </w:tcPr>
                <w:p>
                  <w:pPr>
                    <w:jc w:val="center"/>
                    <w:rPr>
                      <w:rFonts w:hint="default"/>
                    </w:rPr>
                  </w:pPr>
                  <w:r>
                    <w:rPr>
                      <w:rFonts w:hint="default"/>
                    </w:rPr>
                    <w:t>设备名称</w:t>
                  </w:r>
                </w:p>
              </w:tc>
              <w:tc>
                <w:tcPr>
                  <w:tcW w:w="953" w:type="pct"/>
                  <w:tcBorders>
                    <w:tl2br w:val="nil"/>
                    <w:tr2bl w:val="nil"/>
                  </w:tcBorders>
                  <w:noWrap w:val="0"/>
                  <w:vAlign w:val="center"/>
                </w:tcPr>
                <w:p>
                  <w:pPr>
                    <w:jc w:val="center"/>
                    <w:rPr>
                      <w:rFonts w:hint="default"/>
                      <w:lang w:val="en-US" w:eastAsia="zh-CN"/>
                    </w:rPr>
                  </w:pPr>
                  <w:r>
                    <w:rPr>
                      <w:rFonts w:hint="default"/>
                      <w:lang w:val="en-US" w:eastAsia="zh-CN"/>
                    </w:rPr>
                    <w:t>数量</w:t>
                  </w:r>
                </w:p>
              </w:tc>
              <w:tc>
                <w:tcPr>
                  <w:tcW w:w="953" w:type="pct"/>
                  <w:tcBorders>
                    <w:tl2br w:val="nil"/>
                    <w:tr2bl w:val="nil"/>
                  </w:tcBorders>
                  <w:noWrap w:val="0"/>
                  <w:vAlign w:val="center"/>
                </w:tcPr>
                <w:p>
                  <w:pPr>
                    <w:jc w:val="center"/>
                    <w:rPr>
                      <w:rFonts w:hint="default"/>
                    </w:rPr>
                  </w:pPr>
                  <w:r>
                    <w:rPr>
                      <w:rFonts w:hint="default"/>
                    </w:rPr>
                    <w:t>噪声声源</w:t>
                  </w:r>
                </w:p>
                <w:p>
                  <w:pPr>
                    <w:jc w:val="center"/>
                    <w:rPr>
                      <w:rFonts w:hint="default"/>
                    </w:rPr>
                  </w:pPr>
                  <w:r>
                    <w:rPr>
                      <w:rFonts w:hint="default"/>
                    </w:rPr>
                    <w:t>［dB(A)］</w:t>
                  </w:r>
                </w:p>
              </w:tc>
              <w:tc>
                <w:tcPr>
                  <w:tcW w:w="1761" w:type="pct"/>
                  <w:tcBorders>
                    <w:tl2br w:val="nil"/>
                    <w:tr2bl w:val="nil"/>
                  </w:tcBorders>
                  <w:noWrap w:val="0"/>
                  <w:vAlign w:val="center"/>
                </w:tcPr>
                <w:p>
                  <w:pPr>
                    <w:jc w:val="center"/>
                    <w:rPr>
                      <w:rFonts w:hint="default"/>
                    </w:rPr>
                  </w:pPr>
                  <w:r>
                    <w:rPr>
                      <w:rFonts w:hint="default"/>
                    </w:rPr>
                    <w:t>治理措施</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31" w:type="pct"/>
                  <w:tcBorders>
                    <w:tl2br w:val="nil"/>
                    <w:tr2bl w:val="nil"/>
                  </w:tcBorders>
                  <w:noWrap w:val="0"/>
                  <w:vAlign w:val="center"/>
                </w:tcPr>
                <w:p>
                  <w:pPr>
                    <w:jc w:val="center"/>
                    <w:rPr>
                      <w:rFonts w:hint="default"/>
                      <w:lang w:val="en-US" w:eastAsia="zh-CN"/>
                    </w:rPr>
                  </w:pPr>
                  <w:r>
                    <w:rPr>
                      <w:rFonts w:hint="eastAsia"/>
                      <w:lang w:val="en-US" w:eastAsia="zh-CN"/>
                    </w:rPr>
                    <w:t>等离子切割机</w:t>
                  </w:r>
                </w:p>
              </w:tc>
              <w:tc>
                <w:tcPr>
                  <w:tcW w:w="953" w:type="pct"/>
                  <w:tcBorders>
                    <w:tl2br w:val="nil"/>
                    <w:tr2bl w:val="nil"/>
                  </w:tcBorders>
                  <w:noWrap w:val="0"/>
                  <w:vAlign w:val="center"/>
                </w:tcPr>
                <w:p>
                  <w:pPr>
                    <w:jc w:val="center"/>
                    <w:rPr>
                      <w:rFonts w:hint="default"/>
                      <w:lang w:val="en-US" w:eastAsia="zh-CN"/>
                    </w:rPr>
                  </w:pPr>
                  <w:r>
                    <w:rPr>
                      <w:rFonts w:hint="eastAsia"/>
                      <w:lang w:val="en-US" w:eastAsia="zh-CN"/>
                    </w:rPr>
                    <w:t>1</w:t>
                  </w:r>
                  <w:r>
                    <w:rPr>
                      <w:rFonts w:hint="default"/>
                      <w:lang w:val="en-US" w:eastAsia="zh-CN"/>
                    </w:rPr>
                    <w:t>台</w:t>
                  </w:r>
                </w:p>
              </w:tc>
              <w:tc>
                <w:tcPr>
                  <w:tcW w:w="953" w:type="pct"/>
                  <w:tcBorders>
                    <w:tl2br w:val="nil"/>
                    <w:tr2bl w:val="nil"/>
                  </w:tcBorders>
                  <w:noWrap w:val="0"/>
                  <w:vAlign w:val="center"/>
                </w:tcPr>
                <w:p>
                  <w:pPr>
                    <w:jc w:val="center"/>
                    <w:rPr>
                      <w:rFonts w:hint="default"/>
                      <w:lang w:val="en-US" w:eastAsia="zh-CN"/>
                    </w:rPr>
                  </w:pPr>
                  <w:r>
                    <w:rPr>
                      <w:rFonts w:hint="default"/>
                      <w:lang w:val="en-US" w:eastAsia="zh-CN"/>
                    </w:rPr>
                    <w:t>80</w:t>
                  </w:r>
                </w:p>
              </w:tc>
              <w:tc>
                <w:tcPr>
                  <w:tcW w:w="1761" w:type="pct"/>
                  <w:vMerge w:val="restart"/>
                  <w:tcBorders>
                    <w:tl2br w:val="nil"/>
                    <w:tr2bl w:val="nil"/>
                  </w:tcBorders>
                  <w:noWrap w:val="0"/>
                  <w:vAlign w:val="center"/>
                </w:tcPr>
                <w:p>
                  <w:pPr>
                    <w:jc w:val="center"/>
                    <w:rPr>
                      <w:rFonts w:hint="default"/>
                    </w:rPr>
                  </w:pPr>
                  <w:r>
                    <w:rPr>
                      <w:rFonts w:hint="default"/>
                    </w:rPr>
                    <w:t>整体封闭、厂房隔声</w:t>
                  </w:r>
                </w:p>
                <w:p>
                  <w:pPr>
                    <w:jc w:val="center"/>
                    <w:rPr>
                      <w:rFonts w:hint="default"/>
                    </w:rPr>
                  </w:pPr>
                  <w:r>
                    <w:rPr>
                      <w:rFonts w:hint="default"/>
                    </w:rPr>
                    <w:t>减震、使用橡胶软管接口</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331" w:type="pct"/>
                  <w:tcBorders>
                    <w:tl2br w:val="nil"/>
                    <w:tr2bl w:val="nil"/>
                  </w:tcBorders>
                  <w:noWrap w:val="0"/>
                  <w:vAlign w:val="center"/>
                </w:tcPr>
                <w:p>
                  <w:pPr>
                    <w:jc w:val="center"/>
                    <w:rPr>
                      <w:rFonts w:hint="default"/>
                      <w:lang w:val="en-US" w:eastAsia="zh-CN"/>
                    </w:rPr>
                  </w:pPr>
                  <w:r>
                    <w:rPr>
                      <w:rFonts w:hint="eastAsia"/>
                      <w:lang w:val="en-US" w:eastAsia="zh-CN"/>
                    </w:rPr>
                    <w:t>电焊机</w:t>
                  </w:r>
                </w:p>
              </w:tc>
              <w:tc>
                <w:tcPr>
                  <w:tcW w:w="953" w:type="pct"/>
                  <w:tcBorders>
                    <w:tl2br w:val="nil"/>
                    <w:tr2bl w:val="nil"/>
                  </w:tcBorders>
                  <w:noWrap w:val="0"/>
                  <w:vAlign w:val="center"/>
                </w:tcPr>
                <w:p>
                  <w:pPr>
                    <w:jc w:val="center"/>
                    <w:rPr>
                      <w:rFonts w:hint="default"/>
                      <w:lang w:val="en-US" w:eastAsia="zh-CN"/>
                    </w:rPr>
                  </w:pPr>
                  <w:r>
                    <w:rPr>
                      <w:rFonts w:hint="default"/>
                      <w:lang w:val="en-US" w:eastAsia="zh-CN"/>
                    </w:rPr>
                    <w:t>4台</w:t>
                  </w:r>
                </w:p>
              </w:tc>
              <w:tc>
                <w:tcPr>
                  <w:tcW w:w="953" w:type="pct"/>
                  <w:tcBorders>
                    <w:tl2br w:val="nil"/>
                    <w:tr2bl w:val="nil"/>
                  </w:tcBorders>
                  <w:noWrap w:val="0"/>
                  <w:vAlign w:val="center"/>
                </w:tcPr>
                <w:p>
                  <w:pPr>
                    <w:jc w:val="center"/>
                    <w:rPr>
                      <w:rFonts w:hint="default"/>
                      <w:lang w:val="en-US" w:eastAsia="zh-CN"/>
                    </w:rPr>
                  </w:pPr>
                  <w:r>
                    <w:rPr>
                      <w:rFonts w:hint="eastAsia"/>
                      <w:lang w:val="en-US" w:eastAsia="zh-CN"/>
                    </w:rPr>
                    <w:t>80</w:t>
                  </w:r>
                </w:p>
              </w:tc>
              <w:tc>
                <w:tcPr>
                  <w:tcW w:w="1761" w:type="pct"/>
                  <w:vMerge w:val="continue"/>
                  <w:tcBorders>
                    <w:tl2br w:val="nil"/>
                    <w:tr2bl w:val="nil"/>
                  </w:tcBorders>
                  <w:noWrap w:val="0"/>
                  <w:vAlign w:val="center"/>
                </w:tcPr>
                <w:p>
                  <w:pPr>
                    <w:jc w:val="center"/>
                    <w:rPr>
                      <w:rFonts w:hint="default"/>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31" w:type="pct"/>
                  <w:tcBorders>
                    <w:tl2br w:val="nil"/>
                    <w:tr2bl w:val="nil"/>
                  </w:tcBorders>
                  <w:noWrap w:val="0"/>
                  <w:vAlign w:val="center"/>
                </w:tcPr>
                <w:p>
                  <w:pPr>
                    <w:jc w:val="center"/>
                    <w:rPr>
                      <w:rFonts w:hint="default"/>
                      <w:lang w:val="en-US" w:eastAsia="zh-CN"/>
                    </w:rPr>
                  </w:pPr>
                  <w:r>
                    <w:rPr>
                      <w:rFonts w:hint="eastAsia"/>
                      <w:lang w:val="en-US" w:eastAsia="zh-CN"/>
                    </w:rPr>
                    <w:t>抛光机</w:t>
                  </w:r>
                </w:p>
              </w:tc>
              <w:tc>
                <w:tcPr>
                  <w:tcW w:w="953" w:type="pct"/>
                  <w:tcBorders>
                    <w:tl2br w:val="nil"/>
                    <w:tr2bl w:val="nil"/>
                  </w:tcBorders>
                  <w:noWrap w:val="0"/>
                  <w:vAlign w:val="center"/>
                </w:tcPr>
                <w:p>
                  <w:pPr>
                    <w:jc w:val="center"/>
                    <w:rPr>
                      <w:rFonts w:hint="default"/>
                      <w:lang w:val="en-US" w:eastAsia="zh-CN"/>
                    </w:rPr>
                  </w:pPr>
                  <w:r>
                    <w:rPr>
                      <w:rFonts w:hint="eastAsia"/>
                      <w:lang w:val="en-US" w:eastAsia="zh-CN"/>
                    </w:rPr>
                    <w:t>2</w:t>
                  </w:r>
                  <w:r>
                    <w:rPr>
                      <w:rFonts w:hint="default"/>
                      <w:lang w:val="en-US" w:eastAsia="zh-CN"/>
                    </w:rPr>
                    <w:t>台</w:t>
                  </w:r>
                </w:p>
              </w:tc>
              <w:tc>
                <w:tcPr>
                  <w:tcW w:w="953" w:type="pct"/>
                  <w:tcBorders>
                    <w:tl2br w:val="nil"/>
                    <w:tr2bl w:val="nil"/>
                  </w:tcBorders>
                  <w:noWrap w:val="0"/>
                  <w:vAlign w:val="center"/>
                </w:tcPr>
                <w:p>
                  <w:pPr>
                    <w:jc w:val="center"/>
                    <w:rPr>
                      <w:rFonts w:hint="default"/>
                      <w:lang w:val="en-US" w:eastAsia="zh-CN"/>
                    </w:rPr>
                  </w:pPr>
                  <w:r>
                    <w:rPr>
                      <w:rFonts w:hint="default"/>
                      <w:lang w:val="en-US" w:eastAsia="zh-CN"/>
                    </w:rPr>
                    <w:t>80</w:t>
                  </w:r>
                </w:p>
              </w:tc>
              <w:tc>
                <w:tcPr>
                  <w:tcW w:w="1761" w:type="pct"/>
                  <w:vMerge w:val="continue"/>
                  <w:tcBorders>
                    <w:tl2br w:val="nil"/>
                    <w:tr2bl w:val="nil"/>
                  </w:tcBorders>
                  <w:noWrap w:val="0"/>
                  <w:vAlign w:val="center"/>
                </w:tcPr>
                <w:p>
                  <w:pPr>
                    <w:jc w:val="center"/>
                    <w:rPr>
                      <w:rFonts w:hint="default"/>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31" w:type="pct"/>
                  <w:tcBorders>
                    <w:tl2br w:val="nil"/>
                    <w:tr2bl w:val="nil"/>
                  </w:tcBorders>
                  <w:noWrap w:val="0"/>
                  <w:vAlign w:val="center"/>
                </w:tcPr>
                <w:p>
                  <w:pPr>
                    <w:jc w:val="center"/>
                    <w:rPr>
                      <w:rFonts w:hint="default"/>
                      <w:lang w:val="en-US" w:eastAsia="zh-CN"/>
                    </w:rPr>
                  </w:pPr>
                  <w:r>
                    <w:rPr>
                      <w:rFonts w:hint="eastAsia"/>
                      <w:lang w:val="en-US" w:eastAsia="zh-CN"/>
                    </w:rPr>
                    <w:t>喷塑设备</w:t>
                  </w:r>
                </w:p>
              </w:tc>
              <w:tc>
                <w:tcPr>
                  <w:tcW w:w="953" w:type="pct"/>
                  <w:tcBorders>
                    <w:tl2br w:val="nil"/>
                    <w:tr2bl w:val="nil"/>
                  </w:tcBorders>
                  <w:noWrap w:val="0"/>
                  <w:vAlign w:val="center"/>
                </w:tcPr>
                <w:p>
                  <w:pPr>
                    <w:jc w:val="center"/>
                    <w:rPr>
                      <w:rFonts w:hint="default"/>
                      <w:lang w:val="en-US" w:eastAsia="zh-CN"/>
                    </w:rPr>
                  </w:pPr>
                  <w:r>
                    <w:rPr>
                      <w:rFonts w:hint="eastAsia"/>
                      <w:lang w:val="en-US" w:eastAsia="zh-CN"/>
                    </w:rPr>
                    <w:t>2台</w:t>
                  </w:r>
                </w:p>
              </w:tc>
              <w:tc>
                <w:tcPr>
                  <w:tcW w:w="953" w:type="pct"/>
                  <w:tcBorders>
                    <w:tl2br w:val="nil"/>
                    <w:tr2bl w:val="nil"/>
                  </w:tcBorders>
                  <w:noWrap w:val="0"/>
                  <w:vAlign w:val="center"/>
                </w:tcPr>
                <w:p>
                  <w:pPr>
                    <w:jc w:val="center"/>
                    <w:rPr>
                      <w:rFonts w:hint="default"/>
                      <w:lang w:val="en-US" w:eastAsia="zh-CN"/>
                    </w:rPr>
                  </w:pPr>
                  <w:r>
                    <w:rPr>
                      <w:rFonts w:hint="eastAsia"/>
                      <w:lang w:val="en-US" w:eastAsia="zh-CN"/>
                    </w:rPr>
                    <w:t>80</w:t>
                  </w:r>
                </w:p>
              </w:tc>
              <w:tc>
                <w:tcPr>
                  <w:tcW w:w="1761" w:type="pct"/>
                  <w:vMerge w:val="continue"/>
                  <w:tcBorders>
                    <w:tl2br w:val="nil"/>
                    <w:tr2bl w:val="nil"/>
                  </w:tcBorders>
                  <w:noWrap w:val="0"/>
                  <w:vAlign w:val="center"/>
                </w:tcPr>
                <w:p>
                  <w:pPr>
                    <w:jc w:val="center"/>
                    <w:rPr>
                      <w:rFonts w:hint="default"/>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331" w:type="pct"/>
                  <w:tcBorders>
                    <w:tl2br w:val="nil"/>
                    <w:tr2bl w:val="nil"/>
                  </w:tcBorders>
                  <w:noWrap w:val="0"/>
                  <w:vAlign w:val="center"/>
                </w:tcPr>
                <w:p>
                  <w:pPr>
                    <w:jc w:val="center"/>
                    <w:rPr>
                      <w:rFonts w:hint="default"/>
                      <w:lang w:val="en-US" w:eastAsia="zh-CN"/>
                    </w:rPr>
                  </w:pPr>
                  <w:r>
                    <w:rPr>
                      <w:rFonts w:hint="default"/>
                      <w:lang w:val="en-US" w:eastAsia="zh-CN"/>
                    </w:rPr>
                    <w:t>风机</w:t>
                  </w:r>
                </w:p>
              </w:tc>
              <w:tc>
                <w:tcPr>
                  <w:tcW w:w="953" w:type="pct"/>
                  <w:tcBorders>
                    <w:tl2br w:val="nil"/>
                    <w:tr2bl w:val="nil"/>
                  </w:tcBorders>
                  <w:noWrap w:val="0"/>
                  <w:vAlign w:val="center"/>
                </w:tcPr>
                <w:p>
                  <w:pPr>
                    <w:jc w:val="center"/>
                    <w:rPr>
                      <w:rFonts w:hint="default"/>
                      <w:lang w:val="en-US" w:eastAsia="zh-CN"/>
                    </w:rPr>
                  </w:pPr>
                  <w:r>
                    <w:rPr>
                      <w:rFonts w:hint="default"/>
                      <w:lang w:val="en-US" w:eastAsia="zh-CN"/>
                    </w:rPr>
                    <w:t>2台</w:t>
                  </w:r>
                </w:p>
              </w:tc>
              <w:tc>
                <w:tcPr>
                  <w:tcW w:w="953" w:type="pct"/>
                  <w:tcBorders>
                    <w:tl2br w:val="nil"/>
                    <w:tr2bl w:val="nil"/>
                  </w:tcBorders>
                  <w:noWrap w:val="0"/>
                  <w:vAlign w:val="center"/>
                </w:tcPr>
                <w:p>
                  <w:pPr>
                    <w:jc w:val="center"/>
                    <w:rPr>
                      <w:rFonts w:hint="default"/>
                      <w:lang w:val="en-US" w:eastAsia="zh-CN"/>
                    </w:rPr>
                  </w:pPr>
                  <w:r>
                    <w:rPr>
                      <w:rFonts w:hint="default"/>
                      <w:lang w:val="en-US" w:eastAsia="zh-CN"/>
                    </w:rPr>
                    <w:t>85</w:t>
                  </w:r>
                </w:p>
              </w:tc>
              <w:tc>
                <w:tcPr>
                  <w:tcW w:w="1761" w:type="pct"/>
                  <w:vMerge w:val="continue"/>
                  <w:tcBorders>
                    <w:tl2br w:val="nil"/>
                    <w:tr2bl w:val="nil"/>
                  </w:tcBorders>
                  <w:noWrap w:val="0"/>
                  <w:vAlign w:val="center"/>
                </w:tcPr>
                <w:p>
                  <w:pPr>
                    <w:jc w:val="center"/>
                    <w:rPr>
                      <w:rFonts w:hint="default"/>
                    </w:rPr>
                  </w:pPr>
                </w:p>
              </w:tc>
            </w:tr>
          </w:tbl>
          <w:p>
            <w:pPr>
              <w:snapToGrid w:val="0"/>
              <w:spacing w:line="360" w:lineRule="auto"/>
              <w:ind w:firstLine="480" w:firstLineChars="200"/>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由上表可知，高噪声设备源强在7</w:t>
            </w:r>
            <w:r>
              <w:rPr>
                <w:rFonts w:hint="default" w:ascii="Times New Roman" w:hAnsi="Times New Roman" w:cs="Times New Roman"/>
                <w:b w:val="0"/>
                <w:bCs w:val="0"/>
                <w:color w:val="auto"/>
                <w:sz w:val="24"/>
                <w:szCs w:val="24"/>
                <w:u w:val="none"/>
                <w:lang w:val="en-US" w:eastAsia="zh-CN"/>
              </w:rPr>
              <w:t>0</w:t>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color w:val="auto"/>
                <w:sz w:val="24"/>
                <w:szCs w:val="24"/>
                <w:u w:val="none"/>
                <w:lang w:val="en-US" w:eastAsia="zh-CN"/>
              </w:rPr>
              <w:t>8</w:t>
            </w:r>
            <w:r>
              <w:rPr>
                <w:rFonts w:hint="default" w:ascii="Times New Roman" w:hAnsi="Times New Roman" w:cs="Times New Roman"/>
                <w:b w:val="0"/>
                <w:bCs w:val="0"/>
                <w:color w:val="auto"/>
                <w:sz w:val="24"/>
                <w:szCs w:val="24"/>
                <w:u w:val="none"/>
              </w:rPr>
              <w:t>5dB</w:t>
            </w:r>
            <w:r>
              <w:rPr>
                <w:rFonts w:hint="eastAsia" w:cs="Times New Roman"/>
                <w:b w:val="0"/>
                <w:bCs w:val="0"/>
                <w:color w:val="auto"/>
                <w:sz w:val="24"/>
                <w:szCs w:val="24"/>
                <w:u w:val="none"/>
                <w:lang w:eastAsia="zh-CN"/>
              </w:rPr>
              <w:t>（</w:t>
            </w:r>
            <w:r>
              <w:rPr>
                <w:rFonts w:hint="default" w:ascii="Times New Roman" w:hAnsi="Times New Roman" w:cs="Times New Roman"/>
                <w:b w:val="0"/>
                <w:bCs w:val="0"/>
                <w:color w:val="auto"/>
                <w:sz w:val="24"/>
                <w:szCs w:val="24"/>
                <w:u w:val="none"/>
              </w:rPr>
              <w:t>A</w:t>
            </w:r>
            <w:r>
              <w:rPr>
                <w:rFonts w:hint="default" w:ascii="Times New Roman" w:hAnsi="Times New Roman" w:cs="Times New Roman"/>
                <w:b w:val="0"/>
                <w:bCs w:val="0"/>
                <w:color w:val="auto"/>
                <w:sz w:val="24"/>
                <w:szCs w:val="24"/>
                <w:u w:val="none"/>
                <w:lang w:eastAsia="zh-CN"/>
              </w:rPr>
              <w:t>）</w:t>
            </w:r>
            <w:r>
              <w:rPr>
                <w:rFonts w:hint="default" w:ascii="Times New Roman" w:hAnsi="Times New Roman" w:cs="Times New Roman"/>
                <w:b w:val="0"/>
                <w:bCs w:val="0"/>
                <w:color w:val="auto"/>
                <w:sz w:val="24"/>
                <w:szCs w:val="24"/>
                <w:u w:val="none"/>
              </w:rPr>
              <w:t>之间，在分别采取了厂房隔声等措施后，高噪声设备噪声值均降至70dB</w:t>
            </w:r>
            <w:r>
              <w:rPr>
                <w:rFonts w:hint="eastAsia" w:cs="Times New Roman"/>
                <w:b w:val="0"/>
                <w:bCs w:val="0"/>
                <w:color w:val="auto"/>
                <w:sz w:val="24"/>
                <w:szCs w:val="24"/>
                <w:u w:val="none"/>
                <w:lang w:eastAsia="zh-CN"/>
              </w:rPr>
              <w:t>（</w:t>
            </w:r>
            <w:r>
              <w:rPr>
                <w:rFonts w:hint="default" w:ascii="Times New Roman" w:hAnsi="Times New Roman" w:cs="Times New Roman"/>
                <w:b w:val="0"/>
                <w:bCs w:val="0"/>
                <w:color w:val="auto"/>
                <w:sz w:val="24"/>
                <w:szCs w:val="24"/>
                <w:u w:val="none"/>
              </w:rPr>
              <w:t>A</w:t>
            </w:r>
            <w:r>
              <w:rPr>
                <w:rFonts w:hint="default" w:ascii="Times New Roman" w:hAnsi="Times New Roman" w:cs="Times New Roman"/>
                <w:b w:val="0"/>
                <w:bCs w:val="0"/>
                <w:color w:val="auto"/>
                <w:sz w:val="24"/>
                <w:szCs w:val="24"/>
                <w:u w:val="none"/>
                <w:lang w:eastAsia="zh-CN"/>
              </w:rPr>
              <w:t>）</w:t>
            </w:r>
            <w:r>
              <w:rPr>
                <w:rFonts w:hint="default" w:ascii="Times New Roman" w:hAnsi="Times New Roman" w:cs="Times New Roman"/>
                <w:b w:val="0"/>
                <w:bCs w:val="0"/>
                <w:color w:val="auto"/>
                <w:sz w:val="24"/>
                <w:szCs w:val="24"/>
                <w:u w:val="none"/>
              </w:rPr>
              <w:t>以下。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（2）预测模式</w:t>
            </w:r>
          </w:p>
          <w:p>
            <w:pPr>
              <w:keepNext w:val="0"/>
              <w:keepLines w:val="0"/>
              <w:pageBreakBefore w:val="0"/>
              <w:widowControl w:val="0"/>
              <w:kinsoku/>
              <w:wordWrap w:val="0"/>
              <w:overflowPunct w:val="0"/>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pacing w:val="0"/>
                <w:sz w:val="24"/>
                <w:szCs w:val="24"/>
                <w:u w:val="none"/>
              </w:rPr>
            </w:pPr>
            <w:r>
              <w:rPr>
                <w:rFonts w:hint="default" w:ascii="Times New Roman" w:hAnsi="Times New Roman" w:cs="Times New Roman"/>
                <w:b w:val="0"/>
                <w:bCs w:val="0"/>
                <w:color w:val="auto"/>
                <w:spacing w:val="0"/>
                <w:sz w:val="24"/>
                <w:szCs w:val="24"/>
                <w:u w:val="none"/>
              </w:rPr>
              <w:t>根据《环境影响评价技术导则</w:t>
            </w:r>
            <w:r>
              <w:rPr>
                <w:rFonts w:hint="default" w:ascii="Times New Roman" w:hAnsi="Times New Roman" w:cs="Times New Roman"/>
                <w:b w:val="0"/>
                <w:bCs w:val="0"/>
                <w:color w:val="auto"/>
                <w:spacing w:val="0"/>
                <w:sz w:val="24"/>
                <w:szCs w:val="24"/>
                <w:u w:val="none"/>
                <w:lang w:eastAsia="zh-CN"/>
              </w:rPr>
              <w:t>－</w:t>
            </w:r>
            <w:r>
              <w:rPr>
                <w:rFonts w:hint="default" w:ascii="Times New Roman" w:hAnsi="Times New Roman" w:cs="Times New Roman"/>
                <w:b w:val="0"/>
                <w:bCs w:val="0"/>
                <w:color w:val="auto"/>
                <w:spacing w:val="0"/>
                <w:sz w:val="24"/>
                <w:szCs w:val="24"/>
                <w:u w:val="none"/>
              </w:rPr>
              <w:t>声环境》（HJ24-2021）对室内声源的预测方法，声源位于室内，室内声源可采用等效室外声源声功率级法进行计算。</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1、噪声源强和防治措施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u w:val="none"/>
                <w:lang w:val="en-US" w:eastAsia="zh-CN"/>
              </w:rPr>
            </w:pPr>
            <w:r>
              <w:rPr>
                <w:rFonts w:hint="default" w:ascii="Times New Roman" w:hAnsi="Times New Roman" w:eastAsia="宋体" w:cs="Times New Roman"/>
                <w:b w:val="0"/>
                <w:bCs w:val="0"/>
                <w:color w:val="auto"/>
                <w:sz w:val="24"/>
                <w:u w:val="none"/>
              </w:rPr>
              <w:t>本项目噪声主要来自新增设备运行时产生的机械噪声，等离子切割机</w:t>
            </w:r>
            <w:r>
              <w:rPr>
                <w:rFonts w:hint="eastAsia" w:cs="Times New Roman"/>
                <w:b w:val="0"/>
                <w:bCs w:val="0"/>
                <w:color w:val="auto"/>
                <w:sz w:val="24"/>
                <w:u w:val="none"/>
                <w:lang w:eastAsia="zh-CN"/>
              </w:rPr>
              <w:t>、</w:t>
            </w:r>
            <w:r>
              <w:rPr>
                <w:rFonts w:hint="default" w:ascii="Times New Roman" w:hAnsi="Times New Roman" w:eastAsia="宋体" w:cs="Times New Roman"/>
                <w:b w:val="0"/>
                <w:bCs w:val="0"/>
                <w:color w:val="auto"/>
                <w:sz w:val="24"/>
                <w:u w:val="none"/>
              </w:rPr>
              <w:t>电焊机</w:t>
            </w:r>
            <w:r>
              <w:rPr>
                <w:rFonts w:hint="eastAsia" w:cs="Times New Roman"/>
                <w:b w:val="0"/>
                <w:bCs w:val="0"/>
                <w:color w:val="auto"/>
                <w:sz w:val="24"/>
                <w:u w:val="none"/>
                <w:lang w:eastAsia="zh-CN"/>
              </w:rPr>
              <w:t>、</w:t>
            </w:r>
            <w:r>
              <w:rPr>
                <w:rFonts w:hint="default" w:ascii="Times New Roman" w:hAnsi="Times New Roman" w:eastAsia="宋体" w:cs="Times New Roman"/>
                <w:b w:val="0"/>
                <w:bCs w:val="0"/>
                <w:color w:val="auto"/>
                <w:sz w:val="24"/>
                <w:u w:val="none"/>
              </w:rPr>
              <w:t>抛光机</w:t>
            </w:r>
            <w:r>
              <w:rPr>
                <w:rFonts w:hint="eastAsia" w:cs="Times New Roman"/>
                <w:b w:val="0"/>
                <w:bCs w:val="0"/>
                <w:color w:val="auto"/>
                <w:sz w:val="24"/>
                <w:u w:val="none"/>
                <w:lang w:eastAsia="zh-CN"/>
              </w:rPr>
              <w:t>、</w:t>
            </w:r>
            <w:r>
              <w:rPr>
                <w:rFonts w:hint="default" w:ascii="Times New Roman" w:hAnsi="Times New Roman" w:eastAsia="宋体" w:cs="Times New Roman"/>
                <w:b w:val="0"/>
                <w:bCs w:val="0"/>
                <w:color w:val="auto"/>
                <w:sz w:val="24"/>
                <w:u w:val="none"/>
              </w:rPr>
              <w:t>喷塑设备</w:t>
            </w:r>
            <w:r>
              <w:rPr>
                <w:rFonts w:hint="eastAsia" w:cs="Times New Roman"/>
                <w:b w:val="0"/>
                <w:bCs w:val="0"/>
                <w:color w:val="auto"/>
                <w:sz w:val="24"/>
                <w:u w:val="none"/>
                <w:lang w:val="en-US" w:eastAsia="zh-CN"/>
              </w:rPr>
              <w:t>以及</w:t>
            </w:r>
            <w:r>
              <w:rPr>
                <w:rFonts w:hint="default" w:ascii="Times New Roman" w:hAnsi="Times New Roman" w:eastAsia="宋体" w:cs="Times New Roman"/>
                <w:b w:val="0"/>
                <w:bCs w:val="0"/>
                <w:color w:val="auto"/>
                <w:sz w:val="24"/>
                <w:u w:val="none"/>
              </w:rPr>
              <w:t>风机等，源强在</w:t>
            </w:r>
            <w:r>
              <w:rPr>
                <w:rFonts w:hint="default" w:ascii="Times New Roman" w:hAnsi="Times New Roman" w:eastAsia="宋体" w:cs="Times New Roman"/>
                <w:b w:val="0"/>
                <w:bCs w:val="0"/>
                <w:color w:val="auto"/>
                <w:sz w:val="24"/>
                <w:u w:val="none"/>
                <w:lang w:val="en-US" w:eastAsia="zh-CN"/>
              </w:rPr>
              <w:t>7</w:t>
            </w:r>
            <w:r>
              <w:rPr>
                <w:rFonts w:hint="eastAsia" w:ascii="Times New Roman" w:hAnsi="Times New Roman" w:eastAsia="宋体" w:cs="Times New Roman"/>
                <w:b w:val="0"/>
                <w:bCs w:val="0"/>
                <w:color w:val="auto"/>
                <w:sz w:val="24"/>
                <w:u w:val="none"/>
                <w:lang w:val="en-US" w:eastAsia="zh-CN"/>
              </w:rPr>
              <w:t>5</w:t>
            </w:r>
            <w:r>
              <w:rPr>
                <w:rFonts w:hint="default" w:ascii="Times New Roman" w:hAnsi="Times New Roman" w:eastAsia="宋体" w:cs="Times New Roman"/>
                <w:b w:val="0"/>
                <w:bCs w:val="0"/>
                <w:color w:val="auto"/>
                <w:sz w:val="24"/>
                <w:u w:val="none"/>
              </w:rPr>
              <w:t>~</w:t>
            </w:r>
            <w:r>
              <w:rPr>
                <w:rFonts w:hint="eastAsia" w:ascii="Times New Roman" w:hAnsi="Times New Roman" w:eastAsia="宋体" w:cs="Times New Roman"/>
                <w:b w:val="0"/>
                <w:bCs w:val="0"/>
                <w:color w:val="auto"/>
                <w:sz w:val="24"/>
                <w:u w:val="none"/>
                <w:lang w:val="en-US" w:eastAsia="zh-CN"/>
              </w:rPr>
              <w:t>8</w:t>
            </w:r>
            <w:r>
              <w:rPr>
                <w:rFonts w:hint="eastAsia" w:cs="Times New Roman"/>
                <w:b w:val="0"/>
                <w:bCs w:val="0"/>
                <w:color w:val="auto"/>
                <w:sz w:val="24"/>
                <w:u w:val="none"/>
                <w:lang w:val="en-US" w:eastAsia="zh-CN"/>
              </w:rPr>
              <w:t>5</w:t>
            </w:r>
            <w:r>
              <w:rPr>
                <w:rFonts w:hint="default" w:ascii="Times New Roman" w:hAnsi="Times New Roman" w:eastAsia="宋体" w:cs="Times New Roman"/>
                <w:b w:val="0"/>
                <w:bCs w:val="0"/>
                <w:color w:val="auto"/>
                <w:sz w:val="24"/>
                <w:u w:val="none"/>
              </w:rPr>
              <w:t>dB(A)。通过采取为各台设备安装减</w:t>
            </w:r>
            <w:r>
              <w:rPr>
                <w:rFonts w:hint="default" w:ascii="Times New Roman" w:hAnsi="Times New Roman" w:eastAsia="宋体" w:cs="Times New Roman"/>
                <w:b w:val="0"/>
                <w:bCs w:val="0"/>
                <w:color w:val="auto"/>
                <w:sz w:val="24"/>
                <w:u w:val="none"/>
                <w:lang w:eastAsia="zh-CN"/>
              </w:rPr>
              <w:t>振</w:t>
            </w:r>
            <w:r>
              <w:rPr>
                <w:rFonts w:hint="default" w:ascii="Times New Roman" w:hAnsi="Times New Roman" w:eastAsia="宋体" w:cs="Times New Roman"/>
                <w:b w:val="0"/>
                <w:bCs w:val="0"/>
                <w:color w:val="auto"/>
                <w:sz w:val="24"/>
                <w:u w:val="none"/>
              </w:rPr>
              <w:t>基础、室内隔声、距离衰减等措施降低噪声影响。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u w:val="none"/>
                <w:lang w:val="en-US" w:eastAsia="zh-CN"/>
              </w:rPr>
            </w:pPr>
            <w:r>
              <w:rPr>
                <w:rFonts w:hint="default" w:ascii="Times New Roman" w:hAnsi="Times New Roman" w:eastAsia="宋体" w:cs="Times New Roman"/>
                <w:color w:val="auto"/>
                <w:kern w:val="0"/>
                <w:sz w:val="24"/>
                <w:szCs w:val="24"/>
                <w:lang w:val="en-US" w:eastAsia="zh-CN" w:bidi="ar"/>
              </w:rPr>
              <w:t>本项目所有噪声源均位于室内，声源位于室内，</w:t>
            </w:r>
            <w:r>
              <w:rPr>
                <w:rFonts w:hint="default" w:ascii="Times New Roman" w:hAnsi="Times New Roman" w:eastAsia="宋体" w:cs="Times New Roman"/>
                <w:b w:val="0"/>
                <w:bCs w:val="0"/>
                <w:color w:val="auto"/>
                <w:sz w:val="24"/>
                <w:u w:val="none"/>
                <w:lang w:val="en-US" w:eastAsia="zh-CN"/>
              </w:rPr>
              <w:t>根据《环境影响评价技术导则 声环境》（HJ2.4-2021），计算某一室内声源靠近围护结构处产生的倍频带声压级或A声级：</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113"/>
              <w:jc w:val="center"/>
              <w:textAlignment w:val="auto"/>
              <w:rPr>
                <w:rFonts w:hint="default"/>
                <w:color w:val="auto"/>
                <w:lang w:val="en-US" w:eastAsia="zh-CN"/>
              </w:rPr>
            </w:pPr>
            <w:r>
              <w:rPr>
                <w:rFonts w:hint="default"/>
                <w:color w:val="auto"/>
                <w:lang w:val="en-US" w:eastAsia="zh-CN"/>
              </w:rPr>
              <w:drawing>
                <wp:inline distT="0" distB="0" distL="114300" distR="114300">
                  <wp:extent cx="2188210" cy="371475"/>
                  <wp:effectExtent l="0" t="0" r="2540" b="9525"/>
                  <wp:docPr id="3" name="图片 4" descr="Snipaste_2023-02-11_11-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Snipaste_2023-02-11_11-40-24"/>
                          <pic:cNvPicPr>
                            <a:picLocks noChangeAspect="1"/>
                          </pic:cNvPicPr>
                        </pic:nvPicPr>
                        <pic:blipFill>
                          <a:blip r:embed="rId24"/>
                          <a:stretch>
                            <a:fillRect/>
                          </a:stretch>
                        </pic:blipFill>
                        <pic:spPr>
                          <a:xfrm>
                            <a:off x="0" y="0"/>
                            <a:ext cx="2188210" cy="371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1139" w:leftChars="228" w:hanging="660" w:hangingChars="300"/>
              <w:textAlignment w:val="auto"/>
              <w:rPr>
                <w:rFonts w:hint="default" w:ascii="Times New Roman" w:hAnsi="Times New Roman" w:eastAsia="宋体" w:cs="Times New Roman"/>
                <w:bCs/>
                <w:color w:val="auto"/>
                <w:spacing w:val="-10"/>
                <w:sz w:val="24"/>
                <w:lang w:val="en-US" w:eastAsia="zh-CN"/>
              </w:rPr>
            </w:pPr>
            <w:r>
              <w:rPr>
                <w:rFonts w:hint="default" w:ascii="Times New Roman" w:hAnsi="Times New Roman" w:eastAsia="宋体" w:cs="Times New Roman"/>
                <w:bCs/>
                <w:color w:val="auto"/>
                <w:spacing w:val="-10"/>
                <w:sz w:val="24"/>
                <w:lang w:val="en-US" w:eastAsia="zh-CN"/>
              </w:rPr>
              <w:t>式中：Lp</w:t>
            </w:r>
            <w:r>
              <w:rPr>
                <w:rFonts w:hint="eastAsia" w:cs="Times New Roman"/>
                <w:bCs/>
                <w:color w:val="auto"/>
                <w:spacing w:val="-10"/>
                <w:sz w:val="24"/>
                <w:vertAlign w:val="subscript"/>
                <w:lang w:val="en-US" w:eastAsia="zh-CN"/>
              </w:rPr>
              <w:t>L</w:t>
            </w:r>
            <w:r>
              <w:rPr>
                <w:rFonts w:hint="eastAsia" w:ascii="Times New Roman" w:hAnsi="Times New Roman" w:eastAsia="宋体" w:cs="Times New Roman"/>
                <w:i w:val="0"/>
                <w:iCs w:val="0"/>
                <w:caps w:val="0"/>
                <w:color w:val="auto"/>
                <w:spacing w:val="0"/>
                <w:sz w:val="26"/>
                <w:szCs w:val="26"/>
                <w:shd w:val="clear" w:color="auto" w:fill="FFFFFF"/>
                <w:lang w:eastAsia="zh-CN"/>
              </w:rPr>
              <w:t>—</w:t>
            </w:r>
            <w:r>
              <w:rPr>
                <w:rFonts w:hint="default" w:ascii="Times New Roman" w:hAnsi="Times New Roman" w:eastAsia="宋体" w:cs="Times New Roman"/>
                <w:bCs/>
                <w:color w:val="auto"/>
                <w:spacing w:val="-10"/>
                <w:sz w:val="24"/>
                <w:lang w:val="en-US" w:eastAsia="zh-CN"/>
              </w:rPr>
              <w:t>靠近开口处（或窗户）室内某倍频带的声压级或A声级，dB；</w:t>
            </w:r>
          </w:p>
          <w:p>
            <w:pPr>
              <w:keepNext w:val="0"/>
              <w:keepLines w:val="0"/>
              <w:pageBreakBefore w:val="0"/>
              <w:widowControl w:val="0"/>
              <w:kinsoku/>
              <w:wordWrap/>
              <w:overflowPunct/>
              <w:topLinePunct w:val="0"/>
              <w:autoSpaceDE/>
              <w:autoSpaceDN/>
              <w:bidi w:val="0"/>
              <w:adjustRightInd w:val="0"/>
              <w:snapToGrid w:val="0"/>
              <w:spacing w:line="360" w:lineRule="auto"/>
              <w:ind w:left="1139" w:leftChars="228" w:hanging="660" w:hangingChars="300"/>
              <w:textAlignment w:val="auto"/>
              <w:rPr>
                <w:rFonts w:hint="default" w:ascii="Times New Roman" w:hAnsi="Times New Roman" w:eastAsia="宋体" w:cs="Times New Roman"/>
                <w:bCs/>
                <w:color w:val="auto"/>
                <w:spacing w:val="-10"/>
                <w:sz w:val="24"/>
                <w:lang w:val="en-US" w:eastAsia="zh-CN"/>
              </w:rPr>
            </w:pPr>
            <w:r>
              <w:rPr>
                <w:rFonts w:hint="default" w:ascii="Times New Roman" w:hAnsi="Times New Roman" w:eastAsia="宋体" w:cs="Times New Roman"/>
                <w:bCs/>
                <w:color w:val="auto"/>
                <w:spacing w:val="-10"/>
                <w:sz w:val="24"/>
                <w:lang w:val="en-US" w:eastAsia="zh-CN"/>
              </w:rPr>
              <w:t>Lw</w:t>
            </w:r>
            <w:r>
              <w:rPr>
                <w:rFonts w:hint="eastAsia" w:cs="Times New Roman"/>
                <w:bCs/>
                <w:color w:val="auto"/>
                <w:spacing w:val="-10"/>
                <w:sz w:val="24"/>
                <w:vertAlign w:val="subscript"/>
                <w:lang w:val="en-US" w:eastAsia="zh-CN"/>
              </w:rPr>
              <w:t>1</w:t>
            </w:r>
            <w:r>
              <w:rPr>
                <w:rFonts w:hint="eastAsia" w:ascii="Times New Roman" w:hAnsi="Times New Roman" w:eastAsia="宋体" w:cs="Times New Roman"/>
                <w:i w:val="0"/>
                <w:iCs w:val="0"/>
                <w:caps w:val="0"/>
                <w:color w:val="auto"/>
                <w:spacing w:val="0"/>
                <w:sz w:val="26"/>
                <w:szCs w:val="26"/>
                <w:shd w:val="clear" w:color="auto" w:fill="FFFFFF"/>
                <w:lang w:eastAsia="zh-CN"/>
              </w:rPr>
              <w:t>—</w:t>
            </w:r>
            <w:r>
              <w:rPr>
                <w:rFonts w:hint="default" w:ascii="Times New Roman" w:hAnsi="Times New Roman" w:eastAsia="宋体" w:cs="Times New Roman"/>
                <w:bCs/>
                <w:color w:val="auto"/>
                <w:spacing w:val="-10"/>
                <w:sz w:val="24"/>
                <w:lang w:val="en-US" w:eastAsia="zh-CN"/>
              </w:rPr>
              <w:t>点声源声功率级（A计权或倍频带），dB；</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textAlignment w:val="auto"/>
              <w:rPr>
                <w:rFonts w:hint="default" w:ascii="Times New Roman" w:hAnsi="Times New Roman" w:eastAsia="宋体" w:cs="Times New Roman"/>
                <w:bCs/>
                <w:color w:val="auto"/>
                <w:spacing w:val="-10"/>
                <w:sz w:val="24"/>
                <w:lang w:val="en-US" w:eastAsia="zh-CN"/>
              </w:rPr>
            </w:pPr>
            <w:r>
              <w:rPr>
                <w:rFonts w:hint="default" w:ascii="Times New Roman" w:hAnsi="Times New Roman" w:eastAsia="宋体" w:cs="Times New Roman"/>
                <w:bCs/>
                <w:color w:val="auto"/>
                <w:spacing w:val="-10"/>
                <w:sz w:val="24"/>
                <w:lang w:val="en-US" w:eastAsia="zh-CN"/>
              </w:rPr>
              <w:t>Q</w:t>
            </w:r>
            <w:r>
              <w:rPr>
                <w:rFonts w:hint="eastAsia" w:ascii="Times New Roman" w:hAnsi="Times New Roman" w:eastAsia="宋体" w:cs="Times New Roman"/>
                <w:i w:val="0"/>
                <w:iCs w:val="0"/>
                <w:caps w:val="0"/>
                <w:color w:val="auto"/>
                <w:spacing w:val="0"/>
                <w:sz w:val="26"/>
                <w:szCs w:val="26"/>
                <w:shd w:val="clear" w:color="auto" w:fill="FFFFFF"/>
                <w:lang w:eastAsia="zh-CN"/>
              </w:rPr>
              <w:t>—</w:t>
            </w:r>
            <w:r>
              <w:rPr>
                <w:rFonts w:hint="default" w:ascii="Times New Roman" w:hAnsi="Times New Roman" w:eastAsia="宋体" w:cs="Times New Roman"/>
                <w:bCs/>
                <w:color w:val="auto"/>
                <w:spacing w:val="-10"/>
                <w:sz w:val="24"/>
                <w:lang w:val="en-US" w:eastAsia="zh-CN"/>
              </w:rPr>
              <w:t>指向性因数；通常对无指向性声源，当声源放在房间中心时，Q=1；当放在一面墙的中心时，Q=2；当放在两面墙夹角处时，Q=4；当放在三面墙夹角处时，Q=8；</w:t>
            </w:r>
          </w:p>
          <w:p>
            <w:pPr>
              <w:keepNext w:val="0"/>
              <w:keepLines w:val="0"/>
              <w:pageBreakBefore w:val="0"/>
              <w:widowControl w:val="0"/>
              <w:kinsoku/>
              <w:wordWrap/>
              <w:overflowPunct/>
              <w:topLinePunct w:val="0"/>
              <w:autoSpaceDE/>
              <w:autoSpaceDN/>
              <w:bidi w:val="0"/>
              <w:adjustRightInd w:val="0"/>
              <w:snapToGrid w:val="0"/>
              <w:spacing w:line="360" w:lineRule="auto"/>
              <w:ind w:left="1139" w:leftChars="228" w:hanging="660" w:hangingChars="300"/>
              <w:textAlignment w:val="auto"/>
              <w:rPr>
                <w:rFonts w:hint="default" w:ascii="Times New Roman" w:hAnsi="Times New Roman" w:eastAsia="宋体" w:cs="Times New Roman"/>
                <w:bCs/>
                <w:color w:val="auto"/>
                <w:spacing w:val="-10"/>
                <w:sz w:val="24"/>
                <w:lang w:val="en-US" w:eastAsia="zh-CN"/>
              </w:rPr>
            </w:pPr>
            <w:r>
              <w:rPr>
                <w:rFonts w:hint="default" w:ascii="Times New Roman" w:hAnsi="Times New Roman" w:eastAsia="宋体" w:cs="Times New Roman"/>
                <w:bCs/>
                <w:color w:val="auto"/>
                <w:spacing w:val="-10"/>
                <w:sz w:val="24"/>
                <w:lang w:val="en-US" w:eastAsia="zh-CN"/>
              </w:rPr>
              <w:t>R</w:t>
            </w:r>
            <w:r>
              <w:rPr>
                <w:rFonts w:hint="eastAsia" w:ascii="Times New Roman" w:hAnsi="Times New Roman" w:eastAsia="宋体" w:cs="Times New Roman"/>
                <w:i w:val="0"/>
                <w:iCs w:val="0"/>
                <w:caps w:val="0"/>
                <w:color w:val="auto"/>
                <w:spacing w:val="0"/>
                <w:sz w:val="26"/>
                <w:szCs w:val="26"/>
                <w:shd w:val="clear" w:color="auto" w:fill="FFFFFF"/>
                <w:lang w:eastAsia="zh-CN"/>
              </w:rPr>
              <w:t>—</w:t>
            </w:r>
            <w:r>
              <w:rPr>
                <w:rFonts w:hint="default" w:ascii="Times New Roman" w:hAnsi="Times New Roman" w:eastAsia="宋体" w:cs="Times New Roman"/>
                <w:bCs/>
                <w:color w:val="auto"/>
                <w:spacing w:val="-10"/>
                <w:sz w:val="24"/>
                <w:lang w:val="en-US" w:eastAsia="zh-CN"/>
              </w:rPr>
              <w:t>房间常数；Sα/（1-α），S为房间内表面面积，m</w:t>
            </w:r>
            <w:r>
              <w:rPr>
                <w:rFonts w:hint="default" w:ascii="Times New Roman" w:hAnsi="Times New Roman" w:eastAsia="宋体" w:cs="Times New Roman"/>
                <w:bCs/>
                <w:color w:val="auto"/>
                <w:spacing w:val="-10"/>
                <w:sz w:val="24"/>
                <w:vertAlign w:val="superscript"/>
                <w:lang w:val="en-US" w:eastAsia="zh-CN"/>
              </w:rPr>
              <w:t>2</w:t>
            </w:r>
            <w:r>
              <w:rPr>
                <w:rFonts w:hint="default" w:ascii="Times New Roman" w:hAnsi="Times New Roman" w:eastAsia="宋体" w:cs="Times New Roman"/>
                <w:bCs/>
                <w:color w:val="auto"/>
                <w:spacing w:val="-10"/>
                <w:sz w:val="24"/>
                <w:lang w:val="en-US" w:eastAsia="zh-CN"/>
              </w:rPr>
              <w:t>；α为平均吸声系数；</w:t>
            </w:r>
          </w:p>
          <w:p>
            <w:pPr>
              <w:keepNext w:val="0"/>
              <w:keepLines w:val="0"/>
              <w:pageBreakBefore w:val="0"/>
              <w:widowControl w:val="0"/>
              <w:kinsoku/>
              <w:wordWrap/>
              <w:overflowPunct/>
              <w:topLinePunct w:val="0"/>
              <w:autoSpaceDE/>
              <w:autoSpaceDN/>
              <w:bidi w:val="0"/>
              <w:adjustRightInd w:val="0"/>
              <w:snapToGrid w:val="0"/>
              <w:spacing w:line="360" w:lineRule="auto"/>
              <w:ind w:left="1139" w:leftChars="228" w:hanging="660" w:hangingChars="300"/>
              <w:textAlignment w:val="auto"/>
              <w:rPr>
                <w:rFonts w:hint="default" w:ascii="Times New Roman" w:hAnsi="Times New Roman" w:eastAsia="sans-serif" w:cs="Times New Roman"/>
                <w:i w:val="0"/>
                <w:iCs w:val="0"/>
                <w:caps w:val="0"/>
                <w:color w:val="auto"/>
                <w:spacing w:val="0"/>
                <w:sz w:val="26"/>
                <w:szCs w:val="26"/>
                <w:shd w:val="clear" w:color="auto" w:fill="FFFFFF"/>
              </w:rPr>
            </w:pPr>
            <w:r>
              <w:rPr>
                <w:rFonts w:hint="default" w:ascii="Times New Roman" w:hAnsi="Times New Roman" w:eastAsia="宋体" w:cs="Times New Roman"/>
                <w:bCs/>
                <w:color w:val="auto"/>
                <w:spacing w:val="-10"/>
                <w:sz w:val="24"/>
                <w:lang w:val="en-US" w:eastAsia="zh-CN"/>
              </w:rPr>
              <w:t>r</w:t>
            </w:r>
            <w:r>
              <w:rPr>
                <w:rFonts w:hint="eastAsia" w:ascii="Times New Roman" w:hAnsi="Times New Roman" w:eastAsia="宋体" w:cs="Times New Roman"/>
                <w:i w:val="0"/>
                <w:iCs w:val="0"/>
                <w:caps w:val="0"/>
                <w:color w:val="auto"/>
                <w:spacing w:val="0"/>
                <w:sz w:val="26"/>
                <w:szCs w:val="26"/>
                <w:shd w:val="clear" w:color="auto" w:fill="FFFFFF"/>
                <w:lang w:eastAsia="zh-CN"/>
              </w:rPr>
              <w:t>—</w:t>
            </w:r>
            <w:r>
              <w:rPr>
                <w:rFonts w:hint="default" w:ascii="Times New Roman" w:hAnsi="Times New Roman" w:eastAsia="sans-serif" w:cs="Times New Roman"/>
                <w:i w:val="0"/>
                <w:iCs w:val="0"/>
                <w:caps w:val="0"/>
                <w:color w:val="auto"/>
                <w:spacing w:val="0"/>
                <w:sz w:val="26"/>
                <w:szCs w:val="26"/>
                <w:shd w:val="clear" w:color="auto" w:fill="FFFFFF"/>
              </w:rPr>
              <w:t>声源到靠近围护结构某点处的距离，</w:t>
            </w:r>
            <w:r>
              <w:rPr>
                <w:rFonts w:hint="default" w:ascii="Times New Roman" w:hAnsi="Times New Roman" w:eastAsia="宋体" w:cs="Times New Roman"/>
                <w:i w:val="0"/>
                <w:iCs w:val="0"/>
                <w:caps w:val="0"/>
                <w:color w:val="auto"/>
                <w:spacing w:val="0"/>
                <w:sz w:val="26"/>
                <w:szCs w:val="26"/>
                <w:shd w:val="clear" w:color="auto" w:fill="FFFFFF"/>
                <w:lang w:val="en-US" w:eastAsia="zh-CN"/>
              </w:rPr>
              <w:t>m</w:t>
            </w:r>
            <w:r>
              <w:rPr>
                <w:rFonts w:hint="default" w:ascii="Times New Roman" w:hAnsi="Times New Roman" w:eastAsia="sans-serif" w:cs="Times New Roman"/>
                <w:i w:val="0"/>
                <w:iCs w:val="0"/>
                <w:caps w:val="0"/>
                <w:color w:val="auto"/>
                <w:spacing w:val="0"/>
                <w:sz w:val="26"/>
                <w:szCs w:val="26"/>
                <w:shd w:val="clear" w:color="auto" w:fill="FFFFFF"/>
              </w:rPr>
              <w:t>。</w:t>
            </w:r>
          </w:p>
          <w:p>
            <w:pPr>
              <w:keepNext w:val="0"/>
              <w:keepLines w:val="0"/>
              <w:pageBreakBefore w:val="0"/>
              <w:widowControl w:val="0"/>
              <w:kinsoku/>
              <w:wordWrap/>
              <w:overflowPunct/>
              <w:topLinePunct w:val="0"/>
              <w:autoSpaceDE/>
              <w:autoSpaceDN/>
              <w:bidi w:val="0"/>
              <w:adjustRightInd w:val="0"/>
              <w:snapToGrid w:val="0"/>
              <w:spacing w:line="360" w:lineRule="auto"/>
              <w:ind w:left="1259" w:leftChars="228" w:hanging="780" w:hangingChars="300"/>
              <w:textAlignment w:val="auto"/>
              <w:rPr>
                <w:rFonts w:hint="default" w:ascii="Times New Roman" w:hAnsi="Times New Roman" w:eastAsia="sans-serif" w:cs="Times New Roman"/>
                <w:i w:val="0"/>
                <w:iCs w:val="0"/>
                <w:caps w:val="0"/>
                <w:color w:val="auto"/>
                <w:spacing w:val="0"/>
                <w:sz w:val="26"/>
                <w:szCs w:val="26"/>
                <w:shd w:val="clear" w:color="auto" w:fill="FFFFFF"/>
              </w:rPr>
            </w:pPr>
            <w:r>
              <w:rPr>
                <w:rFonts w:hint="default" w:ascii="Times New Roman" w:hAnsi="Times New Roman" w:eastAsia="sans-serif" w:cs="Times New Roman"/>
                <w:i w:val="0"/>
                <w:iCs w:val="0"/>
                <w:caps w:val="0"/>
                <w:color w:val="auto"/>
                <w:spacing w:val="0"/>
                <w:sz w:val="26"/>
                <w:szCs w:val="26"/>
                <w:shd w:val="clear" w:color="auto" w:fill="FFFFFF"/>
              </w:rPr>
              <w:t>然后计算出所有室内声源在围护结构处产生的i倍频带叠加声压级</w:t>
            </w:r>
            <w:r>
              <w:rPr>
                <w:rFonts w:hint="eastAsia" w:ascii="Times New Roman" w:hAnsi="Times New Roman" w:eastAsia="宋体" w:cs="Times New Roman"/>
                <w:i w:val="0"/>
                <w:iCs w:val="0"/>
                <w:caps w:val="0"/>
                <w:color w:val="auto"/>
                <w:spacing w:val="0"/>
                <w:sz w:val="26"/>
                <w:szCs w:val="26"/>
                <w:shd w:val="clear" w:color="auto" w:fill="FFFFFF"/>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sz w:val="26"/>
                <w:szCs w:val="26"/>
                <w:shd w:val="clear" w:color="auto" w:fill="FFFFFF"/>
                <w:lang w:eastAsia="zh-CN"/>
              </w:rPr>
            </w:pPr>
            <w:r>
              <w:rPr>
                <w:rFonts w:hint="default" w:ascii="Times New Roman" w:hAnsi="Times New Roman" w:eastAsia="宋体" w:cs="Times New Roman"/>
                <w:i w:val="0"/>
                <w:iCs w:val="0"/>
                <w:caps w:val="0"/>
                <w:color w:val="auto"/>
                <w:spacing w:val="0"/>
                <w:sz w:val="26"/>
                <w:szCs w:val="26"/>
                <w:shd w:val="clear" w:color="auto" w:fill="FFFFFF"/>
                <w:lang w:eastAsia="zh-CN"/>
              </w:rPr>
              <w:drawing>
                <wp:inline distT="0" distB="0" distL="114300" distR="114300">
                  <wp:extent cx="2181860" cy="514350"/>
                  <wp:effectExtent l="0" t="0" r="8890" b="0"/>
                  <wp:docPr id="9" name="图片 5" descr="Snipaste_2023-02-11_11-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Snipaste_2023-02-11_11-39-51"/>
                          <pic:cNvPicPr>
                            <a:picLocks noChangeAspect="1"/>
                          </pic:cNvPicPr>
                        </pic:nvPicPr>
                        <pic:blipFill>
                          <a:blip r:embed="rId25"/>
                          <a:stretch>
                            <a:fillRect/>
                          </a:stretch>
                        </pic:blipFill>
                        <pic:spPr>
                          <a:xfrm>
                            <a:off x="0" y="0"/>
                            <a:ext cx="2181860" cy="514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20" w:firstLineChars="200"/>
              <w:jc w:val="both"/>
              <w:textAlignment w:val="auto"/>
              <w:rPr>
                <w:rFonts w:hint="default" w:ascii="Times New Roman" w:hAnsi="Times New Roman" w:eastAsia="sans-serif" w:cs="Times New Roman"/>
                <w:i w:val="0"/>
                <w:iCs w:val="0"/>
                <w:caps w:val="0"/>
                <w:color w:val="auto"/>
                <w:spacing w:val="0"/>
                <w:sz w:val="26"/>
                <w:szCs w:val="26"/>
                <w:shd w:val="clear" w:color="auto" w:fill="FFFFFF"/>
              </w:rPr>
            </w:pPr>
            <w:r>
              <w:rPr>
                <w:rFonts w:hint="default" w:ascii="Times New Roman" w:hAnsi="Times New Roman" w:eastAsia="sans-serif" w:cs="Times New Roman"/>
                <w:i w:val="0"/>
                <w:iCs w:val="0"/>
                <w:caps w:val="0"/>
                <w:color w:val="auto"/>
                <w:spacing w:val="0"/>
                <w:sz w:val="26"/>
                <w:szCs w:val="26"/>
                <w:shd w:val="clear" w:color="auto" w:fill="FFFFFF"/>
              </w:rPr>
              <w:t>式中：</w:t>
            </w:r>
            <w:r>
              <w:rPr>
                <w:rFonts w:hint="default" w:ascii="Times New Roman" w:hAnsi="Times New Roman" w:eastAsia="sans-serif" w:cs="Times New Roman"/>
                <w:i w:val="0"/>
                <w:iCs w:val="0"/>
                <w:caps w:val="0"/>
                <w:color w:val="auto"/>
                <w:spacing w:val="0"/>
                <w:sz w:val="28"/>
                <w:szCs w:val="28"/>
                <w:shd w:val="clear" w:color="auto" w:fill="FFFFFF"/>
              </w:rPr>
              <w:t>L</w:t>
            </w:r>
            <w:r>
              <w:rPr>
                <w:rFonts w:hint="default" w:ascii="Times New Roman" w:hAnsi="Times New Roman" w:eastAsia="sans-serif" w:cs="Times New Roman"/>
                <w:i w:val="0"/>
                <w:iCs w:val="0"/>
                <w:caps w:val="0"/>
                <w:color w:val="auto"/>
                <w:spacing w:val="0"/>
                <w:sz w:val="16"/>
                <w:szCs w:val="16"/>
                <w:shd w:val="clear" w:color="auto" w:fill="FFFFFF"/>
              </w:rPr>
              <w:t>p1i</w:t>
            </w:r>
            <w:r>
              <w:rPr>
                <w:rFonts w:hint="eastAsia" w:ascii="Times New Roman" w:hAnsi="Times New Roman" w:eastAsia="宋体" w:cs="Times New Roman"/>
                <w:i w:val="0"/>
                <w:iCs w:val="0"/>
                <w:caps w:val="0"/>
                <w:color w:val="auto"/>
                <w:spacing w:val="0"/>
                <w:sz w:val="26"/>
                <w:szCs w:val="26"/>
                <w:shd w:val="clear" w:color="auto" w:fill="FFFFFF"/>
                <w:lang w:eastAsia="zh-CN"/>
              </w:rPr>
              <w:t>—</w:t>
            </w:r>
            <w:r>
              <w:rPr>
                <w:rFonts w:hint="default" w:ascii="Times New Roman" w:hAnsi="Times New Roman" w:eastAsia="sans-serif" w:cs="Times New Roman"/>
                <w:i w:val="0"/>
                <w:iCs w:val="0"/>
                <w:caps w:val="0"/>
                <w:color w:val="auto"/>
                <w:spacing w:val="0"/>
                <w:sz w:val="26"/>
                <w:szCs w:val="26"/>
                <w:shd w:val="clear" w:color="auto" w:fill="FFFFFF"/>
              </w:rPr>
              <w:t>靠近围护结构处室内N个声源i倍频带的叠加声压级，dB；</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120" w:firstLineChars="400"/>
              <w:jc w:val="both"/>
              <w:textAlignment w:val="auto"/>
              <w:rPr>
                <w:rFonts w:hint="default" w:ascii="Times New Roman" w:hAnsi="Times New Roman" w:eastAsia="sans-serif" w:cs="Times New Roman"/>
                <w:i w:val="0"/>
                <w:iCs w:val="0"/>
                <w:caps w:val="0"/>
                <w:color w:val="auto"/>
                <w:spacing w:val="0"/>
                <w:sz w:val="26"/>
                <w:szCs w:val="26"/>
                <w:shd w:val="clear" w:color="auto" w:fill="FFFFFF"/>
              </w:rPr>
            </w:pPr>
            <w:r>
              <w:rPr>
                <w:rFonts w:hint="default" w:ascii="Times New Roman" w:hAnsi="Times New Roman" w:eastAsia="sans-serif" w:cs="Times New Roman"/>
                <w:i w:val="0"/>
                <w:iCs w:val="0"/>
                <w:caps w:val="0"/>
                <w:color w:val="auto"/>
                <w:spacing w:val="0"/>
                <w:sz w:val="28"/>
                <w:szCs w:val="28"/>
                <w:shd w:val="clear" w:color="auto" w:fill="FFFFFF"/>
              </w:rPr>
              <w:t>L</w:t>
            </w:r>
            <w:r>
              <w:rPr>
                <w:rFonts w:hint="default" w:ascii="Times New Roman" w:hAnsi="Times New Roman" w:eastAsia="sans-serif" w:cs="Times New Roman"/>
                <w:i w:val="0"/>
                <w:iCs w:val="0"/>
                <w:caps w:val="0"/>
                <w:color w:val="auto"/>
                <w:spacing w:val="0"/>
                <w:sz w:val="16"/>
                <w:szCs w:val="16"/>
                <w:shd w:val="clear" w:color="auto" w:fill="FFFFFF"/>
              </w:rPr>
              <w:t>p1ij</w:t>
            </w:r>
            <w:r>
              <w:rPr>
                <w:rFonts w:hint="eastAsia" w:ascii="Times New Roman" w:hAnsi="Times New Roman" w:eastAsia="宋体" w:cs="Times New Roman"/>
                <w:i w:val="0"/>
                <w:iCs w:val="0"/>
                <w:caps w:val="0"/>
                <w:color w:val="auto"/>
                <w:spacing w:val="0"/>
                <w:sz w:val="26"/>
                <w:szCs w:val="26"/>
                <w:shd w:val="clear" w:color="auto" w:fill="FFFFFF"/>
                <w:lang w:eastAsia="zh-CN"/>
              </w:rPr>
              <w:t>—</w:t>
            </w:r>
            <w:r>
              <w:rPr>
                <w:rFonts w:hint="default" w:ascii="Times New Roman" w:hAnsi="Times New Roman" w:eastAsia="sans-serif" w:cs="Times New Roman"/>
                <w:i w:val="0"/>
                <w:iCs w:val="0"/>
                <w:caps w:val="0"/>
                <w:color w:val="auto"/>
                <w:spacing w:val="0"/>
                <w:sz w:val="26"/>
                <w:szCs w:val="26"/>
                <w:shd w:val="clear" w:color="auto" w:fill="FFFFFF"/>
              </w:rPr>
              <w:t>室内j声源i倍频带的声压级，dB；</w:t>
            </w:r>
          </w:p>
          <w:p>
            <w:pPr>
              <w:keepNext w:val="0"/>
              <w:keepLines w:val="0"/>
              <w:pageBreakBefore w:val="0"/>
              <w:widowControl w:val="0"/>
              <w:kinsoku/>
              <w:wordWrap/>
              <w:overflowPunct/>
              <w:topLinePunct w:val="0"/>
              <w:autoSpaceDE/>
              <w:autoSpaceDN/>
              <w:bidi w:val="0"/>
              <w:adjustRightInd w:val="0"/>
              <w:snapToGrid w:val="0"/>
              <w:spacing w:line="360" w:lineRule="auto"/>
              <w:ind w:left="584" w:leftChars="278" w:firstLine="580" w:firstLineChars="200"/>
              <w:jc w:val="both"/>
              <w:textAlignment w:val="auto"/>
              <w:rPr>
                <w:rFonts w:hint="eastAsia" w:ascii="Times New Roman" w:hAnsi="Times New Roman" w:eastAsia="宋体" w:cs="Times New Roman"/>
                <w:i w:val="0"/>
                <w:iCs w:val="0"/>
                <w:caps w:val="0"/>
                <w:color w:val="auto"/>
                <w:spacing w:val="0"/>
                <w:sz w:val="26"/>
                <w:szCs w:val="26"/>
                <w:shd w:val="clear" w:color="auto" w:fill="FFFFFF"/>
                <w:lang w:eastAsia="zh-CN"/>
              </w:rPr>
            </w:pPr>
            <w:r>
              <w:rPr>
                <w:rFonts w:hint="eastAsia" w:ascii="Times New Roman" w:hAnsi="Times New Roman" w:eastAsia="宋体" w:cs="Times New Roman"/>
                <w:i w:val="0"/>
                <w:iCs w:val="0"/>
                <w:caps w:val="0"/>
                <w:color w:val="auto"/>
                <w:spacing w:val="0"/>
                <w:sz w:val="29"/>
                <w:szCs w:val="29"/>
                <w:shd w:val="clear" w:color="auto" w:fill="FFFFFF"/>
                <w:lang w:val="en-US" w:eastAsia="zh-CN"/>
              </w:rPr>
              <w:t>N</w:t>
            </w:r>
            <w:r>
              <w:rPr>
                <w:rFonts w:hint="eastAsia" w:ascii="Times New Roman" w:hAnsi="Times New Roman" w:eastAsia="宋体" w:cs="Times New Roman"/>
                <w:i w:val="0"/>
                <w:iCs w:val="0"/>
                <w:caps w:val="0"/>
                <w:color w:val="auto"/>
                <w:spacing w:val="0"/>
                <w:sz w:val="26"/>
                <w:szCs w:val="26"/>
                <w:shd w:val="clear" w:color="auto" w:fill="FFFFFF"/>
                <w:lang w:eastAsia="zh-CN"/>
              </w:rPr>
              <w:t>—</w:t>
            </w:r>
            <w:r>
              <w:rPr>
                <w:rFonts w:hint="default" w:ascii="Times New Roman" w:hAnsi="Times New Roman" w:eastAsia="sans-serif" w:cs="Times New Roman"/>
                <w:i w:val="0"/>
                <w:iCs w:val="0"/>
                <w:caps w:val="0"/>
                <w:color w:val="auto"/>
                <w:spacing w:val="0"/>
                <w:sz w:val="26"/>
                <w:szCs w:val="26"/>
                <w:shd w:val="clear" w:color="auto" w:fill="FFFFFF"/>
              </w:rPr>
              <w:t>室内声源总数。</w:t>
            </w:r>
          </w:p>
          <w:p>
            <w:pPr>
              <w:keepNext w:val="0"/>
              <w:keepLines w:val="0"/>
              <w:pageBreakBefore w:val="0"/>
              <w:widowControl w:val="0"/>
              <w:kinsoku/>
              <w:wordWrap/>
              <w:overflowPunct/>
              <w:topLinePunct w:val="0"/>
              <w:autoSpaceDE/>
              <w:autoSpaceDN/>
              <w:bidi w:val="0"/>
              <w:adjustRightInd w:val="0"/>
              <w:snapToGrid w:val="0"/>
              <w:spacing w:line="360" w:lineRule="auto"/>
              <w:ind w:left="584" w:leftChars="278" w:firstLine="520" w:firstLineChars="200"/>
              <w:jc w:val="both"/>
              <w:textAlignment w:val="auto"/>
              <w:rPr>
                <w:rFonts w:hint="default" w:ascii="Times New Roman" w:hAnsi="Times New Roman" w:eastAsia="sans-serif" w:cs="Times New Roman"/>
                <w:i w:val="0"/>
                <w:iCs w:val="0"/>
                <w:caps w:val="0"/>
                <w:color w:val="auto"/>
                <w:spacing w:val="0"/>
                <w:sz w:val="26"/>
                <w:szCs w:val="26"/>
                <w:shd w:val="clear" w:color="auto" w:fill="FFFFFF"/>
              </w:rPr>
            </w:pPr>
            <w:r>
              <w:rPr>
                <w:rFonts w:hint="default" w:ascii="Times New Roman" w:hAnsi="Times New Roman" w:eastAsia="sans-serif" w:cs="Times New Roman"/>
                <w:i w:val="0"/>
                <w:iCs w:val="0"/>
                <w:caps w:val="0"/>
                <w:color w:val="auto"/>
                <w:spacing w:val="0"/>
                <w:sz w:val="26"/>
                <w:szCs w:val="26"/>
                <w:shd w:val="clear" w:color="auto" w:fill="FFFFFF"/>
              </w:rPr>
              <w:t>在室内近似为扩散声场时，计算出靠近室外围护结构处的声压级：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textAlignment w:val="auto"/>
              <w:rPr>
                <w:rFonts w:hint="eastAsia" w:ascii="Times New Roman" w:hAnsi="Times New Roman" w:eastAsia="宋体" w:cs="Times New Roman"/>
                <w:i w:val="0"/>
                <w:iCs w:val="0"/>
                <w:caps w:val="0"/>
                <w:color w:val="auto"/>
                <w:spacing w:val="0"/>
                <w:sz w:val="26"/>
                <w:szCs w:val="26"/>
                <w:shd w:val="clear" w:color="auto" w:fill="FFFFFF"/>
                <w:lang w:eastAsia="zh-CN"/>
              </w:rPr>
            </w:pPr>
            <w:r>
              <w:rPr>
                <w:rFonts w:hint="eastAsia" w:ascii="Times New Roman" w:hAnsi="Times New Roman" w:eastAsia="宋体" w:cs="Times New Roman"/>
                <w:i w:val="0"/>
                <w:iCs w:val="0"/>
                <w:caps w:val="0"/>
                <w:color w:val="auto"/>
                <w:spacing w:val="0"/>
                <w:sz w:val="26"/>
                <w:szCs w:val="26"/>
                <w:shd w:val="clear" w:color="auto" w:fill="FFFFFF"/>
                <w:lang w:eastAsia="zh-CN"/>
              </w:rPr>
              <w:drawing>
                <wp:inline distT="0" distB="0" distL="114300" distR="114300">
                  <wp:extent cx="2028825" cy="330200"/>
                  <wp:effectExtent l="0" t="0" r="9525" b="12700"/>
                  <wp:docPr id="2" name="图片 6" descr="Snipaste_2023-02-11_11-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Snipaste_2023-02-11_11-39-12"/>
                          <pic:cNvPicPr>
                            <a:picLocks noChangeAspect="1"/>
                          </pic:cNvPicPr>
                        </pic:nvPicPr>
                        <pic:blipFill>
                          <a:blip r:embed="rId26"/>
                          <a:stretch>
                            <a:fillRect/>
                          </a:stretch>
                        </pic:blipFill>
                        <pic:spPr>
                          <a:xfrm>
                            <a:off x="0" y="0"/>
                            <a:ext cx="2028825" cy="330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20" w:firstLineChars="200"/>
              <w:jc w:val="both"/>
              <w:textAlignment w:val="auto"/>
              <w:rPr>
                <w:rFonts w:hint="default" w:ascii="Times New Roman" w:hAnsi="Times New Roman" w:eastAsia="sans-serif" w:cs="Times New Roman"/>
                <w:i w:val="0"/>
                <w:iCs w:val="0"/>
                <w:caps w:val="0"/>
                <w:color w:val="auto"/>
                <w:spacing w:val="0"/>
                <w:sz w:val="38"/>
                <w:szCs w:val="38"/>
                <w:shd w:val="clear" w:color="auto" w:fill="FFFFFF"/>
              </w:rPr>
            </w:pPr>
            <w:r>
              <w:rPr>
                <w:rFonts w:hint="default" w:ascii="Times New Roman" w:hAnsi="Times New Roman" w:eastAsia="sans-serif" w:cs="Times New Roman"/>
                <w:i w:val="0"/>
                <w:iCs w:val="0"/>
                <w:caps w:val="0"/>
                <w:color w:val="auto"/>
                <w:spacing w:val="0"/>
                <w:sz w:val="26"/>
                <w:szCs w:val="26"/>
                <w:shd w:val="clear" w:color="auto" w:fill="FFFFFF"/>
              </w:rPr>
              <w:t>式中：</w:t>
            </w:r>
            <w:r>
              <w:rPr>
                <w:rFonts w:hint="default" w:ascii="Times New Roman" w:hAnsi="Times New Roman" w:eastAsia="sans-serif" w:cs="Times New Roman"/>
                <w:i w:val="0"/>
                <w:iCs w:val="0"/>
                <w:caps w:val="0"/>
                <w:color w:val="auto"/>
                <w:spacing w:val="0"/>
                <w:sz w:val="28"/>
                <w:szCs w:val="28"/>
                <w:shd w:val="clear" w:color="auto" w:fill="FFFFFF"/>
              </w:rPr>
              <w:t>L</w:t>
            </w:r>
            <w:r>
              <w:rPr>
                <w:rFonts w:hint="default" w:ascii="Times New Roman" w:hAnsi="Times New Roman" w:eastAsia="sans-serif" w:cs="Times New Roman"/>
                <w:i w:val="0"/>
                <w:iCs w:val="0"/>
                <w:caps w:val="0"/>
                <w:color w:val="auto"/>
                <w:spacing w:val="0"/>
                <w:sz w:val="16"/>
                <w:szCs w:val="16"/>
                <w:shd w:val="clear" w:color="auto" w:fill="FFFFFF"/>
              </w:rPr>
              <w:t>p</w:t>
            </w:r>
            <w:r>
              <w:rPr>
                <w:rFonts w:hint="eastAsia" w:ascii="Times New Roman" w:hAnsi="Times New Roman" w:eastAsia="宋体" w:cs="Times New Roman"/>
                <w:i w:val="0"/>
                <w:iCs w:val="0"/>
                <w:caps w:val="0"/>
                <w:color w:val="auto"/>
                <w:spacing w:val="0"/>
                <w:sz w:val="16"/>
                <w:szCs w:val="16"/>
                <w:shd w:val="clear" w:color="auto" w:fill="FFFFFF"/>
                <w:lang w:val="en-US" w:eastAsia="zh-CN"/>
              </w:rPr>
              <w:t>2</w:t>
            </w:r>
            <w:r>
              <w:rPr>
                <w:rFonts w:hint="default" w:ascii="Times New Roman" w:hAnsi="Times New Roman" w:eastAsia="sans-serif" w:cs="Times New Roman"/>
                <w:i w:val="0"/>
                <w:iCs w:val="0"/>
                <w:caps w:val="0"/>
                <w:color w:val="auto"/>
                <w:spacing w:val="0"/>
                <w:sz w:val="16"/>
                <w:szCs w:val="16"/>
                <w:shd w:val="clear" w:color="auto" w:fill="FFFFFF"/>
              </w:rPr>
              <w:t>i</w:t>
            </w:r>
            <w:r>
              <w:rPr>
                <w:rFonts w:hint="eastAsia" w:ascii="Times New Roman" w:hAnsi="Times New Roman" w:eastAsia="宋体" w:cs="Times New Roman"/>
                <w:i w:val="0"/>
                <w:iCs w:val="0"/>
                <w:caps w:val="0"/>
                <w:color w:val="auto"/>
                <w:spacing w:val="0"/>
                <w:sz w:val="26"/>
                <w:szCs w:val="26"/>
                <w:shd w:val="clear" w:color="auto" w:fill="FFFFFF"/>
                <w:lang w:eastAsia="zh-CN"/>
              </w:rPr>
              <w:t>—</w:t>
            </w:r>
            <w:r>
              <w:rPr>
                <w:rFonts w:hint="default" w:ascii="Times New Roman" w:hAnsi="Times New Roman" w:eastAsia="sans-serif" w:cs="Times New Roman"/>
                <w:i w:val="0"/>
                <w:iCs w:val="0"/>
                <w:caps w:val="0"/>
                <w:color w:val="auto"/>
                <w:spacing w:val="0"/>
                <w:sz w:val="26"/>
                <w:szCs w:val="26"/>
                <w:shd w:val="clear" w:color="auto" w:fill="FFFFFF"/>
              </w:rPr>
              <w:t>靠近围护结构处室外N个声源i倍频带的叠加声压级，dB；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1120" w:firstLineChars="400"/>
              <w:jc w:val="both"/>
              <w:textAlignment w:val="auto"/>
              <w:rPr>
                <w:rFonts w:hint="default" w:ascii="Times New Roman" w:hAnsi="Times New Roman" w:eastAsia="sans-serif" w:cs="Times New Roman"/>
                <w:i w:val="0"/>
                <w:iCs w:val="0"/>
                <w:caps w:val="0"/>
                <w:color w:val="auto"/>
                <w:spacing w:val="0"/>
                <w:sz w:val="26"/>
                <w:szCs w:val="26"/>
                <w:shd w:val="clear" w:color="auto" w:fill="FFFFFF"/>
              </w:rPr>
            </w:pPr>
            <w:r>
              <w:rPr>
                <w:rFonts w:hint="default" w:ascii="Times New Roman" w:hAnsi="Times New Roman" w:eastAsia="sans-serif" w:cs="Times New Roman"/>
                <w:i w:val="0"/>
                <w:iCs w:val="0"/>
                <w:caps w:val="0"/>
                <w:color w:val="auto"/>
                <w:spacing w:val="0"/>
                <w:sz w:val="28"/>
                <w:szCs w:val="28"/>
                <w:shd w:val="clear" w:color="auto" w:fill="FFFFFF"/>
              </w:rPr>
              <w:t>L</w:t>
            </w:r>
            <w:r>
              <w:rPr>
                <w:rFonts w:hint="default" w:ascii="Times New Roman" w:hAnsi="Times New Roman" w:eastAsia="sans-serif" w:cs="Times New Roman"/>
                <w:i w:val="0"/>
                <w:iCs w:val="0"/>
                <w:caps w:val="0"/>
                <w:color w:val="auto"/>
                <w:spacing w:val="0"/>
                <w:sz w:val="16"/>
                <w:szCs w:val="16"/>
                <w:shd w:val="clear" w:color="auto" w:fill="FFFFFF"/>
              </w:rPr>
              <w:t>p1i</w:t>
            </w:r>
            <w:r>
              <w:rPr>
                <w:rFonts w:hint="eastAsia" w:ascii="Times New Roman" w:hAnsi="Times New Roman" w:eastAsia="宋体" w:cs="Times New Roman"/>
                <w:i w:val="0"/>
                <w:iCs w:val="0"/>
                <w:caps w:val="0"/>
                <w:color w:val="auto"/>
                <w:spacing w:val="0"/>
                <w:sz w:val="26"/>
                <w:szCs w:val="26"/>
                <w:shd w:val="clear" w:color="auto" w:fill="FFFFFF"/>
                <w:lang w:eastAsia="zh-CN"/>
              </w:rPr>
              <w:t>—</w:t>
            </w:r>
            <w:r>
              <w:rPr>
                <w:rFonts w:hint="default" w:ascii="Times New Roman" w:hAnsi="Times New Roman" w:eastAsia="sans-serif" w:cs="Times New Roman"/>
                <w:i w:val="0"/>
                <w:iCs w:val="0"/>
                <w:caps w:val="0"/>
                <w:color w:val="auto"/>
                <w:spacing w:val="0"/>
                <w:sz w:val="26"/>
                <w:szCs w:val="26"/>
                <w:shd w:val="clear" w:color="auto" w:fill="FFFFFF"/>
              </w:rPr>
              <w:t>靠近围护结构处室内N个声源i倍频带的叠加声压级，dB；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1040" w:firstLineChars="400"/>
              <w:jc w:val="both"/>
              <w:textAlignment w:val="auto"/>
              <w:rPr>
                <w:rFonts w:hint="default" w:ascii="Times New Roman" w:hAnsi="Times New Roman" w:eastAsia="宋体" w:cs="Times New Roman"/>
                <w:i w:val="0"/>
                <w:iCs w:val="0"/>
                <w:caps w:val="0"/>
                <w:color w:val="auto"/>
                <w:spacing w:val="0"/>
                <w:sz w:val="26"/>
                <w:szCs w:val="26"/>
                <w:shd w:val="clear" w:color="auto" w:fill="FFFFFF"/>
                <w:lang w:eastAsia="zh-CN"/>
              </w:rPr>
            </w:pPr>
            <w:r>
              <w:rPr>
                <w:rFonts w:hint="default" w:ascii="Times New Roman" w:hAnsi="Times New Roman" w:eastAsia="sans-serif" w:cs="Times New Roman"/>
                <w:i w:val="0"/>
                <w:iCs w:val="0"/>
                <w:caps w:val="0"/>
                <w:color w:val="auto"/>
                <w:spacing w:val="0"/>
                <w:sz w:val="26"/>
                <w:szCs w:val="26"/>
                <w:shd w:val="clear" w:color="auto" w:fill="FFFFFF"/>
              </w:rPr>
              <w:t>TL</w:t>
            </w:r>
            <w:r>
              <w:rPr>
                <w:rFonts w:hint="default" w:ascii="Times New Roman" w:hAnsi="Times New Roman" w:eastAsia="sans-serif" w:cs="Times New Roman"/>
                <w:i w:val="0"/>
                <w:iCs w:val="0"/>
                <w:caps w:val="0"/>
                <w:color w:val="auto"/>
                <w:spacing w:val="0"/>
                <w:sz w:val="15"/>
                <w:szCs w:val="15"/>
                <w:shd w:val="clear" w:color="auto" w:fill="FFFFFF"/>
              </w:rPr>
              <w:t>i</w:t>
            </w:r>
            <w:r>
              <w:rPr>
                <w:rFonts w:hint="eastAsia" w:ascii="Times New Roman" w:hAnsi="Times New Roman" w:eastAsia="宋体" w:cs="Times New Roman"/>
                <w:i w:val="0"/>
                <w:iCs w:val="0"/>
                <w:caps w:val="0"/>
                <w:color w:val="auto"/>
                <w:spacing w:val="0"/>
                <w:sz w:val="26"/>
                <w:szCs w:val="26"/>
                <w:shd w:val="clear" w:color="auto" w:fill="FFFFFF"/>
                <w:lang w:eastAsia="zh-CN"/>
              </w:rPr>
              <w:t>—</w:t>
            </w:r>
            <w:r>
              <w:rPr>
                <w:rFonts w:hint="default" w:ascii="Times New Roman" w:hAnsi="Times New Roman" w:eastAsia="sans-serif" w:cs="Times New Roman"/>
                <w:i w:val="0"/>
                <w:iCs w:val="0"/>
                <w:caps w:val="0"/>
                <w:color w:val="auto"/>
                <w:spacing w:val="0"/>
                <w:sz w:val="26"/>
                <w:szCs w:val="26"/>
                <w:shd w:val="clear" w:color="auto" w:fill="FFFFFF"/>
              </w:rPr>
              <w:t>围护结构i倍频带的隔声量，dB。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FF0000"/>
                <w:sz w:val="24"/>
                <w:u w:val="none"/>
                <w:lang w:val="en-US" w:eastAsia="zh-CN"/>
              </w:rPr>
            </w:pPr>
            <w:r>
              <w:rPr>
                <w:rFonts w:hint="eastAsia" w:ascii="Times New Roman" w:hAnsi="Times New Roman" w:eastAsia="宋体" w:cs="Times New Roman"/>
                <w:b w:val="0"/>
                <w:bCs w:val="0"/>
                <w:color w:val="auto"/>
                <w:sz w:val="24"/>
                <w:u w:val="none"/>
                <w:lang w:val="en-US" w:eastAsia="zh-CN"/>
              </w:rPr>
              <w:t>本项目生产车间主要噪声源强清单见</w:t>
            </w:r>
            <w:r>
              <w:rPr>
                <w:rFonts w:hint="eastAsia" w:cs="Times New Roman"/>
                <w:b w:val="0"/>
                <w:bCs w:val="0"/>
                <w:color w:val="auto"/>
                <w:sz w:val="24"/>
                <w:u w:val="none"/>
                <w:lang w:val="en-US" w:eastAsia="zh-CN"/>
              </w:rPr>
              <w:t>下</w:t>
            </w:r>
            <w:r>
              <w:rPr>
                <w:rFonts w:hint="eastAsia" w:ascii="Times New Roman" w:hAnsi="Times New Roman" w:eastAsia="宋体" w:cs="Times New Roman"/>
                <w:b w:val="0"/>
                <w:bCs w:val="0"/>
                <w:color w:val="auto"/>
                <w:sz w:val="24"/>
                <w:u w:val="none"/>
                <w:lang w:val="en-US" w:eastAsia="zh-CN"/>
              </w:rPr>
              <w:t>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spacing w:val="-10"/>
                <w:sz w:val="24"/>
                <w:szCs w:val="24"/>
                <w:lang w:val="en-US" w:eastAsia="zh-CN"/>
              </w:rPr>
            </w:pPr>
          </w:p>
        </w:tc>
      </w:tr>
    </w:tbl>
    <w:p>
      <w:pPr>
        <w:adjustRightInd w:val="0"/>
        <w:snapToGrid w:val="0"/>
        <w:spacing w:line="360" w:lineRule="auto"/>
        <w:rPr>
          <w:rFonts w:hint="eastAsia" w:ascii="宋体" w:cs="宋体"/>
          <w:b/>
          <w:kern w:val="0"/>
          <w:sz w:val="28"/>
          <w:szCs w:val="28"/>
        </w:rPr>
        <w:sectPr>
          <w:footerReference r:id="rId8" w:type="default"/>
          <w:pgSz w:w="11907" w:h="16840"/>
          <w:pgMar w:top="1440" w:right="1080" w:bottom="1440" w:left="1080" w:header="851" w:footer="964" w:gutter="0"/>
          <w:pgBorders>
            <w:top w:val="none" w:sz="0" w:space="0"/>
            <w:left w:val="none" w:sz="0" w:space="0"/>
            <w:bottom w:val="none" w:sz="0" w:space="0"/>
            <w:right w:val="none" w:sz="0" w:space="0"/>
          </w:pgBorders>
          <w:pgNumType w:fmt="decimal"/>
          <w:cols w:space="720" w:num="1"/>
          <w:docGrid w:linePitch="312" w:charSpace="0"/>
        </w:sectPr>
      </w:pPr>
    </w:p>
    <w:p>
      <w:pPr>
        <w:pStyle w:val="10"/>
        <w:keepNext w:val="0"/>
        <w:keepLines w:val="0"/>
        <w:pageBreakBefore w:val="0"/>
        <w:widowControl/>
        <w:kinsoku/>
        <w:wordWrap/>
        <w:overflowPunct/>
        <w:topLinePunct w:val="0"/>
        <w:autoSpaceDE/>
        <w:autoSpaceDN/>
        <w:bidi w:val="0"/>
        <w:adjustRightInd/>
        <w:snapToGrid w:val="0"/>
        <w:spacing w:before="0" w:after="0" w:line="520" w:lineRule="exact"/>
        <w:ind w:right="0"/>
        <w:jc w:val="center"/>
        <w:textAlignment w:val="auto"/>
        <w:rPr>
          <w:color w:val="auto"/>
        </w:rPr>
      </w:pPr>
      <w:r>
        <w:rPr>
          <w:rFonts w:hint="default" w:ascii="Times New Roman" w:hAnsi="Times New Roman" w:cs="Times New Roman"/>
          <w:b/>
          <w:bCs/>
          <w:color w:val="auto"/>
          <w:sz w:val="24"/>
          <w:u w:val="none"/>
        </w:rPr>
        <w:t>表4-</w:t>
      </w:r>
      <w:r>
        <w:rPr>
          <w:rFonts w:hint="eastAsia" w:cs="Times New Roman"/>
          <w:b/>
          <w:bCs/>
          <w:color w:val="auto"/>
          <w:sz w:val="24"/>
          <w:u w:val="none"/>
          <w:lang w:val="en-US" w:eastAsia="zh-CN"/>
        </w:rPr>
        <w:t>11</w:t>
      </w:r>
      <w:r>
        <w:rPr>
          <w:rFonts w:hint="default" w:ascii="Times New Roman" w:hAnsi="Times New Roman" w:cs="Times New Roman"/>
          <w:b/>
          <w:bCs/>
          <w:color w:val="auto"/>
          <w:sz w:val="24"/>
          <w:u w:val="none"/>
        </w:rPr>
        <w:t xml:space="preserve">    </w:t>
      </w:r>
      <w:r>
        <w:rPr>
          <w:rFonts w:hint="default" w:ascii="Times New Roman" w:hAnsi="Times New Roman" w:cs="Times New Roman"/>
          <w:b/>
          <w:bCs/>
          <w:color w:val="auto"/>
          <w:sz w:val="24"/>
          <w:u w:val="none"/>
          <w:lang w:val="en-US" w:eastAsia="zh-CN"/>
        </w:rPr>
        <w:t>企业生产车间噪声源强调查清单（室内</w:t>
      </w:r>
      <w:r>
        <w:rPr>
          <w:rFonts w:hint="eastAsia" w:cs="Times New Roman"/>
          <w:b/>
          <w:bCs/>
          <w:color w:val="auto"/>
          <w:sz w:val="24"/>
          <w:u w:val="none"/>
          <w:lang w:val="en-US" w:eastAsia="zh-CN"/>
        </w:rPr>
        <w:t>声源</w:t>
      </w:r>
      <w:r>
        <w:rPr>
          <w:rFonts w:hint="default" w:ascii="Times New Roman" w:hAnsi="Times New Roman" w:cs="Times New Roman"/>
          <w:b/>
          <w:bCs/>
          <w:color w:val="auto"/>
          <w:sz w:val="24"/>
          <w:u w:val="none"/>
          <w:lang w:val="en-US" w:eastAsia="zh-CN"/>
        </w:rPr>
        <w:t>）</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0" w:hRule="atLeast"/>
        </w:trPr>
        <w:tc>
          <w:tcPr>
            <w:tcW w:w="13652" w:type="dxa"/>
            <w:noWrap w:val="0"/>
            <w:vAlign w:val="top"/>
          </w:tcPr>
          <w:tbl>
            <w:tblPr>
              <w:tblStyle w:val="25"/>
              <w:tblW w:w="13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510"/>
              <w:gridCol w:w="765"/>
              <w:gridCol w:w="1545"/>
              <w:gridCol w:w="1263"/>
              <w:gridCol w:w="960"/>
              <w:gridCol w:w="735"/>
              <w:gridCol w:w="747"/>
              <w:gridCol w:w="498"/>
              <w:gridCol w:w="840"/>
              <w:gridCol w:w="1194"/>
              <w:gridCol w:w="1041"/>
              <w:gridCol w:w="1101"/>
              <w:gridCol w:w="850"/>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7"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序号</w:t>
                  </w:r>
                </w:p>
              </w:tc>
              <w:tc>
                <w:tcPr>
                  <w:tcW w:w="1275" w:type="dxa"/>
                  <w:gridSpan w:val="2"/>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建筑物名称</w:t>
                  </w:r>
                </w:p>
              </w:tc>
              <w:tc>
                <w:tcPr>
                  <w:tcW w:w="1545"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声源名称</w:t>
                  </w:r>
                </w:p>
              </w:tc>
              <w:tc>
                <w:tcPr>
                  <w:tcW w:w="1263"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声功率级dB(A)</w:t>
                  </w:r>
                </w:p>
              </w:tc>
              <w:tc>
                <w:tcPr>
                  <w:tcW w:w="96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声源</w:t>
                  </w:r>
                </w:p>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控制</w:t>
                  </w:r>
                </w:p>
              </w:tc>
              <w:tc>
                <w:tcPr>
                  <w:tcW w:w="1980" w:type="dxa"/>
                  <w:gridSpan w:val="3"/>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空间相对</w:t>
                  </w:r>
                  <w:r>
                    <w:rPr>
                      <w:rFonts w:hint="eastAsia" w:ascii="Times New Roman" w:hAnsi="Times New Roman" w:cs="Times New Roman"/>
                      <w:b w:val="0"/>
                      <w:bCs w:val="0"/>
                      <w:color w:val="auto"/>
                      <w:sz w:val="21"/>
                      <w:szCs w:val="21"/>
                      <w:u w:val="none"/>
                      <w:vertAlign w:val="baseline"/>
                      <w:lang w:val="en-US" w:eastAsia="zh-CN"/>
                    </w:rPr>
                    <w:t>位</w:t>
                  </w:r>
                  <w:r>
                    <w:rPr>
                      <w:rFonts w:hint="default" w:ascii="Times New Roman" w:hAnsi="Times New Roman" w:cs="Times New Roman"/>
                      <w:b w:val="0"/>
                      <w:bCs w:val="0"/>
                      <w:color w:val="auto"/>
                      <w:sz w:val="21"/>
                      <w:szCs w:val="21"/>
                      <w:u w:val="none"/>
                      <w:vertAlign w:val="baseline"/>
                      <w:lang w:val="en-US" w:eastAsia="zh-CN"/>
                    </w:rPr>
                    <w:t>置</w:t>
                  </w:r>
                </w:p>
              </w:tc>
              <w:tc>
                <w:tcPr>
                  <w:tcW w:w="84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距室内</w:t>
                  </w:r>
                  <w:r>
                    <w:rPr>
                      <w:rFonts w:hint="eastAsia" w:ascii="Times New Roman" w:hAnsi="Times New Roman" w:cs="Times New Roman"/>
                      <w:b w:val="0"/>
                      <w:bCs w:val="0"/>
                      <w:color w:val="auto"/>
                      <w:sz w:val="21"/>
                      <w:szCs w:val="21"/>
                      <w:u w:val="none"/>
                      <w:vertAlign w:val="baseline"/>
                      <w:lang w:val="en-US" w:eastAsia="zh-CN"/>
                    </w:rPr>
                    <w:t>东</w:t>
                  </w:r>
                  <w:r>
                    <w:rPr>
                      <w:rFonts w:hint="default" w:ascii="Times New Roman" w:hAnsi="Times New Roman" w:cs="Times New Roman"/>
                      <w:b w:val="0"/>
                      <w:bCs w:val="0"/>
                      <w:color w:val="auto"/>
                      <w:sz w:val="21"/>
                      <w:szCs w:val="21"/>
                      <w:u w:val="none"/>
                      <w:vertAlign w:val="baseline"/>
                      <w:lang w:val="en-US" w:eastAsia="zh-CN"/>
                    </w:rPr>
                    <w:t>边界距离m</w:t>
                  </w:r>
                </w:p>
              </w:tc>
              <w:tc>
                <w:tcPr>
                  <w:tcW w:w="1194"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室内</w:t>
                  </w:r>
                  <w:r>
                    <w:rPr>
                      <w:rFonts w:hint="eastAsia" w:ascii="Times New Roman" w:hAnsi="Times New Roman" w:cs="Times New Roman"/>
                      <w:b w:val="0"/>
                      <w:bCs w:val="0"/>
                      <w:color w:val="auto"/>
                      <w:sz w:val="21"/>
                      <w:szCs w:val="21"/>
                      <w:u w:val="none"/>
                      <w:vertAlign w:val="baseline"/>
                      <w:lang w:val="en-US" w:eastAsia="zh-CN"/>
                    </w:rPr>
                    <w:t>东</w:t>
                  </w:r>
                  <w:r>
                    <w:rPr>
                      <w:rFonts w:hint="default" w:ascii="Times New Roman" w:hAnsi="Times New Roman" w:cs="Times New Roman"/>
                      <w:b w:val="0"/>
                      <w:bCs w:val="0"/>
                      <w:color w:val="auto"/>
                      <w:sz w:val="21"/>
                      <w:szCs w:val="21"/>
                      <w:u w:val="none"/>
                      <w:vertAlign w:val="baseline"/>
                      <w:lang w:val="en-US" w:eastAsia="zh-CN"/>
                    </w:rPr>
                    <w:t>边界声级dB(A)</w:t>
                  </w:r>
                </w:p>
              </w:tc>
              <w:tc>
                <w:tcPr>
                  <w:tcW w:w="1041"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运行时段</w:t>
                  </w:r>
                </w:p>
              </w:tc>
              <w:tc>
                <w:tcPr>
                  <w:tcW w:w="1101"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建筑物插入损失dB(A)</w:t>
                  </w:r>
                </w:p>
              </w:tc>
              <w:tc>
                <w:tcPr>
                  <w:tcW w:w="1854" w:type="dxa"/>
                  <w:gridSpan w:val="2"/>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97"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275" w:type="dxa"/>
                  <w:gridSpan w:val="2"/>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263"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X</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Y</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Z</w:t>
                  </w:r>
                </w:p>
              </w:tc>
              <w:tc>
                <w:tcPr>
                  <w:tcW w:w="84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94"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声压级dB(A)</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生产厂房</w:t>
                  </w:r>
                  <w:r>
                    <w:rPr>
                      <w:rFonts w:hint="default" w:ascii="Times New Roman" w:hAnsi="Times New Roman" w:cs="Times New Roman"/>
                      <w:b w:val="0"/>
                      <w:bCs w:val="0"/>
                      <w:color w:val="auto"/>
                      <w:sz w:val="21"/>
                      <w:szCs w:val="21"/>
                      <w:u w:val="none"/>
                      <w:vertAlign w:val="baseline"/>
                      <w:lang w:val="en-US" w:eastAsia="zh-CN"/>
                    </w:rPr>
                    <w:t>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c>
                <w:tcPr>
                  <w:tcW w:w="51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lang w:val="en-US" w:eastAsia="zh-CN"/>
                    </w:rPr>
                    <w:t>生产车间</w:t>
                  </w:r>
                </w:p>
              </w:tc>
              <w:tc>
                <w:tcPr>
                  <w:tcW w:w="765"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游乐设备生产线</w:t>
                  </w:r>
                </w:p>
              </w:tc>
              <w:tc>
                <w:tcPr>
                  <w:tcW w:w="1545"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kern w:val="2"/>
                      <w:sz w:val="21"/>
                      <w:szCs w:val="21"/>
                      <w:u w:val="none"/>
                      <w:lang w:val="en-US" w:eastAsia="zh-CN" w:bidi="ar-SA"/>
                    </w:rPr>
                    <w:t>等离子切割机</w:t>
                  </w:r>
                </w:p>
              </w:tc>
              <w:tc>
                <w:tcPr>
                  <w:tcW w:w="1263" w:type="dxa"/>
                  <w:tcBorders>
                    <w:tl2br w:val="nil"/>
                    <w:tr2bl w:val="nil"/>
                  </w:tcBorders>
                  <w:noWrap w:val="0"/>
                  <w:vAlign w:val="center"/>
                </w:tcPr>
                <w:p>
                  <w:pPr>
                    <w:jc w:val="center"/>
                    <w:rPr>
                      <w:rFonts w:hint="default" w:ascii="Times New Roman" w:hAnsi="Times New Roman" w:eastAsia="宋体" w:cs="Times New Roman"/>
                      <w:kern w:val="2"/>
                      <w:sz w:val="21"/>
                      <w:szCs w:val="24"/>
                      <w:lang w:val="en-US" w:eastAsia="zh-CN" w:bidi="ar-SA"/>
                    </w:rPr>
                  </w:pPr>
                  <w:r>
                    <w:rPr>
                      <w:rFonts w:hint="default"/>
                      <w:lang w:val="en-US" w:eastAsia="zh-CN"/>
                    </w:rPr>
                    <w:t>80</w:t>
                  </w:r>
                </w:p>
              </w:tc>
              <w:tc>
                <w:tcPr>
                  <w:tcW w:w="96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厂房隔声</w:t>
                  </w:r>
                  <w:r>
                    <w:rPr>
                      <w:rFonts w:hint="eastAsia" w:ascii="Times New Roman" w:hAnsi="Times New Roman" w:cs="Times New Roman"/>
                      <w:b w:val="0"/>
                      <w:bCs w:val="0"/>
                      <w:color w:val="auto"/>
                      <w:sz w:val="21"/>
                      <w:szCs w:val="21"/>
                      <w:u w:val="none"/>
                      <w:vertAlign w:val="baseline"/>
                      <w:lang w:val="en-US" w:eastAsia="zh-CN"/>
                    </w:rPr>
                    <w:t>、基础减振</w:t>
                  </w: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-6.75</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-1.61</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10</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55.61</w:t>
                  </w:r>
                </w:p>
              </w:tc>
              <w:tc>
                <w:tcPr>
                  <w:tcW w:w="1041"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8:00-12:00</w:t>
                  </w:r>
                </w:p>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14:00-18:00</w:t>
                  </w:r>
                </w:p>
              </w:tc>
              <w:tc>
                <w:tcPr>
                  <w:tcW w:w="1101"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45.61</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2</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kern w:val="2"/>
                      <w:sz w:val="21"/>
                      <w:szCs w:val="21"/>
                      <w:u w:val="none"/>
                      <w:lang w:val="en-US" w:eastAsia="zh-CN" w:bidi="ar-SA"/>
                    </w:rPr>
                    <w:t>电焊机</w:t>
                  </w:r>
                </w:p>
              </w:tc>
              <w:tc>
                <w:tcPr>
                  <w:tcW w:w="1263" w:type="dxa"/>
                  <w:tcBorders>
                    <w:tl2br w:val="nil"/>
                    <w:tr2bl w:val="nil"/>
                  </w:tcBorders>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lang w:val="en-US" w:eastAsia="zh-CN"/>
                    </w:rPr>
                    <w:t>80</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-22.69</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-5.87</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15</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54.41</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eastAsia" w:cs="Times New Roman"/>
                      <w:b w:val="0"/>
                      <w:bCs w:val="0"/>
                      <w:color w:val="auto"/>
                      <w:kern w:val="0"/>
                      <w:sz w:val="21"/>
                      <w:szCs w:val="21"/>
                      <w:u w:val="none"/>
                      <w:vertAlign w:val="baseline"/>
                      <w:lang w:val="en-US" w:eastAsia="zh-CN" w:bidi="ar-SA"/>
                    </w:rPr>
                    <w:t>44.41</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3</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抛光机</w:t>
                  </w:r>
                </w:p>
              </w:tc>
              <w:tc>
                <w:tcPr>
                  <w:tcW w:w="1263" w:type="dxa"/>
                  <w:tcBorders>
                    <w:tl2br w:val="nil"/>
                    <w:tr2bl w:val="nil"/>
                  </w:tcBorders>
                  <w:noWrap w:val="0"/>
                  <w:vAlign w:val="center"/>
                </w:tcPr>
                <w:p>
                  <w:pPr>
                    <w:jc w:val="center"/>
                    <w:rPr>
                      <w:rFonts w:hint="default" w:ascii="Times New Roman" w:hAnsi="Times New Roman" w:eastAsia="宋体" w:cs="Times New Roman"/>
                      <w:kern w:val="2"/>
                      <w:sz w:val="21"/>
                      <w:szCs w:val="24"/>
                      <w:lang w:val="en-US" w:eastAsia="zh-CN" w:bidi="ar-SA"/>
                    </w:rPr>
                  </w:pPr>
                  <w:r>
                    <w:rPr>
                      <w:rFonts w:hint="default"/>
                      <w:lang w:val="en-US" w:eastAsia="zh-CN"/>
                    </w:rPr>
                    <w:t>80</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-10.08</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16.09</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10</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55.61</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45.61</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4</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喷塑设备</w:t>
                  </w:r>
                </w:p>
              </w:tc>
              <w:tc>
                <w:tcPr>
                  <w:tcW w:w="1263" w:type="dxa"/>
                  <w:tcBorders>
                    <w:tl2br w:val="nil"/>
                    <w:tr2bl w:val="nil"/>
                  </w:tcBorders>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lang w:val="en-US" w:eastAsia="zh-CN"/>
                    </w:rPr>
                    <w:t>80</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-26.67</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12.35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30</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53.57</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43.57</w:t>
                  </w:r>
                </w:p>
              </w:tc>
              <w:tc>
                <w:tcPr>
                  <w:tcW w:w="10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风机</w:t>
                  </w:r>
                </w:p>
              </w:tc>
              <w:tc>
                <w:tcPr>
                  <w:tcW w:w="1263" w:type="dxa"/>
                  <w:tcBorders>
                    <w:tl2br w:val="nil"/>
                    <w:tr2bl w:val="nil"/>
                  </w:tcBorders>
                  <w:noWrap w:val="0"/>
                  <w:vAlign w:val="center"/>
                </w:tcPr>
                <w:p>
                  <w:pPr>
                    <w:jc w:val="center"/>
                    <w:rPr>
                      <w:rFonts w:hint="default" w:ascii="Times New Roman" w:hAnsi="Times New Roman" w:eastAsia="宋体" w:cs="Times New Roman"/>
                      <w:kern w:val="2"/>
                      <w:sz w:val="21"/>
                      <w:szCs w:val="24"/>
                      <w:lang w:val="en-US" w:eastAsia="zh-CN" w:bidi="ar-SA"/>
                    </w:rPr>
                  </w:pPr>
                  <w:r>
                    <w:rPr>
                      <w:rFonts w:hint="default"/>
                      <w:lang w:val="en-US" w:eastAsia="zh-CN"/>
                    </w:rPr>
                    <w:t>85</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-1.66</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8.09</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64</w:t>
                  </w:r>
                  <w:r>
                    <w:rPr>
                      <w:rFonts w:hint="default" w:ascii="Times New Roman" w:hAnsi="Times New Roman" w:cs="Times New Roman"/>
                      <w:b w:val="0"/>
                      <w:bCs w:val="0"/>
                      <w:color w:val="auto"/>
                      <w:sz w:val="21"/>
                      <w:szCs w:val="21"/>
                      <w:u w:val="none"/>
                      <w:vertAlign w:val="baseline"/>
                      <w:lang w:val="en-US" w:eastAsia="zh-CN"/>
                    </w:rPr>
                    <w:t>.2</w:t>
                  </w:r>
                  <w:r>
                    <w:rPr>
                      <w:rFonts w:hint="eastAsia" w:cs="Times New Roman"/>
                      <w:b w:val="0"/>
                      <w:bCs w:val="0"/>
                      <w:color w:val="auto"/>
                      <w:sz w:val="21"/>
                      <w:szCs w:val="21"/>
                      <w:u w:val="none"/>
                      <w:vertAlign w:val="baseline"/>
                      <w:lang w:val="en-US" w:eastAsia="zh-CN"/>
                    </w:rPr>
                    <w:t>8</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54.28</w:t>
                  </w:r>
                </w:p>
              </w:tc>
              <w:tc>
                <w:tcPr>
                  <w:tcW w:w="10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7"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序号</w:t>
                  </w:r>
                </w:p>
              </w:tc>
              <w:tc>
                <w:tcPr>
                  <w:tcW w:w="1275" w:type="dxa"/>
                  <w:gridSpan w:val="2"/>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建筑物名称</w:t>
                  </w:r>
                </w:p>
              </w:tc>
              <w:tc>
                <w:tcPr>
                  <w:tcW w:w="1545"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声源名称</w:t>
                  </w:r>
                </w:p>
              </w:tc>
              <w:tc>
                <w:tcPr>
                  <w:tcW w:w="1263"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声功率级dB(A)</w:t>
                  </w:r>
                </w:p>
              </w:tc>
              <w:tc>
                <w:tcPr>
                  <w:tcW w:w="96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声源</w:t>
                  </w:r>
                </w:p>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控制</w:t>
                  </w:r>
                </w:p>
              </w:tc>
              <w:tc>
                <w:tcPr>
                  <w:tcW w:w="1980" w:type="dxa"/>
                  <w:gridSpan w:val="3"/>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空间相对</w:t>
                  </w:r>
                  <w:r>
                    <w:rPr>
                      <w:rFonts w:hint="eastAsia" w:ascii="Times New Roman" w:hAnsi="Times New Roman" w:cs="Times New Roman"/>
                      <w:b w:val="0"/>
                      <w:bCs w:val="0"/>
                      <w:color w:val="auto"/>
                      <w:sz w:val="21"/>
                      <w:szCs w:val="21"/>
                      <w:u w:val="none"/>
                      <w:vertAlign w:val="baseline"/>
                      <w:lang w:val="en-US" w:eastAsia="zh-CN"/>
                    </w:rPr>
                    <w:t>位</w:t>
                  </w:r>
                  <w:r>
                    <w:rPr>
                      <w:rFonts w:hint="default" w:ascii="Times New Roman" w:hAnsi="Times New Roman" w:cs="Times New Roman"/>
                      <w:b w:val="0"/>
                      <w:bCs w:val="0"/>
                      <w:color w:val="auto"/>
                      <w:sz w:val="21"/>
                      <w:szCs w:val="21"/>
                      <w:u w:val="none"/>
                      <w:vertAlign w:val="baseline"/>
                      <w:lang w:val="en-US" w:eastAsia="zh-CN"/>
                    </w:rPr>
                    <w:t>置</w:t>
                  </w:r>
                </w:p>
              </w:tc>
              <w:tc>
                <w:tcPr>
                  <w:tcW w:w="84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距室内</w:t>
                  </w:r>
                  <w:r>
                    <w:rPr>
                      <w:rFonts w:hint="eastAsia" w:ascii="Times New Roman" w:hAnsi="Times New Roman" w:cs="Times New Roman"/>
                      <w:b w:val="0"/>
                      <w:bCs w:val="0"/>
                      <w:color w:val="auto"/>
                      <w:sz w:val="21"/>
                      <w:szCs w:val="21"/>
                      <w:u w:val="none"/>
                      <w:vertAlign w:val="baseline"/>
                      <w:lang w:val="en-US" w:eastAsia="zh-CN"/>
                    </w:rPr>
                    <w:t>南</w:t>
                  </w:r>
                  <w:r>
                    <w:rPr>
                      <w:rFonts w:hint="default" w:ascii="Times New Roman" w:hAnsi="Times New Roman" w:cs="Times New Roman"/>
                      <w:b w:val="0"/>
                      <w:bCs w:val="0"/>
                      <w:color w:val="auto"/>
                      <w:sz w:val="21"/>
                      <w:szCs w:val="21"/>
                      <w:u w:val="none"/>
                      <w:vertAlign w:val="baseline"/>
                      <w:lang w:val="en-US" w:eastAsia="zh-CN"/>
                    </w:rPr>
                    <w:t>边界距离m</w:t>
                  </w:r>
                </w:p>
              </w:tc>
              <w:tc>
                <w:tcPr>
                  <w:tcW w:w="1194"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室内</w:t>
                  </w:r>
                  <w:r>
                    <w:rPr>
                      <w:rFonts w:hint="eastAsia" w:ascii="Times New Roman" w:hAnsi="Times New Roman" w:cs="Times New Roman"/>
                      <w:b w:val="0"/>
                      <w:bCs w:val="0"/>
                      <w:color w:val="auto"/>
                      <w:sz w:val="21"/>
                      <w:szCs w:val="21"/>
                      <w:u w:val="none"/>
                      <w:vertAlign w:val="baseline"/>
                      <w:lang w:val="en-US" w:eastAsia="zh-CN"/>
                    </w:rPr>
                    <w:t>南</w:t>
                  </w:r>
                  <w:r>
                    <w:rPr>
                      <w:rFonts w:hint="default" w:ascii="Times New Roman" w:hAnsi="Times New Roman" w:cs="Times New Roman"/>
                      <w:b w:val="0"/>
                      <w:bCs w:val="0"/>
                      <w:color w:val="auto"/>
                      <w:sz w:val="21"/>
                      <w:szCs w:val="21"/>
                      <w:u w:val="none"/>
                      <w:vertAlign w:val="baseline"/>
                      <w:lang w:val="en-US" w:eastAsia="zh-CN"/>
                    </w:rPr>
                    <w:t>边界声级dB(A)</w:t>
                  </w:r>
                </w:p>
              </w:tc>
              <w:tc>
                <w:tcPr>
                  <w:tcW w:w="1041"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运行时段</w:t>
                  </w:r>
                </w:p>
              </w:tc>
              <w:tc>
                <w:tcPr>
                  <w:tcW w:w="1101"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建筑物插入损失dB(A)</w:t>
                  </w:r>
                </w:p>
              </w:tc>
              <w:tc>
                <w:tcPr>
                  <w:tcW w:w="1854" w:type="dxa"/>
                  <w:gridSpan w:val="2"/>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97"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275" w:type="dxa"/>
                  <w:gridSpan w:val="2"/>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263"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X</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Y</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Z</w:t>
                  </w:r>
                </w:p>
              </w:tc>
              <w:tc>
                <w:tcPr>
                  <w:tcW w:w="84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94"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声压级dB(A)</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生产厂房</w:t>
                  </w:r>
                  <w:r>
                    <w:rPr>
                      <w:rFonts w:hint="default" w:ascii="Times New Roman" w:hAnsi="Times New Roman" w:cs="Times New Roman"/>
                      <w:b w:val="0"/>
                      <w:bCs w:val="0"/>
                      <w:color w:val="auto"/>
                      <w:sz w:val="21"/>
                      <w:szCs w:val="21"/>
                      <w:u w:val="none"/>
                      <w:vertAlign w:val="baseline"/>
                      <w:lang w:val="en-US" w:eastAsia="zh-CN"/>
                    </w:rPr>
                    <w:t>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c>
                <w:tcPr>
                  <w:tcW w:w="51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lang w:val="en-US" w:eastAsia="zh-CN"/>
                    </w:rPr>
                    <w:t>生产车间</w:t>
                  </w:r>
                </w:p>
              </w:tc>
              <w:tc>
                <w:tcPr>
                  <w:tcW w:w="765"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游乐设备生产线</w:t>
                  </w:r>
                </w:p>
              </w:tc>
              <w:tc>
                <w:tcPr>
                  <w:tcW w:w="1545"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kern w:val="2"/>
                      <w:sz w:val="21"/>
                      <w:szCs w:val="21"/>
                      <w:u w:val="none"/>
                      <w:lang w:val="en-US" w:eastAsia="zh-CN" w:bidi="ar-SA"/>
                    </w:rPr>
                    <w:t>等离子切割机</w:t>
                  </w:r>
                </w:p>
              </w:tc>
              <w:tc>
                <w:tcPr>
                  <w:tcW w:w="1263" w:type="dxa"/>
                  <w:tcBorders>
                    <w:tl2br w:val="nil"/>
                    <w:tr2bl w:val="nil"/>
                  </w:tcBorders>
                  <w:noWrap w:val="0"/>
                  <w:vAlign w:val="center"/>
                </w:tcPr>
                <w:p>
                  <w:pPr>
                    <w:jc w:val="center"/>
                    <w:rPr>
                      <w:rFonts w:hint="default" w:ascii="Times New Roman" w:hAnsi="Times New Roman" w:cs="Times New Roman"/>
                      <w:b w:val="0"/>
                      <w:bCs w:val="0"/>
                      <w:color w:val="auto"/>
                      <w:sz w:val="21"/>
                      <w:szCs w:val="21"/>
                      <w:u w:val="none"/>
                      <w:vertAlign w:val="baseline"/>
                      <w:lang w:val="en-US" w:eastAsia="zh-CN"/>
                    </w:rPr>
                  </w:pPr>
                  <w:r>
                    <w:rPr>
                      <w:rFonts w:hint="default"/>
                      <w:lang w:val="en-US" w:eastAsia="zh-CN"/>
                    </w:rPr>
                    <w:t>80</w:t>
                  </w:r>
                </w:p>
              </w:tc>
              <w:tc>
                <w:tcPr>
                  <w:tcW w:w="96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厂房隔声</w:t>
                  </w:r>
                  <w:r>
                    <w:rPr>
                      <w:rFonts w:hint="eastAsia" w:ascii="Times New Roman" w:hAnsi="Times New Roman" w:cs="Times New Roman"/>
                      <w:b w:val="0"/>
                      <w:bCs w:val="0"/>
                      <w:color w:val="auto"/>
                      <w:sz w:val="21"/>
                      <w:szCs w:val="21"/>
                      <w:u w:val="none"/>
                      <w:vertAlign w:val="baseline"/>
                      <w:lang w:val="en-US" w:eastAsia="zh-CN"/>
                    </w:rPr>
                    <w:t>、基础减振</w:t>
                  </w: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-6.75</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-1.61</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3</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62.9</w:t>
                  </w:r>
                  <w:r>
                    <w:rPr>
                      <w:rFonts w:hint="eastAsia" w:cs="Times New Roman"/>
                      <w:b w:val="0"/>
                      <w:bCs w:val="0"/>
                      <w:color w:val="auto"/>
                      <w:sz w:val="21"/>
                      <w:szCs w:val="21"/>
                      <w:u w:val="none"/>
                      <w:vertAlign w:val="baseline"/>
                      <w:lang w:val="en-US" w:eastAsia="zh-CN"/>
                    </w:rPr>
                    <w:t>7</w:t>
                  </w:r>
                </w:p>
              </w:tc>
              <w:tc>
                <w:tcPr>
                  <w:tcW w:w="1041"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8:00-12:00</w:t>
                  </w:r>
                </w:p>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14:00-18:00</w:t>
                  </w:r>
                </w:p>
              </w:tc>
              <w:tc>
                <w:tcPr>
                  <w:tcW w:w="1101"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52.97</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2</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kern w:val="2"/>
                      <w:sz w:val="21"/>
                      <w:szCs w:val="21"/>
                      <w:u w:val="none"/>
                      <w:lang w:val="en-US" w:eastAsia="zh-CN" w:bidi="ar-SA"/>
                    </w:rPr>
                    <w:t>电焊机</w:t>
                  </w:r>
                </w:p>
              </w:tc>
              <w:tc>
                <w:tcPr>
                  <w:tcW w:w="1263" w:type="dxa"/>
                  <w:tcBorders>
                    <w:tl2br w:val="nil"/>
                    <w:tr2bl w:val="nil"/>
                  </w:tcBorders>
                  <w:noWrap w:val="0"/>
                  <w:vAlign w:val="center"/>
                </w:tcPr>
                <w:p>
                  <w:pPr>
                    <w:jc w:val="center"/>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eastAsia"/>
                      <w:lang w:val="en-US" w:eastAsia="zh-CN"/>
                    </w:rPr>
                    <w:t>80</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-22.69</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-5.87</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3</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62.9</w:t>
                  </w:r>
                  <w:r>
                    <w:rPr>
                      <w:rFonts w:hint="eastAsia" w:cs="Times New Roman"/>
                      <w:b w:val="0"/>
                      <w:bCs w:val="0"/>
                      <w:color w:val="auto"/>
                      <w:sz w:val="21"/>
                      <w:szCs w:val="21"/>
                      <w:u w:val="none"/>
                      <w:vertAlign w:val="baseline"/>
                      <w:lang w:val="en-US" w:eastAsia="zh-CN"/>
                    </w:rPr>
                    <w:t>7</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eastAsia" w:cs="Times New Roman"/>
                      <w:b w:val="0"/>
                      <w:bCs w:val="0"/>
                      <w:color w:val="auto"/>
                      <w:kern w:val="0"/>
                      <w:sz w:val="21"/>
                      <w:szCs w:val="21"/>
                      <w:u w:val="none"/>
                      <w:vertAlign w:val="baseline"/>
                      <w:lang w:val="en-US" w:eastAsia="zh-CN" w:bidi="ar-SA"/>
                    </w:rPr>
                    <w:t>52.97</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3</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抛光机</w:t>
                  </w:r>
                </w:p>
              </w:tc>
              <w:tc>
                <w:tcPr>
                  <w:tcW w:w="1263" w:type="dxa"/>
                  <w:tcBorders>
                    <w:tl2br w:val="nil"/>
                    <w:tr2bl w:val="nil"/>
                  </w:tcBorders>
                  <w:noWrap w:val="0"/>
                  <w:vAlign w:val="center"/>
                </w:tcPr>
                <w:p>
                  <w:pPr>
                    <w:jc w:val="center"/>
                    <w:rPr>
                      <w:rFonts w:hint="default" w:ascii="Times New Roman" w:hAnsi="Times New Roman" w:cs="Times New Roman"/>
                      <w:b w:val="0"/>
                      <w:bCs w:val="0"/>
                      <w:color w:val="auto"/>
                      <w:sz w:val="21"/>
                      <w:szCs w:val="21"/>
                      <w:u w:val="none"/>
                      <w:vertAlign w:val="baseline"/>
                      <w:lang w:val="en-US" w:eastAsia="zh-CN"/>
                    </w:rPr>
                  </w:pPr>
                  <w:r>
                    <w:rPr>
                      <w:rFonts w:hint="default"/>
                      <w:lang w:val="en-US" w:eastAsia="zh-CN"/>
                    </w:rPr>
                    <w:t>80</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-10.08</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16.09</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20</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53.9</w:t>
                  </w:r>
                  <w:r>
                    <w:rPr>
                      <w:rFonts w:hint="eastAsia" w:cs="Times New Roman"/>
                      <w:b w:val="0"/>
                      <w:bCs w:val="0"/>
                      <w:color w:val="auto"/>
                      <w:sz w:val="21"/>
                      <w:szCs w:val="21"/>
                      <w:u w:val="none"/>
                      <w:vertAlign w:val="baseline"/>
                      <w:lang w:val="en-US" w:eastAsia="zh-CN"/>
                    </w:rPr>
                    <w:t>8</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43.98</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4</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喷塑设备</w:t>
                  </w:r>
                </w:p>
              </w:tc>
              <w:tc>
                <w:tcPr>
                  <w:tcW w:w="1263" w:type="dxa"/>
                  <w:tcBorders>
                    <w:tl2br w:val="nil"/>
                    <w:tr2bl w:val="nil"/>
                  </w:tcBorders>
                  <w:noWrap w:val="0"/>
                  <w:vAlign w:val="center"/>
                </w:tcPr>
                <w:p>
                  <w:pPr>
                    <w:jc w:val="center"/>
                    <w:rPr>
                      <w:rFonts w:hint="default" w:ascii="Times New Roman" w:hAnsi="Times New Roman" w:cs="Times New Roman"/>
                      <w:b w:val="0"/>
                      <w:bCs w:val="0"/>
                      <w:color w:val="auto"/>
                      <w:sz w:val="21"/>
                      <w:szCs w:val="21"/>
                      <w:u w:val="none"/>
                      <w:vertAlign w:val="baseline"/>
                      <w:lang w:val="en-US" w:eastAsia="zh-CN"/>
                    </w:rPr>
                  </w:pPr>
                  <w:r>
                    <w:rPr>
                      <w:rFonts w:hint="eastAsia"/>
                      <w:lang w:val="en-US" w:eastAsia="zh-CN"/>
                    </w:rPr>
                    <w:t>80</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-26.67</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12.35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20</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53.9</w:t>
                  </w:r>
                  <w:r>
                    <w:rPr>
                      <w:rFonts w:hint="eastAsia" w:cs="Times New Roman"/>
                      <w:b w:val="0"/>
                      <w:bCs w:val="0"/>
                      <w:color w:val="auto"/>
                      <w:sz w:val="21"/>
                      <w:szCs w:val="21"/>
                      <w:u w:val="none"/>
                      <w:vertAlign w:val="baseline"/>
                      <w:lang w:val="en-US" w:eastAsia="zh-CN"/>
                    </w:rPr>
                    <w:t>8</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43.98</w:t>
                  </w:r>
                </w:p>
              </w:tc>
              <w:tc>
                <w:tcPr>
                  <w:tcW w:w="10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sz w:val="21"/>
                      <w:szCs w:val="21"/>
                      <w:u w:val="none"/>
                      <w:vertAlign w:val="baseline"/>
                      <w:lang w:val="en-US" w:eastAsia="zh-CN"/>
                    </w:rPr>
                    <w:t>风机</w:t>
                  </w:r>
                </w:p>
              </w:tc>
              <w:tc>
                <w:tcPr>
                  <w:tcW w:w="1263" w:type="dxa"/>
                  <w:tcBorders>
                    <w:tl2br w:val="nil"/>
                    <w:tr2bl w:val="nil"/>
                  </w:tcBorders>
                  <w:noWrap w:val="0"/>
                  <w:vAlign w:val="center"/>
                </w:tcPr>
                <w:p>
                  <w:pPr>
                    <w:jc w:val="center"/>
                    <w:rPr>
                      <w:rFonts w:hint="default" w:ascii="Times New Roman" w:hAnsi="Times New Roman" w:cs="Times New Roman"/>
                      <w:b w:val="0"/>
                      <w:bCs w:val="0"/>
                      <w:color w:val="auto"/>
                      <w:sz w:val="21"/>
                      <w:szCs w:val="21"/>
                      <w:u w:val="none"/>
                      <w:vertAlign w:val="baseline"/>
                      <w:lang w:val="en-US" w:eastAsia="zh-CN"/>
                    </w:rPr>
                  </w:pPr>
                  <w:r>
                    <w:rPr>
                      <w:rFonts w:hint="default"/>
                      <w:lang w:val="en-US" w:eastAsia="zh-CN"/>
                    </w:rPr>
                    <w:t>85</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-1.66</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8.09</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10</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60.67</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50.67</w:t>
                  </w:r>
                </w:p>
              </w:tc>
              <w:tc>
                <w:tcPr>
                  <w:tcW w:w="10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7"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序号</w:t>
                  </w:r>
                </w:p>
              </w:tc>
              <w:tc>
                <w:tcPr>
                  <w:tcW w:w="1275" w:type="dxa"/>
                  <w:gridSpan w:val="2"/>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建筑物名称</w:t>
                  </w:r>
                </w:p>
              </w:tc>
              <w:tc>
                <w:tcPr>
                  <w:tcW w:w="1545"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声源名称</w:t>
                  </w:r>
                </w:p>
              </w:tc>
              <w:tc>
                <w:tcPr>
                  <w:tcW w:w="1263"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声功率级dB(A)</w:t>
                  </w:r>
                </w:p>
              </w:tc>
              <w:tc>
                <w:tcPr>
                  <w:tcW w:w="96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声源</w:t>
                  </w:r>
                </w:p>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控制</w:t>
                  </w:r>
                </w:p>
              </w:tc>
              <w:tc>
                <w:tcPr>
                  <w:tcW w:w="1980" w:type="dxa"/>
                  <w:gridSpan w:val="3"/>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空间相对</w:t>
                  </w:r>
                  <w:r>
                    <w:rPr>
                      <w:rFonts w:hint="eastAsia" w:ascii="Times New Roman" w:hAnsi="Times New Roman" w:cs="Times New Roman"/>
                      <w:b w:val="0"/>
                      <w:bCs w:val="0"/>
                      <w:color w:val="auto"/>
                      <w:sz w:val="21"/>
                      <w:szCs w:val="21"/>
                      <w:u w:val="none"/>
                      <w:vertAlign w:val="baseline"/>
                      <w:lang w:val="en-US" w:eastAsia="zh-CN"/>
                    </w:rPr>
                    <w:t>位</w:t>
                  </w:r>
                  <w:r>
                    <w:rPr>
                      <w:rFonts w:hint="default" w:ascii="Times New Roman" w:hAnsi="Times New Roman" w:cs="Times New Roman"/>
                      <w:b w:val="0"/>
                      <w:bCs w:val="0"/>
                      <w:color w:val="auto"/>
                      <w:sz w:val="21"/>
                      <w:szCs w:val="21"/>
                      <w:u w:val="none"/>
                      <w:vertAlign w:val="baseline"/>
                      <w:lang w:val="en-US" w:eastAsia="zh-CN"/>
                    </w:rPr>
                    <w:t>置</w:t>
                  </w:r>
                </w:p>
              </w:tc>
              <w:tc>
                <w:tcPr>
                  <w:tcW w:w="84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距室内</w:t>
                  </w:r>
                  <w:r>
                    <w:rPr>
                      <w:rFonts w:hint="eastAsia" w:ascii="Times New Roman" w:hAnsi="Times New Roman" w:cs="Times New Roman"/>
                      <w:b w:val="0"/>
                      <w:bCs w:val="0"/>
                      <w:color w:val="auto"/>
                      <w:sz w:val="21"/>
                      <w:szCs w:val="21"/>
                      <w:u w:val="none"/>
                      <w:vertAlign w:val="baseline"/>
                      <w:lang w:val="en-US" w:eastAsia="zh-CN"/>
                    </w:rPr>
                    <w:t>西</w:t>
                  </w:r>
                  <w:r>
                    <w:rPr>
                      <w:rFonts w:hint="default" w:ascii="Times New Roman" w:hAnsi="Times New Roman" w:cs="Times New Roman"/>
                      <w:b w:val="0"/>
                      <w:bCs w:val="0"/>
                      <w:color w:val="auto"/>
                      <w:sz w:val="21"/>
                      <w:szCs w:val="21"/>
                      <w:u w:val="none"/>
                      <w:vertAlign w:val="baseline"/>
                      <w:lang w:val="en-US" w:eastAsia="zh-CN"/>
                    </w:rPr>
                    <w:t>边界距离m</w:t>
                  </w:r>
                </w:p>
              </w:tc>
              <w:tc>
                <w:tcPr>
                  <w:tcW w:w="1194"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室内</w:t>
                  </w:r>
                  <w:r>
                    <w:rPr>
                      <w:rFonts w:hint="eastAsia" w:ascii="Times New Roman" w:hAnsi="Times New Roman" w:cs="Times New Roman"/>
                      <w:b w:val="0"/>
                      <w:bCs w:val="0"/>
                      <w:color w:val="auto"/>
                      <w:sz w:val="21"/>
                      <w:szCs w:val="21"/>
                      <w:u w:val="none"/>
                      <w:vertAlign w:val="baseline"/>
                      <w:lang w:val="en-US" w:eastAsia="zh-CN"/>
                    </w:rPr>
                    <w:t>西</w:t>
                  </w:r>
                  <w:r>
                    <w:rPr>
                      <w:rFonts w:hint="default" w:ascii="Times New Roman" w:hAnsi="Times New Roman" w:cs="Times New Roman"/>
                      <w:b w:val="0"/>
                      <w:bCs w:val="0"/>
                      <w:color w:val="auto"/>
                      <w:sz w:val="21"/>
                      <w:szCs w:val="21"/>
                      <w:u w:val="none"/>
                      <w:vertAlign w:val="baseline"/>
                      <w:lang w:val="en-US" w:eastAsia="zh-CN"/>
                    </w:rPr>
                    <w:t>边界声级dB(A)</w:t>
                  </w:r>
                </w:p>
              </w:tc>
              <w:tc>
                <w:tcPr>
                  <w:tcW w:w="1041"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运行时段</w:t>
                  </w:r>
                </w:p>
              </w:tc>
              <w:tc>
                <w:tcPr>
                  <w:tcW w:w="1101"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建筑物插入损失dB(A)</w:t>
                  </w:r>
                </w:p>
              </w:tc>
              <w:tc>
                <w:tcPr>
                  <w:tcW w:w="1854" w:type="dxa"/>
                  <w:gridSpan w:val="2"/>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97"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275" w:type="dxa"/>
                  <w:gridSpan w:val="2"/>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263"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X</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Y</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Z</w:t>
                  </w:r>
                </w:p>
              </w:tc>
              <w:tc>
                <w:tcPr>
                  <w:tcW w:w="84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94"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声压级dB(A)</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生产厂房</w:t>
                  </w:r>
                  <w:r>
                    <w:rPr>
                      <w:rFonts w:hint="default" w:ascii="Times New Roman" w:hAnsi="Times New Roman" w:cs="Times New Roman"/>
                      <w:b w:val="0"/>
                      <w:bCs w:val="0"/>
                      <w:color w:val="auto"/>
                      <w:sz w:val="21"/>
                      <w:szCs w:val="21"/>
                      <w:u w:val="none"/>
                      <w:vertAlign w:val="baseline"/>
                      <w:lang w:val="en-US" w:eastAsia="zh-CN"/>
                    </w:rPr>
                    <w:t>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c>
                <w:tcPr>
                  <w:tcW w:w="51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lang w:val="en-US" w:eastAsia="zh-CN"/>
                    </w:rPr>
                    <w:t>生产车间</w:t>
                  </w:r>
                </w:p>
              </w:tc>
              <w:tc>
                <w:tcPr>
                  <w:tcW w:w="765"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游乐设备生产线</w:t>
                  </w:r>
                </w:p>
              </w:tc>
              <w:tc>
                <w:tcPr>
                  <w:tcW w:w="1545"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kern w:val="2"/>
                      <w:sz w:val="21"/>
                      <w:szCs w:val="21"/>
                      <w:u w:val="none"/>
                      <w:lang w:val="en-US" w:eastAsia="zh-CN" w:bidi="ar-SA"/>
                    </w:rPr>
                    <w:t>等离子切割机</w:t>
                  </w:r>
                </w:p>
              </w:tc>
              <w:tc>
                <w:tcPr>
                  <w:tcW w:w="1263" w:type="dxa"/>
                  <w:tcBorders>
                    <w:tl2br w:val="nil"/>
                    <w:tr2bl w:val="nil"/>
                  </w:tcBorders>
                  <w:noWrap w:val="0"/>
                  <w:vAlign w:val="center"/>
                </w:tcPr>
                <w:p>
                  <w:pPr>
                    <w:jc w:val="center"/>
                    <w:rPr>
                      <w:rFonts w:hint="default" w:ascii="Times New Roman" w:hAnsi="Times New Roman" w:cs="Times New Roman"/>
                      <w:b w:val="0"/>
                      <w:bCs w:val="0"/>
                      <w:color w:val="auto"/>
                      <w:sz w:val="21"/>
                      <w:szCs w:val="21"/>
                      <w:u w:val="none"/>
                      <w:vertAlign w:val="baseline"/>
                      <w:lang w:val="en-US" w:eastAsia="zh-CN"/>
                    </w:rPr>
                  </w:pPr>
                  <w:r>
                    <w:rPr>
                      <w:rFonts w:hint="default"/>
                      <w:lang w:val="en-US" w:eastAsia="zh-CN"/>
                    </w:rPr>
                    <w:t>80</w:t>
                  </w:r>
                </w:p>
              </w:tc>
              <w:tc>
                <w:tcPr>
                  <w:tcW w:w="96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厂房隔声</w:t>
                  </w:r>
                  <w:r>
                    <w:rPr>
                      <w:rFonts w:hint="eastAsia" w:ascii="Times New Roman" w:hAnsi="Times New Roman" w:cs="Times New Roman"/>
                      <w:b w:val="0"/>
                      <w:bCs w:val="0"/>
                      <w:color w:val="auto"/>
                      <w:sz w:val="21"/>
                      <w:szCs w:val="21"/>
                      <w:u w:val="none"/>
                      <w:vertAlign w:val="baseline"/>
                      <w:lang w:val="en-US" w:eastAsia="zh-CN"/>
                    </w:rPr>
                    <w:t>、基础减振</w:t>
                  </w: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-6.75</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-1.61</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50</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53.35</w:t>
                  </w:r>
                </w:p>
              </w:tc>
              <w:tc>
                <w:tcPr>
                  <w:tcW w:w="1041"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8:00-12:00</w:t>
                  </w:r>
                </w:p>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14:00-18:00</w:t>
                  </w:r>
                </w:p>
              </w:tc>
              <w:tc>
                <w:tcPr>
                  <w:tcW w:w="1101"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43.35</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2</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kern w:val="2"/>
                      <w:sz w:val="21"/>
                      <w:szCs w:val="21"/>
                      <w:u w:val="none"/>
                      <w:lang w:val="en-US" w:eastAsia="zh-CN" w:bidi="ar-SA"/>
                    </w:rPr>
                    <w:t>电焊机</w:t>
                  </w:r>
                </w:p>
              </w:tc>
              <w:tc>
                <w:tcPr>
                  <w:tcW w:w="1263" w:type="dxa"/>
                  <w:tcBorders>
                    <w:tl2br w:val="nil"/>
                    <w:tr2bl w:val="nil"/>
                  </w:tcBorders>
                  <w:noWrap w:val="0"/>
                  <w:vAlign w:val="center"/>
                </w:tcPr>
                <w:p>
                  <w:pPr>
                    <w:jc w:val="center"/>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eastAsia"/>
                      <w:lang w:val="en-US" w:eastAsia="zh-CN"/>
                    </w:rPr>
                    <w:t>80</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-22.69</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-5.87</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40</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53.42</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eastAsia" w:cs="Times New Roman"/>
                      <w:b w:val="0"/>
                      <w:bCs w:val="0"/>
                      <w:color w:val="auto"/>
                      <w:kern w:val="0"/>
                      <w:sz w:val="21"/>
                      <w:szCs w:val="21"/>
                      <w:u w:val="none"/>
                      <w:vertAlign w:val="baseline"/>
                      <w:lang w:val="en-US" w:eastAsia="zh-CN" w:bidi="ar-SA"/>
                    </w:rPr>
                    <w:t>43.42</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3</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抛光机</w:t>
                  </w:r>
                </w:p>
              </w:tc>
              <w:tc>
                <w:tcPr>
                  <w:tcW w:w="1263" w:type="dxa"/>
                  <w:tcBorders>
                    <w:tl2br w:val="nil"/>
                    <w:tr2bl w:val="nil"/>
                  </w:tcBorders>
                  <w:noWrap w:val="0"/>
                  <w:vAlign w:val="center"/>
                </w:tcPr>
                <w:p>
                  <w:pPr>
                    <w:jc w:val="center"/>
                    <w:rPr>
                      <w:rFonts w:hint="default" w:ascii="Times New Roman" w:hAnsi="Times New Roman" w:cs="Times New Roman"/>
                      <w:b w:val="0"/>
                      <w:bCs w:val="0"/>
                      <w:color w:val="auto"/>
                      <w:sz w:val="21"/>
                      <w:szCs w:val="21"/>
                      <w:u w:val="none"/>
                      <w:vertAlign w:val="baseline"/>
                      <w:lang w:val="en-US" w:eastAsia="zh-CN"/>
                    </w:rPr>
                  </w:pPr>
                  <w:r>
                    <w:rPr>
                      <w:rFonts w:hint="default"/>
                      <w:lang w:val="en-US" w:eastAsia="zh-CN"/>
                    </w:rPr>
                    <w:t>80</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-10.08</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16.09</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50</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53.35</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43.35</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4</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喷塑设备</w:t>
                  </w:r>
                </w:p>
              </w:tc>
              <w:tc>
                <w:tcPr>
                  <w:tcW w:w="1263" w:type="dxa"/>
                  <w:tcBorders>
                    <w:tl2br w:val="nil"/>
                    <w:tr2bl w:val="nil"/>
                  </w:tcBorders>
                  <w:noWrap w:val="0"/>
                  <w:vAlign w:val="center"/>
                </w:tcPr>
                <w:p>
                  <w:pPr>
                    <w:jc w:val="center"/>
                    <w:rPr>
                      <w:rFonts w:hint="default" w:ascii="Times New Roman" w:hAnsi="Times New Roman" w:cs="Times New Roman"/>
                      <w:b w:val="0"/>
                      <w:bCs w:val="0"/>
                      <w:color w:val="auto"/>
                      <w:sz w:val="21"/>
                      <w:szCs w:val="21"/>
                      <w:u w:val="none"/>
                      <w:vertAlign w:val="baseline"/>
                      <w:lang w:val="en-US" w:eastAsia="zh-CN"/>
                    </w:rPr>
                  </w:pPr>
                  <w:r>
                    <w:rPr>
                      <w:rFonts w:hint="eastAsia"/>
                      <w:lang w:val="en-US" w:eastAsia="zh-CN"/>
                    </w:rPr>
                    <w:t>80</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-26.67</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12.35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40</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53.42</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kern w:val="0"/>
                      <w:sz w:val="21"/>
                      <w:szCs w:val="21"/>
                      <w:u w:val="none"/>
                      <w:vertAlign w:val="baseline"/>
                      <w:lang w:val="en-US" w:eastAsia="zh-CN" w:bidi="ar-SA"/>
                    </w:rPr>
                    <w:t>43.42</w:t>
                  </w:r>
                </w:p>
              </w:tc>
              <w:tc>
                <w:tcPr>
                  <w:tcW w:w="10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sz w:val="21"/>
                      <w:szCs w:val="21"/>
                      <w:u w:val="none"/>
                      <w:vertAlign w:val="baseline"/>
                      <w:lang w:val="en-US" w:eastAsia="zh-CN"/>
                    </w:rPr>
                    <w:t>风机</w:t>
                  </w:r>
                </w:p>
              </w:tc>
              <w:tc>
                <w:tcPr>
                  <w:tcW w:w="1263" w:type="dxa"/>
                  <w:tcBorders>
                    <w:tl2br w:val="nil"/>
                    <w:tr2bl w:val="nil"/>
                  </w:tcBorders>
                  <w:noWrap w:val="0"/>
                  <w:vAlign w:val="center"/>
                </w:tcPr>
                <w:p>
                  <w:pPr>
                    <w:jc w:val="center"/>
                    <w:rPr>
                      <w:rFonts w:hint="default" w:ascii="Times New Roman" w:hAnsi="Times New Roman" w:cs="Times New Roman"/>
                      <w:b w:val="0"/>
                      <w:bCs w:val="0"/>
                      <w:color w:val="auto"/>
                      <w:sz w:val="21"/>
                      <w:szCs w:val="21"/>
                      <w:u w:val="none"/>
                      <w:vertAlign w:val="baseline"/>
                      <w:lang w:val="en-US" w:eastAsia="zh-CN"/>
                    </w:rPr>
                  </w:pPr>
                  <w:r>
                    <w:rPr>
                      <w:rFonts w:hint="default"/>
                      <w:lang w:val="en-US" w:eastAsia="zh-CN"/>
                    </w:rPr>
                    <w:t>85</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-1.66</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8.09</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55</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53.3</w:t>
                  </w:r>
                  <w:r>
                    <w:rPr>
                      <w:rFonts w:hint="eastAsia" w:cs="Times New Roman"/>
                      <w:b w:val="0"/>
                      <w:bCs w:val="0"/>
                      <w:color w:val="auto"/>
                      <w:sz w:val="21"/>
                      <w:szCs w:val="21"/>
                      <w:u w:val="none"/>
                      <w:vertAlign w:val="baseline"/>
                      <w:lang w:val="en-US" w:eastAsia="zh-CN"/>
                    </w:rPr>
                    <w:t>3</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43.33</w:t>
                  </w:r>
                </w:p>
              </w:tc>
              <w:tc>
                <w:tcPr>
                  <w:tcW w:w="10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7"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序号</w:t>
                  </w:r>
                </w:p>
              </w:tc>
              <w:tc>
                <w:tcPr>
                  <w:tcW w:w="1275" w:type="dxa"/>
                  <w:gridSpan w:val="2"/>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建筑物名称</w:t>
                  </w:r>
                </w:p>
              </w:tc>
              <w:tc>
                <w:tcPr>
                  <w:tcW w:w="1545"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声源名称</w:t>
                  </w:r>
                </w:p>
              </w:tc>
              <w:tc>
                <w:tcPr>
                  <w:tcW w:w="1263"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声功率级dB(A)</w:t>
                  </w:r>
                </w:p>
              </w:tc>
              <w:tc>
                <w:tcPr>
                  <w:tcW w:w="96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声源</w:t>
                  </w:r>
                </w:p>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控制</w:t>
                  </w:r>
                </w:p>
              </w:tc>
              <w:tc>
                <w:tcPr>
                  <w:tcW w:w="1980" w:type="dxa"/>
                  <w:gridSpan w:val="3"/>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空间相对</w:t>
                  </w:r>
                  <w:r>
                    <w:rPr>
                      <w:rFonts w:hint="eastAsia" w:ascii="Times New Roman" w:hAnsi="Times New Roman" w:cs="Times New Roman"/>
                      <w:b w:val="0"/>
                      <w:bCs w:val="0"/>
                      <w:color w:val="auto"/>
                      <w:sz w:val="21"/>
                      <w:szCs w:val="21"/>
                      <w:u w:val="none"/>
                      <w:vertAlign w:val="baseline"/>
                      <w:lang w:val="en-US" w:eastAsia="zh-CN"/>
                    </w:rPr>
                    <w:t>位</w:t>
                  </w:r>
                  <w:r>
                    <w:rPr>
                      <w:rFonts w:hint="default" w:ascii="Times New Roman" w:hAnsi="Times New Roman" w:cs="Times New Roman"/>
                      <w:b w:val="0"/>
                      <w:bCs w:val="0"/>
                      <w:color w:val="auto"/>
                      <w:sz w:val="21"/>
                      <w:szCs w:val="21"/>
                      <w:u w:val="none"/>
                      <w:vertAlign w:val="baseline"/>
                      <w:lang w:val="en-US" w:eastAsia="zh-CN"/>
                    </w:rPr>
                    <w:t>置</w:t>
                  </w:r>
                </w:p>
              </w:tc>
              <w:tc>
                <w:tcPr>
                  <w:tcW w:w="84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距室内</w:t>
                  </w:r>
                  <w:r>
                    <w:rPr>
                      <w:rFonts w:hint="eastAsia" w:ascii="Times New Roman" w:hAnsi="Times New Roman" w:cs="Times New Roman"/>
                      <w:b w:val="0"/>
                      <w:bCs w:val="0"/>
                      <w:color w:val="auto"/>
                      <w:sz w:val="21"/>
                      <w:szCs w:val="21"/>
                      <w:u w:val="none"/>
                      <w:vertAlign w:val="baseline"/>
                      <w:lang w:val="en-US" w:eastAsia="zh-CN"/>
                    </w:rPr>
                    <w:t>北</w:t>
                  </w:r>
                  <w:r>
                    <w:rPr>
                      <w:rFonts w:hint="default" w:ascii="Times New Roman" w:hAnsi="Times New Roman" w:cs="Times New Roman"/>
                      <w:b w:val="0"/>
                      <w:bCs w:val="0"/>
                      <w:color w:val="auto"/>
                      <w:sz w:val="21"/>
                      <w:szCs w:val="21"/>
                      <w:u w:val="none"/>
                      <w:vertAlign w:val="baseline"/>
                      <w:lang w:val="en-US" w:eastAsia="zh-CN"/>
                    </w:rPr>
                    <w:t>边界距离m</w:t>
                  </w:r>
                </w:p>
              </w:tc>
              <w:tc>
                <w:tcPr>
                  <w:tcW w:w="1194"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室内边界声级dB(A)</w:t>
                  </w:r>
                </w:p>
              </w:tc>
              <w:tc>
                <w:tcPr>
                  <w:tcW w:w="1041"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运行时段</w:t>
                  </w:r>
                </w:p>
              </w:tc>
              <w:tc>
                <w:tcPr>
                  <w:tcW w:w="1101"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建筑物插入损失dB(A)</w:t>
                  </w:r>
                </w:p>
              </w:tc>
              <w:tc>
                <w:tcPr>
                  <w:tcW w:w="1854" w:type="dxa"/>
                  <w:gridSpan w:val="2"/>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97"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275" w:type="dxa"/>
                  <w:gridSpan w:val="2"/>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263"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X</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Y</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Z</w:t>
                  </w:r>
                </w:p>
              </w:tc>
              <w:tc>
                <w:tcPr>
                  <w:tcW w:w="84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94"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声压级dB(A)</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生产</w:t>
                  </w:r>
                  <w:r>
                    <w:rPr>
                      <w:rFonts w:hint="eastAsia" w:cs="Times New Roman"/>
                      <w:b w:val="0"/>
                      <w:bCs w:val="0"/>
                      <w:color w:val="auto"/>
                      <w:sz w:val="21"/>
                      <w:szCs w:val="21"/>
                      <w:u w:val="none"/>
                      <w:vertAlign w:val="baseline"/>
                      <w:lang w:val="en-US" w:eastAsia="zh-CN"/>
                    </w:rPr>
                    <w:t>车间</w:t>
                  </w:r>
                  <w:r>
                    <w:rPr>
                      <w:rFonts w:hint="eastAsia" w:ascii="Times New Roman" w:hAnsi="Times New Roman" w:cs="Times New Roman"/>
                      <w:b w:val="0"/>
                      <w:bCs w:val="0"/>
                      <w:color w:val="auto"/>
                      <w:sz w:val="21"/>
                      <w:szCs w:val="21"/>
                      <w:u w:val="none"/>
                      <w:vertAlign w:val="baseline"/>
                      <w:lang w:val="en-US" w:eastAsia="zh-CN"/>
                    </w:rPr>
                    <w:t>厂房</w:t>
                  </w:r>
                  <w:r>
                    <w:rPr>
                      <w:rFonts w:hint="default" w:ascii="Times New Roman" w:hAnsi="Times New Roman" w:cs="Times New Roman"/>
                      <w:b w:val="0"/>
                      <w:bCs w:val="0"/>
                      <w:color w:val="auto"/>
                      <w:sz w:val="21"/>
                      <w:szCs w:val="21"/>
                      <w:u w:val="none"/>
                      <w:vertAlign w:val="baseline"/>
                      <w:lang w:val="en-US" w:eastAsia="zh-CN"/>
                    </w:rPr>
                    <w:t>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c>
                <w:tcPr>
                  <w:tcW w:w="51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lang w:val="en-US" w:eastAsia="zh-CN"/>
                    </w:rPr>
                    <w:t>生产车间</w:t>
                  </w:r>
                </w:p>
              </w:tc>
              <w:tc>
                <w:tcPr>
                  <w:tcW w:w="765"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游乐设备生产线</w:t>
                  </w:r>
                </w:p>
              </w:tc>
              <w:tc>
                <w:tcPr>
                  <w:tcW w:w="1545"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kern w:val="2"/>
                      <w:sz w:val="21"/>
                      <w:szCs w:val="21"/>
                      <w:u w:val="none"/>
                      <w:lang w:val="en-US" w:eastAsia="zh-CN" w:bidi="ar-SA"/>
                    </w:rPr>
                    <w:t>等离子切割机</w:t>
                  </w:r>
                </w:p>
              </w:tc>
              <w:tc>
                <w:tcPr>
                  <w:tcW w:w="1263" w:type="dxa"/>
                  <w:tcBorders>
                    <w:tl2br w:val="nil"/>
                    <w:tr2bl w:val="nil"/>
                  </w:tcBorders>
                  <w:noWrap w:val="0"/>
                  <w:vAlign w:val="center"/>
                </w:tcPr>
                <w:p>
                  <w:pPr>
                    <w:jc w:val="center"/>
                    <w:rPr>
                      <w:rFonts w:hint="default" w:ascii="Times New Roman" w:hAnsi="Times New Roman" w:cs="Times New Roman"/>
                      <w:b w:val="0"/>
                      <w:bCs w:val="0"/>
                      <w:color w:val="auto"/>
                      <w:sz w:val="21"/>
                      <w:szCs w:val="21"/>
                      <w:u w:val="none"/>
                      <w:vertAlign w:val="baseline"/>
                      <w:lang w:val="en-US" w:eastAsia="zh-CN"/>
                    </w:rPr>
                  </w:pPr>
                  <w:r>
                    <w:rPr>
                      <w:rFonts w:hint="default"/>
                      <w:lang w:val="en-US" w:eastAsia="zh-CN"/>
                    </w:rPr>
                    <w:t>80</w:t>
                  </w:r>
                </w:p>
              </w:tc>
              <w:tc>
                <w:tcPr>
                  <w:tcW w:w="960"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厂房隔声</w:t>
                  </w:r>
                  <w:r>
                    <w:rPr>
                      <w:rFonts w:hint="eastAsia" w:ascii="Times New Roman" w:hAnsi="Times New Roman" w:cs="Times New Roman"/>
                      <w:b w:val="0"/>
                      <w:bCs w:val="0"/>
                      <w:color w:val="auto"/>
                      <w:sz w:val="21"/>
                      <w:szCs w:val="21"/>
                      <w:u w:val="none"/>
                      <w:vertAlign w:val="baseline"/>
                      <w:lang w:val="en-US" w:eastAsia="zh-CN"/>
                    </w:rPr>
                    <w:t>、基础减振</w:t>
                  </w: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-6.75</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-1.61</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15</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54.41</w:t>
                  </w:r>
                </w:p>
              </w:tc>
              <w:tc>
                <w:tcPr>
                  <w:tcW w:w="1041"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8:00-12:00</w:t>
                  </w:r>
                </w:p>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14:00-18:00</w:t>
                  </w:r>
                </w:p>
              </w:tc>
              <w:tc>
                <w:tcPr>
                  <w:tcW w:w="1101"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kern w:val="0"/>
                      <w:sz w:val="21"/>
                      <w:szCs w:val="21"/>
                      <w:u w:val="none"/>
                      <w:vertAlign w:val="baseline"/>
                      <w:lang w:val="en-US" w:eastAsia="zh-CN" w:bidi="ar-SA"/>
                    </w:rPr>
                    <w:t>44.41</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2</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kern w:val="2"/>
                      <w:sz w:val="21"/>
                      <w:szCs w:val="21"/>
                      <w:u w:val="none"/>
                      <w:lang w:val="en-US" w:eastAsia="zh-CN" w:bidi="ar-SA"/>
                    </w:rPr>
                    <w:t>电焊机</w:t>
                  </w:r>
                </w:p>
              </w:tc>
              <w:tc>
                <w:tcPr>
                  <w:tcW w:w="1263" w:type="dxa"/>
                  <w:tcBorders>
                    <w:tl2br w:val="nil"/>
                    <w:tr2bl w:val="nil"/>
                  </w:tcBorders>
                  <w:noWrap w:val="0"/>
                  <w:vAlign w:val="center"/>
                </w:tcPr>
                <w:p>
                  <w:pPr>
                    <w:jc w:val="center"/>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eastAsia"/>
                      <w:lang w:val="en-US" w:eastAsia="zh-CN"/>
                    </w:rPr>
                    <w:t>80</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-22.69</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-5.87</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15</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54.41</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eastAsia" w:cs="Times New Roman"/>
                      <w:b w:val="0"/>
                      <w:bCs w:val="0"/>
                      <w:color w:val="auto"/>
                      <w:kern w:val="0"/>
                      <w:sz w:val="21"/>
                      <w:szCs w:val="21"/>
                      <w:u w:val="none"/>
                      <w:vertAlign w:val="baseline"/>
                      <w:lang w:val="en-US" w:eastAsia="zh-CN" w:bidi="ar-SA"/>
                    </w:rPr>
                    <w:t>44.41</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3</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抛光机</w:t>
                  </w:r>
                </w:p>
              </w:tc>
              <w:tc>
                <w:tcPr>
                  <w:tcW w:w="1263" w:type="dxa"/>
                  <w:tcBorders>
                    <w:tl2br w:val="nil"/>
                    <w:tr2bl w:val="nil"/>
                  </w:tcBorders>
                  <w:noWrap w:val="0"/>
                  <w:vAlign w:val="center"/>
                </w:tcPr>
                <w:p>
                  <w:pPr>
                    <w:jc w:val="center"/>
                    <w:rPr>
                      <w:rFonts w:hint="default" w:ascii="Times New Roman" w:hAnsi="Times New Roman" w:cs="Times New Roman"/>
                      <w:b w:val="0"/>
                      <w:bCs w:val="0"/>
                      <w:color w:val="auto"/>
                      <w:sz w:val="21"/>
                      <w:szCs w:val="21"/>
                      <w:u w:val="none"/>
                      <w:vertAlign w:val="baseline"/>
                      <w:lang w:val="en-US" w:eastAsia="zh-CN"/>
                    </w:rPr>
                  </w:pPr>
                  <w:r>
                    <w:rPr>
                      <w:rFonts w:hint="default"/>
                      <w:lang w:val="en-US" w:eastAsia="zh-CN"/>
                    </w:rPr>
                    <w:t>80</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-10.08</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16.09</w:t>
                  </w:r>
                </w:p>
              </w:tc>
              <w:tc>
                <w:tcPr>
                  <w:tcW w:w="498"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53.9</w:t>
                  </w:r>
                  <w:r>
                    <w:rPr>
                      <w:rFonts w:hint="eastAsia" w:cs="Times New Roman"/>
                      <w:b w:val="0"/>
                      <w:bCs w:val="0"/>
                      <w:color w:val="auto"/>
                      <w:sz w:val="21"/>
                      <w:szCs w:val="21"/>
                      <w:u w:val="none"/>
                      <w:vertAlign w:val="baseline"/>
                      <w:lang w:val="en-US" w:eastAsia="zh-CN"/>
                    </w:rPr>
                    <w:t>8</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43.98</w:t>
                  </w:r>
                </w:p>
              </w:tc>
              <w:tc>
                <w:tcPr>
                  <w:tcW w:w="100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4</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喷塑设备</w:t>
                  </w:r>
                </w:p>
              </w:tc>
              <w:tc>
                <w:tcPr>
                  <w:tcW w:w="1263" w:type="dxa"/>
                  <w:tcBorders>
                    <w:tl2br w:val="nil"/>
                    <w:tr2bl w:val="nil"/>
                  </w:tcBorders>
                  <w:noWrap w:val="0"/>
                  <w:vAlign w:val="center"/>
                </w:tcPr>
                <w:p>
                  <w:pPr>
                    <w:jc w:val="center"/>
                    <w:rPr>
                      <w:rFonts w:hint="default" w:ascii="Times New Roman" w:hAnsi="Times New Roman" w:cs="Times New Roman"/>
                      <w:b w:val="0"/>
                      <w:bCs w:val="0"/>
                      <w:color w:val="auto"/>
                      <w:sz w:val="21"/>
                      <w:szCs w:val="21"/>
                      <w:u w:val="none"/>
                      <w:vertAlign w:val="baseline"/>
                      <w:lang w:val="en-US" w:eastAsia="zh-CN"/>
                    </w:rPr>
                  </w:pPr>
                  <w:r>
                    <w:rPr>
                      <w:rFonts w:hint="eastAsia"/>
                      <w:lang w:val="en-US" w:eastAsia="zh-CN"/>
                    </w:rPr>
                    <w:t>80</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-26.67</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12.35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53.9</w:t>
                  </w:r>
                  <w:r>
                    <w:rPr>
                      <w:rFonts w:hint="eastAsia" w:cs="Times New Roman"/>
                      <w:b w:val="0"/>
                      <w:bCs w:val="0"/>
                      <w:color w:val="auto"/>
                      <w:sz w:val="21"/>
                      <w:szCs w:val="21"/>
                      <w:u w:val="none"/>
                      <w:vertAlign w:val="baseline"/>
                      <w:lang w:val="en-US" w:eastAsia="zh-CN"/>
                    </w:rPr>
                    <w:t>8</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43.98</w:t>
                  </w:r>
                </w:p>
              </w:tc>
              <w:tc>
                <w:tcPr>
                  <w:tcW w:w="10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9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w:t>
                  </w:r>
                </w:p>
              </w:tc>
              <w:tc>
                <w:tcPr>
                  <w:tcW w:w="51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65"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5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sz w:val="21"/>
                      <w:szCs w:val="21"/>
                      <w:u w:val="none"/>
                      <w:vertAlign w:val="baseline"/>
                      <w:lang w:val="en-US" w:eastAsia="zh-CN"/>
                    </w:rPr>
                    <w:t>风机</w:t>
                  </w:r>
                </w:p>
              </w:tc>
              <w:tc>
                <w:tcPr>
                  <w:tcW w:w="1263" w:type="dxa"/>
                  <w:tcBorders>
                    <w:tl2br w:val="nil"/>
                    <w:tr2bl w:val="nil"/>
                  </w:tcBorders>
                  <w:noWrap w:val="0"/>
                  <w:vAlign w:val="center"/>
                </w:tcPr>
                <w:p>
                  <w:pPr>
                    <w:jc w:val="center"/>
                    <w:rPr>
                      <w:rFonts w:hint="default" w:ascii="Times New Roman" w:hAnsi="Times New Roman" w:cs="Times New Roman"/>
                      <w:b w:val="0"/>
                      <w:bCs w:val="0"/>
                      <w:color w:val="auto"/>
                      <w:sz w:val="21"/>
                      <w:szCs w:val="21"/>
                      <w:u w:val="none"/>
                      <w:vertAlign w:val="baseline"/>
                      <w:lang w:val="en-US" w:eastAsia="zh-CN"/>
                    </w:rPr>
                  </w:pPr>
                  <w:r>
                    <w:rPr>
                      <w:rFonts w:hint="default"/>
                      <w:lang w:val="en-US" w:eastAsia="zh-CN"/>
                    </w:rPr>
                    <w:t>85</w:t>
                  </w:r>
                </w:p>
              </w:tc>
              <w:tc>
                <w:tcPr>
                  <w:tcW w:w="960"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73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-1.66</w:t>
                  </w:r>
                </w:p>
              </w:tc>
              <w:tc>
                <w:tcPr>
                  <w:tcW w:w="74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8.09</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w:t>
                  </w:r>
                </w:p>
              </w:tc>
              <w:tc>
                <w:tcPr>
                  <w:tcW w:w="84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8</w:t>
                  </w:r>
                </w:p>
              </w:tc>
              <w:tc>
                <w:tcPr>
                  <w:tcW w:w="1194"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56.6</w:t>
                  </w:r>
                  <w:r>
                    <w:rPr>
                      <w:rFonts w:hint="eastAsia" w:cs="Times New Roman"/>
                      <w:b w:val="0"/>
                      <w:bCs w:val="0"/>
                      <w:color w:val="auto"/>
                      <w:sz w:val="21"/>
                      <w:szCs w:val="21"/>
                      <w:u w:val="none"/>
                      <w:vertAlign w:val="baseline"/>
                      <w:lang w:val="en-US" w:eastAsia="zh-CN"/>
                    </w:rPr>
                    <w:t>2</w:t>
                  </w:r>
                </w:p>
              </w:tc>
              <w:tc>
                <w:tcPr>
                  <w:tcW w:w="1041"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ascii="Times New Roman" w:hAnsi="Times New Roman" w:cs="Times New Roman"/>
                      <w:b w:val="0"/>
                      <w:bCs w:val="0"/>
                      <w:color w:val="auto"/>
                      <w:sz w:val="21"/>
                      <w:szCs w:val="21"/>
                      <w:u w:val="none"/>
                      <w:vertAlign w:val="baseline"/>
                      <w:lang w:val="en-US" w:eastAsia="zh-CN"/>
                    </w:rPr>
                    <w:t>10</w:t>
                  </w:r>
                </w:p>
              </w:tc>
              <w:tc>
                <w:tcPr>
                  <w:tcW w:w="85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w:t>
                  </w:r>
                  <w:r>
                    <w:rPr>
                      <w:rFonts w:hint="default" w:ascii="Times New Roman" w:hAnsi="Times New Roman" w:cs="Times New Roman"/>
                      <w:b w:val="0"/>
                      <w:bCs w:val="0"/>
                      <w:color w:val="auto"/>
                      <w:sz w:val="21"/>
                      <w:szCs w:val="21"/>
                      <w:u w:val="none"/>
                      <w:vertAlign w:val="baseline"/>
                      <w:lang w:val="en-US" w:eastAsia="zh-CN"/>
                    </w:rPr>
                    <w:t>6.6</w:t>
                  </w:r>
                  <w:r>
                    <w:rPr>
                      <w:rFonts w:hint="eastAsia" w:cs="Times New Roman"/>
                      <w:b w:val="0"/>
                      <w:bCs w:val="0"/>
                      <w:color w:val="auto"/>
                      <w:sz w:val="21"/>
                      <w:szCs w:val="21"/>
                      <w:u w:val="none"/>
                      <w:vertAlign w:val="baseline"/>
                      <w:lang w:val="en-US" w:eastAsia="zh-CN"/>
                    </w:rPr>
                    <w:t>2</w:t>
                  </w:r>
                </w:p>
              </w:tc>
              <w:tc>
                <w:tcPr>
                  <w:tcW w:w="10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3550" w:type="dxa"/>
                  <w:gridSpan w:val="15"/>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360" w:lineRule="exact"/>
                    <w:ind w:right="113"/>
                    <w:textAlignment w:val="auto"/>
                    <w:rPr>
                      <w:rFonts w:hint="default" w:ascii="Times New Roman" w:hAnsi="Times New Roman"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lang w:val="en-US" w:eastAsia="zh-CN"/>
                    </w:rPr>
                    <w:t>注：空间相对位置以东经112.93618438</w:t>
                  </w:r>
                  <w:r>
                    <w:rPr>
                      <w:rFonts w:hint="eastAsia" w:cs="Times New Roman"/>
                      <w:b w:val="0"/>
                      <w:bCs w:val="0"/>
                      <w:color w:val="auto"/>
                      <w:sz w:val="21"/>
                      <w:szCs w:val="21"/>
                      <w:u w:val="none"/>
                      <w:lang w:val="en-US" w:eastAsia="zh-CN"/>
                    </w:rPr>
                    <w:t>°</w:t>
                  </w:r>
                  <w:r>
                    <w:rPr>
                      <w:rFonts w:hint="default" w:ascii="Times New Roman" w:hAnsi="Times New Roman" w:cs="Times New Roman"/>
                      <w:b w:val="0"/>
                      <w:bCs w:val="0"/>
                      <w:color w:val="auto"/>
                      <w:sz w:val="21"/>
                      <w:szCs w:val="21"/>
                      <w:u w:val="none"/>
                      <w:lang w:val="en-US" w:eastAsia="zh-CN"/>
                    </w:rPr>
                    <w:t>为X的0点，以北纬33.79729304</w:t>
                  </w:r>
                  <w:r>
                    <w:rPr>
                      <w:rFonts w:hint="eastAsia" w:cs="Times New Roman"/>
                      <w:b w:val="0"/>
                      <w:bCs w:val="0"/>
                      <w:color w:val="auto"/>
                      <w:sz w:val="21"/>
                      <w:szCs w:val="21"/>
                      <w:u w:val="none"/>
                      <w:lang w:val="en-US" w:eastAsia="zh-CN"/>
                    </w:rPr>
                    <w:t>°</w:t>
                  </w:r>
                  <w:r>
                    <w:rPr>
                      <w:rFonts w:hint="default" w:ascii="Times New Roman" w:hAnsi="Times New Roman" w:cs="Times New Roman"/>
                      <w:b w:val="0"/>
                      <w:bCs w:val="0"/>
                      <w:color w:val="auto"/>
                      <w:sz w:val="21"/>
                      <w:szCs w:val="21"/>
                      <w:u w:val="none"/>
                      <w:lang w:val="en-US" w:eastAsia="zh-CN"/>
                    </w:rPr>
                    <w:t>为Y的0点，车间底部海拔为Z的0点。</w:t>
                  </w:r>
                </w:p>
              </w:tc>
            </w:tr>
          </w:tbl>
          <w:p>
            <w:pPr>
              <w:pStyle w:val="10"/>
              <w:rPr>
                <w:color w:val="auto"/>
                <w:vertAlign w:val="baseline"/>
              </w:rPr>
            </w:pPr>
          </w:p>
        </w:tc>
      </w:tr>
    </w:tbl>
    <w:p>
      <w:pPr>
        <w:pStyle w:val="10"/>
        <w:ind w:left="0" w:leftChars="0" w:firstLine="0" w:firstLineChars="0"/>
        <w:rPr>
          <w:rFonts w:hint="eastAsia"/>
        </w:rPr>
        <w:sectPr>
          <w:pgSz w:w="16840" w:h="11907" w:orient="landscape"/>
          <w:pgMar w:top="1080" w:right="1440" w:bottom="1080" w:left="1440" w:header="851" w:footer="964" w:gutter="0"/>
          <w:pgBorders>
            <w:top w:val="none" w:sz="0" w:space="0"/>
            <w:left w:val="none" w:sz="0" w:space="0"/>
            <w:bottom w:val="none" w:sz="0" w:space="0"/>
            <w:right w:val="none" w:sz="0" w:space="0"/>
          </w:pgBorders>
          <w:pgNumType w:fmt="decimal"/>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
        <w:gridCol w:w="9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 w:type="dxa"/>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z w:val="24"/>
                <w:u w:val="none"/>
                <w:vertAlign w:val="baseline"/>
                <w:lang w:val="en-US" w:eastAsia="zh-CN"/>
              </w:rPr>
            </w:pPr>
          </w:p>
        </w:tc>
        <w:tc>
          <w:tcPr>
            <w:tcW w:w="9583" w:type="dxa"/>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eastAsia" w:cs="Times New Roman"/>
                <w:b/>
                <w:bCs/>
                <w:color w:val="auto"/>
                <w:sz w:val="24"/>
                <w:u w:val="none"/>
                <w:lang w:val="en-US" w:eastAsia="zh-CN"/>
              </w:rPr>
              <w:t>2、</w:t>
            </w:r>
            <w:r>
              <w:rPr>
                <w:rFonts w:hint="default" w:ascii="Times New Roman" w:hAnsi="Times New Roman" w:eastAsia="宋体" w:cs="Times New Roman"/>
                <w:b/>
                <w:bCs/>
                <w:color w:val="auto"/>
                <w:sz w:val="24"/>
                <w:u w:val="none"/>
                <w:lang w:val="en-US" w:eastAsia="zh-CN"/>
              </w:rPr>
              <w:t>噪声影响分析</w:t>
            </w:r>
          </w:p>
          <w:p>
            <w:pPr>
              <w:keepNext w:val="0"/>
              <w:keepLines w:val="0"/>
              <w:pageBreakBefore w:val="0"/>
              <w:widowControl w:val="0"/>
              <w:bidi w:val="0"/>
              <w:adjustRightInd w:val="0"/>
              <w:spacing w:line="360" w:lineRule="auto"/>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评价厂界噪声预测采用噪声点源衰减模式和噪声叠加公式进行计算，具体预测模式如下：</w:t>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点源衰减模式：</w:t>
            </w:r>
          </w:p>
          <w:p>
            <w:pPr>
              <w:keepNext w:val="0"/>
              <w:keepLines w:val="0"/>
              <w:pageBreakBefore w:val="0"/>
              <w:widowControl w:val="0"/>
              <w:bidi w:val="0"/>
              <w:spacing w:line="360" w:lineRule="auto"/>
              <w:jc w:val="center"/>
              <w:rPr>
                <w:rFonts w:hint="default" w:ascii="Times New Roman" w:hAnsi="Times New Roman" w:cs="Times New Roman"/>
                <w:b w:val="0"/>
                <w:bCs w:val="0"/>
                <w:color w:val="auto"/>
                <w:sz w:val="24"/>
                <w:szCs w:val="32"/>
                <w:u w:val="none"/>
              </w:rPr>
            </w:pPr>
            <w:r>
              <w:rPr>
                <w:rFonts w:hint="default" w:ascii="Times New Roman" w:hAnsi="Times New Roman" w:cs="Times New Roman"/>
                <w:b w:val="0"/>
                <w:bCs w:val="0"/>
                <w:color w:val="auto"/>
                <w:sz w:val="24"/>
                <w:szCs w:val="32"/>
                <w:u w:val="none"/>
              </w:rPr>
              <w:t>L</w:t>
            </w:r>
            <w:r>
              <w:rPr>
                <w:rFonts w:hint="default" w:ascii="Times New Roman" w:hAnsi="Times New Roman" w:cs="Times New Roman"/>
                <w:b w:val="0"/>
                <w:bCs w:val="0"/>
                <w:color w:val="auto"/>
                <w:sz w:val="24"/>
                <w:szCs w:val="32"/>
                <w:u w:val="none"/>
                <w:vertAlign w:val="subscript"/>
              </w:rPr>
              <w:t>r</w:t>
            </w:r>
            <w:r>
              <w:rPr>
                <w:rFonts w:hint="default" w:ascii="Times New Roman" w:hAnsi="Times New Roman" w:cs="Times New Roman"/>
                <w:b w:val="0"/>
                <w:bCs w:val="0"/>
                <w:color w:val="auto"/>
                <w:sz w:val="24"/>
                <w:szCs w:val="32"/>
                <w:u w:val="none"/>
              </w:rPr>
              <w:t>=L</w:t>
            </w:r>
            <w:r>
              <w:rPr>
                <w:rFonts w:hint="default" w:ascii="Times New Roman" w:hAnsi="Times New Roman" w:cs="Times New Roman"/>
                <w:b w:val="0"/>
                <w:bCs w:val="0"/>
                <w:color w:val="auto"/>
                <w:sz w:val="24"/>
                <w:szCs w:val="32"/>
                <w:u w:val="none"/>
                <w:vertAlign w:val="subscript"/>
              </w:rPr>
              <w:t>0</w:t>
            </w:r>
            <w:r>
              <w:rPr>
                <w:rFonts w:hint="default" w:ascii="Times New Roman" w:hAnsi="Times New Roman" w:cs="Times New Roman"/>
                <w:b w:val="0"/>
                <w:bCs w:val="0"/>
                <w:color w:val="auto"/>
                <w:sz w:val="24"/>
                <w:szCs w:val="32"/>
                <w:u w:val="none"/>
              </w:rPr>
              <w:t>－20lg(r/r</w:t>
            </w:r>
            <w:r>
              <w:rPr>
                <w:rFonts w:hint="default" w:ascii="Times New Roman" w:hAnsi="Times New Roman" w:cs="Times New Roman"/>
                <w:b w:val="0"/>
                <w:bCs w:val="0"/>
                <w:color w:val="auto"/>
                <w:sz w:val="24"/>
                <w:szCs w:val="32"/>
                <w:u w:val="none"/>
                <w:vertAlign w:val="subscript"/>
              </w:rPr>
              <w:t>0</w:t>
            </w:r>
            <w:r>
              <w:rPr>
                <w:rFonts w:hint="default" w:ascii="Times New Roman" w:hAnsi="Times New Roman" w:cs="Times New Roman"/>
                <w:b w:val="0"/>
                <w:bCs w:val="0"/>
                <w:color w:val="auto"/>
                <w:sz w:val="24"/>
                <w:szCs w:val="32"/>
                <w:u w:val="none"/>
              </w:rPr>
              <w:t>)</w:t>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式中：L</w:t>
            </w:r>
            <w:r>
              <w:rPr>
                <w:rFonts w:hint="default" w:ascii="Times New Roman" w:hAnsi="Times New Roman" w:cs="Times New Roman"/>
                <w:b w:val="0"/>
                <w:bCs w:val="0"/>
                <w:color w:val="auto"/>
                <w:sz w:val="24"/>
                <w:u w:val="none"/>
                <w:vertAlign w:val="subscript"/>
              </w:rPr>
              <w:t>r</w:t>
            </w:r>
            <w:r>
              <w:rPr>
                <w:rFonts w:hint="default" w:ascii="Times New Roman" w:hAnsi="Times New Roman" w:cs="Times New Roman"/>
                <w:b w:val="0"/>
                <w:bCs w:val="0"/>
                <w:color w:val="auto"/>
                <w:sz w:val="24"/>
                <w:u w:val="none"/>
              </w:rPr>
              <w:t>—距声源距离为r处的等效A声级值，dB(A)；</w:t>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L</w:t>
            </w:r>
            <w:r>
              <w:rPr>
                <w:rFonts w:hint="default" w:ascii="Times New Roman" w:hAnsi="Times New Roman" w:cs="Times New Roman"/>
                <w:b w:val="0"/>
                <w:bCs w:val="0"/>
                <w:color w:val="auto"/>
                <w:sz w:val="24"/>
                <w:u w:val="none"/>
                <w:vertAlign w:val="subscript"/>
              </w:rPr>
              <w:t>0</w:t>
            </w:r>
            <w:r>
              <w:rPr>
                <w:rFonts w:hint="default" w:ascii="Times New Roman" w:hAnsi="Times New Roman" w:cs="Times New Roman"/>
                <w:b w:val="0"/>
                <w:bCs w:val="0"/>
                <w:color w:val="auto"/>
                <w:sz w:val="24"/>
                <w:u w:val="none"/>
              </w:rPr>
              <w:t>—距声源距离为r</w:t>
            </w:r>
            <w:r>
              <w:rPr>
                <w:rFonts w:hint="default" w:ascii="Times New Roman" w:hAnsi="Times New Roman" w:cs="Times New Roman"/>
                <w:b w:val="0"/>
                <w:bCs w:val="0"/>
                <w:color w:val="auto"/>
                <w:sz w:val="24"/>
                <w:u w:val="none"/>
                <w:vertAlign w:val="subscript"/>
              </w:rPr>
              <w:t>0</w:t>
            </w:r>
            <w:r>
              <w:rPr>
                <w:rFonts w:hint="default" w:ascii="Times New Roman" w:hAnsi="Times New Roman" w:cs="Times New Roman"/>
                <w:b w:val="0"/>
                <w:bCs w:val="0"/>
                <w:color w:val="auto"/>
                <w:sz w:val="24"/>
                <w:u w:val="none"/>
              </w:rPr>
              <w:t>处的等效A声级值，dB(A)；</w:t>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r—</w:t>
            </w:r>
            <w:r>
              <w:rPr>
                <w:rFonts w:hint="default" w:ascii="Times New Roman" w:hAnsi="Times New Roman" w:cs="Times New Roman"/>
                <w:b w:val="0"/>
                <w:bCs w:val="0"/>
                <w:color w:val="auto"/>
                <w:sz w:val="24"/>
                <w:u w:val="none"/>
                <w:lang w:eastAsia="zh-CN"/>
              </w:rPr>
              <w:t>参照</w:t>
            </w:r>
            <w:r>
              <w:rPr>
                <w:rFonts w:hint="default" w:ascii="Times New Roman" w:hAnsi="Times New Roman" w:cs="Times New Roman"/>
                <w:b w:val="0"/>
                <w:bCs w:val="0"/>
                <w:color w:val="auto"/>
                <w:sz w:val="24"/>
                <w:u w:val="none"/>
              </w:rPr>
              <w:t>点距离噪声源距离，m；</w:t>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r</w:t>
            </w:r>
            <w:r>
              <w:rPr>
                <w:rFonts w:hint="default" w:ascii="Times New Roman" w:hAnsi="Times New Roman" w:cs="Times New Roman"/>
                <w:b w:val="0"/>
                <w:bCs w:val="0"/>
                <w:color w:val="auto"/>
                <w:sz w:val="24"/>
                <w:u w:val="none"/>
                <w:vertAlign w:val="subscript"/>
              </w:rPr>
              <w:t>0</w:t>
            </w:r>
            <w:r>
              <w:rPr>
                <w:rFonts w:hint="default" w:ascii="Times New Roman" w:hAnsi="Times New Roman" w:cs="Times New Roman"/>
                <w:b w:val="0"/>
                <w:bCs w:val="0"/>
                <w:color w:val="auto"/>
                <w:sz w:val="24"/>
                <w:u w:val="none"/>
              </w:rPr>
              <w:t>—声级为L</w:t>
            </w:r>
            <w:r>
              <w:rPr>
                <w:rFonts w:hint="default" w:ascii="Times New Roman" w:hAnsi="Times New Roman" w:cs="Times New Roman"/>
                <w:b w:val="0"/>
                <w:bCs w:val="0"/>
                <w:color w:val="auto"/>
                <w:sz w:val="24"/>
                <w:u w:val="none"/>
                <w:vertAlign w:val="subscript"/>
              </w:rPr>
              <w:t>0</w:t>
            </w:r>
            <w:r>
              <w:rPr>
                <w:rFonts w:hint="default" w:ascii="Times New Roman" w:hAnsi="Times New Roman" w:cs="Times New Roman"/>
                <w:b w:val="0"/>
                <w:bCs w:val="0"/>
                <w:color w:val="auto"/>
                <w:sz w:val="24"/>
                <w:u w:val="none"/>
              </w:rPr>
              <w:t>点距声源距离，r</w:t>
            </w:r>
            <w:r>
              <w:rPr>
                <w:rFonts w:hint="default" w:ascii="Times New Roman" w:hAnsi="Times New Roman" w:cs="Times New Roman"/>
                <w:b w:val="0"/>
                <w:bCs w:val="0"/>
                <w:color w:val="auto"/>
                <w:sz w:val="24"/>
                <w:u w:val="none"/>
                <w:vertAlign w:val="subscript"/>
              </w:rPr>
              <w:t>0</w:t>
            </w:r>
            <w:r>
              <w:rPr>
                <w:rFonts w:hint="default" w:ascii="Times New Roman" w:hAnsi="Times New Roman" w:cs="Times New Roman"/>
                <w:b w:val="0"/>
                <w:bCs w:val="0"/>
                <w:color w:val="auto"/>
                <w:sz w:val="24"/>
                <w:u w:val="none"/>
              </w:rPr>
              <w:t>=1m。</w:t>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噪声合成模式：</w:t>
            </w:r>
          </w:p>
          <w:p>
            <w:pPr>
              <w:keepNext w:val="0"/>
              <w:keepLines w:val="0"/>
              <w:pageBreakBefore w:val="0"/>
              <w:widowControl w:val="0"/>
              <w:bidi w:val="0"/>
              <w:spacing w:line="360" w:lineRule="auto"/>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position w:val="-28"/>
                <w:u w:val="none"/>
              </w:rPr>
              <w:drawing>
                <wp:inline distT="0" distB="0" distL="114300" distR="114300">
                  <wp:extent cx="1189990" cy="428625"/>
                  <wp:effectExtent l="0" t="0" r="0" b="825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27"/>
                          <a:stretch>
                            <a:fillRect/>
                          </a:stretch>
                        </pic:blipFill>
                        <pic:spPr>
                          <a:xfrm>
                            <a:off x="0" y="0"/>
                            <a:ext cx="1189990" cy="428625"/>
                          </a:xfrm>
                          <a:prstGeom prst="rect">
                            <a:avLst/>
                          </a:prstGeom>
                          <a:noFill/>
                          <a:ln>
                            <a:noFill/>
                          </a:ln>
                        </pic:spPr>
                      </pic:pic>
                    </a:graphicData>
                  </a:graphic>
                </wp:inline>
              </w:drawing>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式中：L—预测点噪声叠加值，dB(A)；</w:t>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Li—第i个声源的声压级，dB(A)；</w:t>
            </w:r>
          </w:p>
          <w:p>
            <w:pPr>
              <w:keepNext w:val="0"/>
              <w:keepLines w:val="0"/>
              <w:pageBreakBefore w:val="0"/>
              <w:widowControl w:val="0"/>
              <w:bidi w:val="0"/>
              <w:adjustRightInd w:val="0"/>
              <w:snapToGrid w:val="0"/>
              <w:spacing w:line="360" w:lineRule="auto"/>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r—</w:t>
            </w:r>
            <w:r>
              <w:rPr>
                <w:rFonts w:hint="default" w:ascii="Times New Roman" w:hAnsi="Times New Roman" w:cs="Times New Roman"/>
                <w:b w:val="0"/>
                <w:bCs w:val="0"/>
                <w:color w:val="auto"/>
                <w:sz w:val="24"/>
                <w:u w:val="none"/>
                <w:lang w:eastAsia="zh-CN"/>
              </w:rPr>
              <w:t>参照</w:t>
            </w:r>
            <w:r>
              <w:rPr>
                <w:rFonts w:hint="default" w:ascii="Times New Roman" w:hAnsi="Times New Roman" w:cs="Times New Roman"/>
                <w:b w:val="0"/>
                <w:bCs w:val="0"/>
                <w:color w:val="auto"/>
                <w:sz w:val="24"/>
                <w:u w:val="none"/>
              </w:rPr>
              <w:t>点距离噪声源距离，m；</w:t>
            </w:r>
          </w:p>
          <w:p>
            <w:pPr>
              <w:keepNext w:val="0"/>
              <w:keepLines w:val="0"/>
              <w:pageBreakBefore w:val="0"/>
              <w:widowControl w:val="0"/>
              <w:tabs>
                <w:tab w:val="left" w:pos="3638"/>
                <w:tab w:val="left" w:pos="8558"/>
              </w:tabs>
              <w:bidi w:val="0"/>
              <w:spacing w:line="360" w:lineRule="auto"/>
              <w:ind w:firstLine="480" w:firstLineChars="200"/>
              <w:jc w:val="both"/>
              <w:rPr>
                <w:rFonts w:hint="default" w:ascii="Times New Roman" w:hAnsi="Times New Roman" w:cs="Times New Roman"/>
                <w:b/>
                <w:bCs/>
                <w:color w:val="0000FF"/>
                <w:sz w:val="24"/>
                <w:u w:val="none"/>
              </w:rPr>
            </w:pPr>
            <w:r>
              <w:rPr>
                <w:rFonts w:hint="default" w:ascii="Times New Roman" w:hAnsi="Times New Roman" w:cs="Times New Roman"/>
                <w:b w:val="0"/>
                <w:bCs w:val="0"/>
                <w:color w:val="auto"/>
                <w:sz w:val="24"/>
                <w:u w:val="none"/>
              </w:rPr>
              <w:t>根据上述公式可计算出噪声源对全厂边界各方向噪声贡献值。项目四周边界噪声预测值见表</w:t>
            </w:r>
            <w:r>
              <w:rPr>
                <w:rFonts w:hint="eastAsia" w:ascii="Times New Roman" w:hAnsi="Times New Roman" w:cs="Times New Roman"/>
                <w:b w:val="0"/>
                <w:bCs w:val="0"/>
                <w:color w:val="auto"/>
                <w:sz w:val="24"/>
                <w:u w:val="none"/>
                <w:lang w:val="en-US" w:eastAsia="zh-CN"/>
              </w:rPr>
              <w:t>4-12</w:t>
            </w:r>
            <w:r>
              <w:rPr>
                <w:rFonts w:hint="default" w:ascii="Times New Roman" w:hAnsi="Times New Roman" w:cs="Times New Roman"/>
                <w:b w:val="0"/>
                <w:bCs w:val="0"/>
                <w:color w:val="auto"/>
                <w:sz w:val="24"/>
                <w:u w:val="none"/>
              </w:rPr>
              <w:t>。</w:t>
            </w:r>
          </w:p>
          <w:p>
            <w:pPr>
              <w:keepNext w:val="0"/>
              <w:keepLines w:val="0"/>
              <w:pageBreakBefore w:val="0"/>
              <w:widowControl w:val="0"/>
              <w:tabs>
                <w:tab w:val="left" w:pos="3638"/>
                <w:tab w:val="left" w:pos="8558"/>
              </w:tabs>
              <w:bidi w:val="0"/>
              <w:spacing w:line="520" w:lineRule="exact"/>
              <w:jc w:val="center"/>
              <w:rPr>
                <w:rFonts w:hint="default" w:ascii="Times New Roman" w:hAnsi="Times New Roman" w:eastAsia="黑体" w:cs="Times New Roman"/>
                <w:b/>
                <w:bCs/>
                <w:color w:val="auto"/>
                <w:u w:val="none"/>
              </w:rPr>
            </w:pPr>
            <w:r>
              <w:rPr>
                <w:rFonts w:hint="default" w:ascii="Times New Roman" w:hAnsi="Times New Roman" w:cs="Times New Roman"/>
                <w:b/>
                <w:bCs/>
                <w:color w:val="auto"/>
                <w:sz w:val="24"/>
                <w:u w:val="none"/>
              </w:rPr>
              <w:t>表4-</w:t>
            </w:r>
            <w:r>
              <w:rPr>
                <w:rFonts w:hint="eastAsia" w:ascii="Times New Roman" w:hAnsi="Times New Roman" w:cs="Times New Roman"/>
                <w:b/>
                <w:bCs/>
                <w:color w:val="auto"/>
                <w:sz w:val="24"/>
                <w:u w:val="none"/>
                <w:lang w:val="en-US" w:eastAsia="zh-CN"/>
              </w:rPr>
              <w:t>12</w:t>
            </w:r>
            <w:r>
              <w:rPr>
                <w:rFonts w:hint="default" w:ascii="Times New Roman" w:hAnsi="Times New Roman" w:cs="Times New Roman"/>
                <w:b/>
                <w:bCs/>
                <w:color w:val="auto"/>
                <w:sz w:val="24"/>
                <w:u w:val="none"/>
              </w:rPr>
              <w:t xml:space="preserve">  </w:t>
            </w:r>
            <w:r>
              <w:rPr>
                <w:rFonts w:hint="default" w:ascii="Times New Roman" w:hAnsi="Times New Roman" w:cs="Times New Roman"/>
                <w:b/>
                <w:bCs/>
                <w:color w:val="auto"/>
                <w:sz w:val="24"/>
                <w:u w:val="none"/>
                <w:lang w:val="en-US" w:eastAsia="zh-CN"/>
              </w:rPr>
              <w:t xml:space="preserve"> </w:t>
            </w:r>
            <w:r>
              <w:rPr>
                <w:rFonts w:hint="default" w:ascii="Times New Roman" w:hAnsi="Times New Roman" w:cs="Times New Roman"/>
                <w:b/>
                <w:bCs/>
                <w:color w:val="auto"/>
                <w:sz w:val="24"/>
                <w:u w:val="none"/>
                <w:lang w:eastAsia="zh-CN"/>
              </w:rPr>
              <w:t>厂界</w:t>
            </w:r>
            <w:r>
              <w:rPr>
                <w:rFonts w:hint="default" w:ascii="Times New Roman" w:hAnsi="Times New Roman" w:cs="Times New Roman"/>
                <w:b/>
                <w:bCs/>
                <w:color w:val="auto"/>
                <w:sz w:val="24"/>
                <w:u w:val="none"/>
              </w:rPr>
              <w:t>噪声预测结果一览表     单位</w:t>
            </w:r>
            <w:r>
              <w:rPr>
                <w:rFonts w:hint="default" w:ascii="Times New Roman" w:hAnsi="Times New Roman" w:eastAsia="黑体" w:cs="Times New Roman"/>
                <w:b/>
                <w:bCs/>
                <w:color w:val="auto"/>
                <w:u w:val="none"/>
              </w:rPr>
              <w:t>：</w:t>
            </w:r>
            <w:r>
              <w:rPr>
                <w:rFonts w:hint="default" w:ascii="Times New Roman" w:hAnsi="Times New Roman" w:eastAsia="Times New Roman" w:cs="Times New Roman"/>
                <w:b/>
                <w:bCs/>
                <w:color w:val="auto"/>
                <w:u w:val="none"/>
              </w:rPr>
              <w:t>dB</w:t>
            </w:r>
            <w:r>
              <w:rPr>
                <w:rFonts w:hint="default" w:ascii="Times New Roman" w:hAnsi="Times New Roman" w:eastAsia="黑体" w:cs="Times New Roman"/>
                <w:b/>
                <w:bCs/>
                <w:color w:val="auto"/>
                <w:u w:val="none"/>
              </w:rPr>
              <w:t>（</w:t>
            </w:r>
            <w:r>
              <w:rPr>
                <w:rFonts w:hint="default" w:ascii="Times New Roman" w:hAnsi="Times New Roman" w:eastAsia="Times New Roman" w:cs="Times New Roman"/>
                <w:b/>
                <w:bCs/>
                <w:color w:val="auto"/>
                <w:u w:val="none"/>
              </w:rPr>
              <w:t>A</w:t>
            </w:r>
            <w:r>
              <w:rPr>
                <w:rFonts w:hint="default" w:ascii="Times New Roman" w:hAnsi="Times New Roman" w:eastAsia="黑体" w:cs="Times New Roman"/>
                <w:b/>
                <w:bCs/>
                <w:color w:val="auto"/>
                <w:u w:val="none"/>
              </w:rPr>
              <w:t>）</w:t>
            </w:r>
          </w:p>
          <w:tbl>
            <w:tblPr>
              <w:tblStyle w:val="24"/>
              <w:tblW w:w="4997"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8" w:type="dxa"/>
                <w:bottom w:w="0" w:type="dxa"/>
                <w:right w:w="28" w:type="dxa"/>
              </w:tblCellMar>
            </w:tblPr>
            <w:tblGrid>
              <w:gridCol w:w="3112"/>
              <w:gridCol w:w="2676"/>
              <w:gridCol w:w="1948"/>
              <w:gridCol w:w="162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355" w:hRule="atLeast"/>
                <w:jc w:val="center"/>
              </w:trPr>
              <w:tc>
                <w:tcPr>
                  <w:tcW w:w="1663" w:type="pct"/>
                  <w:vMerge w:val="restar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预测点</w:t>
                  </w:r>
                </w:p>
              </w:tc>
              <w:tc>
                <w:tcPr>
                  <w:tcW w:w="1430"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cs="Times New Roman"/>
                      <w:b w:val="0"/>
                      <w:bCs w:val="0"/>
                      <w:color w:val="auto"/>
                      <w:sz w:val="21"/>
                      <w:szCs w:val="21"/>
                      <w:u w:val="none"/>
                      <w:lang w:eastAsia="zh-CN"/>
                    </w:rPr>
                    <w:t>贡献值</w:t>
                  </w:r>
                </w:p>
              </w:tc>
              <w:tc>
                <w:tcPr>
                  <w:tcW w:w="1041" w:type="pct"/>
                  <w:vMerge w:val="restar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执行</w:t>
                  </w:r>
                </w:p>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标准</w:t>
                  </w:r>
                </w:p>
              </w:tc>
              <w:tc>
                <w:tcPr>
                  <w:tcW w:w="864" w:type="pct"/>
                  <w:vMerge w:val="restar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达标</w:t>
                  </w:r>
                </w:p>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状况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355" w:hRule="atLeast"/>
                <w:jc w:val="center"/>
              </w:trPr>
              <w:tc>
                <w:tcPr>
                  <w:tcW w:w="1663" w:type="pct"/>
                  <w:vMerge w:val="continue"/>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p>
              </w:tc>
              <w:tc>
                <w:tcPr>
                  <w:tcW w:w="1430"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昼间</w:t>
                  </w:r>
                </w:p>
              </w:tc>
              <w:tc>
                <w:tcPr>
                  <w:tcW w:w="1041" w:type="pct"/>
                  <w:vMerge w:val="continue"/>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p>
              </w:tc>
              <w:tc>
                <w:tcPr>
                  <w:tcW w:w="864" w:type="pct"/>
                  <w:vMerge w:val="continue"/>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1663"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rPr>
                    <w:t>东厂界</w:t>
                  </w:r>
                  <w:r>
                    <w:rPr>
                      <w:rFonts w:hint="eastAsia" w:ascii="Times New Roman" w:hAnsi="Times New Roman" w:cs="Times New Roman"/>
                      <w:b w:val="0"/>
                      <w:bCs w:val="0"/>
                      <w:color w:val="auto"/>
                      <w:sz w:val="21"/>
                      <w:szCs w:val="21"/>
                      <w:u w:val="none"/>
                      <w:lang w:val="en-US" w:eastAsia="zh-CN"/>
                    </w:rPr>
                    <w:t>外1m</w:t>
                  </w:r>
                </w:p>
              </w:tc>
              <w:tc>
                <w:tcPr>
                  <w:tcW w:w="1430"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55.92</w:t>
                  </w:r>
                </w:p>
              </w:tc>
              <w:tc>
                <w:tcPr>
                  <w:tcW w:w="1041"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6</w:t>
                  </w:r>
                  <w:r>
                    <w:rPr>
                      <w:rFonts w:hint="eastAsia" w:ascii="Times New Roman" w:hAnsi="Times New Roman" w:cs="Times New Roman"/>
                      <w:b w:val="0"/>
                      <w:bCs w:val="0"/>
                      <w:color w:val="auto"/>
                      <w:sz w:val="21"/>
                      <w:szCs w:val="21"/>
                      <w:u w:val="none"/>
                      <w:lang w:val="en-US" w:eastAsia="zh-CN"/>
                    </w:rPr>
                    <w:t>5</w:t>
                  </w:r>
                </w:p>
              </w:tc>
              <w:tc>
                <w:tcPr>
                  <w:tcW w:w="864"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348" w:hRule="atLeast"/>
                <w:jc w:val="center"/>
              </w:trPr>
              <w:tc>
                <w:tcPr>
                  <w:tcW w:w="1663"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西厂界</w:t>
                  </w:r>
                  <w:r>
                    <w:rPr>
                      <w:rFonts w:hint="eastAsia" w:ascii="Times New Roman" w:hAnsi="Times New Roman" w:cs="Times New Roman"/>
                      <w:b w:val="0"/>
                      <w:bCs w:val="0"/>
                      <w:color w:val="auto"/>
                      <w:sz w:val="21"/>
                      <w:szCs w:val="21"/>
                      <w:u w:val="none"/>
                      <w:lang w:val="en-US" w:eastAsia="zh-CN"/>
                    </w:rPr>
                    <w:t>外1m</w:t>
                  </w:r>
                </w:p>
              </w:tc>
              <w:tc>
                <w:tcPr>
                  <w:tcW w:w="1430"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50.36</w:t>
                  </w:r>
                </w:p>
              </w:tc>
              <w:tc>
                <w:tcPr>
                  <w:tcW w:w="1041"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6</w:t>
                  </w:r>
                  <w:r>
                    <w:rPr>
                      <w:rFonts w:hint="eastAsia" w:ascii="Times New Roman" w:hAnsi="Times New Roman" w:cs="Times New Roman"/>
                      <w:b w:val="0"/>
                      <w:bCs w:val="0"/>
                      <w:color w:val="auto"/>
                      <w:sz w:val="21"/>
                      <w:szCs w:val="21"/>
                      <w:u w:val="none"/>
                      <w:lang w:val="en-US" w:eastAsia="zh-CN"/>
                    </w:rPr>
                    <w:t>5</w:t>
                  </w:r>
                </w:p>
              </w:tc>
              <w:tc>
                <w:tcPr>
                  <w:tcW w:w="864"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373" w:hRule="atLeast"/>
                <w:jc w:val="center"/>
              </w:trPr>
              <w:tc>
                <w:tcPr>
                  <w:tcW w:w="1663"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南厂界</w:t>
                  </w:r>
                  <w:r>
                    <w:rPr>
                      <w:rFonts w:hint="eastAsia" w:ascii="Times New Roman" w:hAnsi="Times New Roman" w:cs="Times New Roman"/>
                      <w:b w:val="0"/>
                      <w:bCs w:val="0"/>
                      <w:color w:val="auto"/>
                      <w:sz w:val="21"/>
                      <w:szCs w:val="21"/>
                      <w:u w:val="none"/>
                      <w:lang w:val="en-US" w:eastAsia="zh-CN"/>
                    </w:rPr>
                    <w:t>外1m</w:t>
                  </w:r>
                </w:p>
              </w:tc>
              <w:tc>
                <w:tcPr>
                  <w:tcW w:w="1430"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57.5</w:t>
                  </w:r>
                  <w:r>
                    <w:rPr>
                      <w:rFonts w:hint="eastAsia" w:cs="Times New Roman"/>
                      <w:b w:val="0"/>
                      <w:bCs w:val="0"/>
                      <w:color w:val="auto"/>
                      <w:sz w:val="21"/>
                      <w:szCs w:val="21"/>
                      <w:u w:val="none"/>
                      <w:lang w:val="en-US" w:eastAsia="zh-CN"/>
                    </w:rPr>
                    <w:t>1</w:t>
                  </w:r>
                </w:p>
              </w:tc>
              <w:tc>
                <w:tcPr>
                  <w:tcW w:w="1041"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6</w:t>
                  </w:r>
                  <w:r>
                    <w:rPr>
                      <w:rFonts w:hint="eastAsia" w:ascii="Times New Roman" w:hAnsi="Times New Roman" w:cs="Times New Roman"/>
                      <w:b w:val="0"/>
                      <w:bCs w:val="0"/>
                      <w:color w:val="auto"/>
                      <w:sz w:val="21"/>
                      <w:szCs w:val="21"/>
                      <w:u w:val="none"/>
                      <w:lang w:val="en-US" w:eastAsia="zh-CN"/>
                    </w:rPr>
                    <w:t>5</w:t>
                  </w:r>
                </w:p>
              </w:tc>
              <w:tc>
                <w:tcPr>
                  <w:tcW w:w="864"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373" w:hRule="atLeast"/>
                <w:jc w:val="center"/>
              </w:trPr>
              <w:tc>
                <w:tcPr>
                  <w:tcW w:w="1663"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北厂界</w:t>
                  </w:r>
                  <w:r>
                    <w:rPr>
                      <w:rFonts w:hint="eastAsia" w:ascii="Times New Roman" w:hAnsi="Times New Roman" w:cs="Times New Roman"/>
                      <w:b w:val="0"/>
                      <w:bCs w:val="0"/>
                      <w:color w:val="auto"/>
                      <w:sz w:val="21"/>
                      <w:szCs w:val="21"/>
                      <w:u w:val="none"/>
                      <w:lang w:val="en-US" w:eastAsia="zh-CN"/>
                    </w:rPr>
                    <w:t>外1m</w:t>
                  </w:r>
                </w:p>
              </w:tc>
              <w:tc>
                <w:tcPr>
                  <w:tcW w:w="1430"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51.79</w:t>
                  </w:r>
                </w:p>
              </w:tc>
              <w:tc>
                <w:tcPr>
                  <w:tcW w:w="1041"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6</w:t>
                  </w:r>
                  <w:r>
                    <w:rPr>
                      <w:rFonts w:hint="eastAsia" w:ascii="Times New Roman" w:hAnsi="Times New Roman" w:cs="Times New Roman"/>
                      <w:b w:val="0"/>
                      <w:bCs w:val="0"/>
                      <w:color w:val="auto"/>
                      <w:sz w:val="21"/>
                      <w:szCs w:val="21"/>
                      <w:u w:val="none"/>
                      <w:lang w:val="en-US" w:eastAsia="zh-CN"/>
                    </w:rPr>
                    <w:t>5</w:t>
                  </w:r>
                </w:p>
              </w:tc>
              <w:tc>
                <w:tcPr>
                  <w:tcW w:w="864" w:type="pct"/>
                  <w:tcBorders>
                    <w:tl2br w:val="nil"/>
                    <w:tr2bl w:val="nil"/>
                  </w:tcBorders>
                  <w:noWrap w:val="0"/>
                  <w:vAlign w:val="center"/>
                </w:tcPr>
                <w:p>
                  <w:pPr>
                    <w:keepNext w:val="0"/>
                    <w:keepLines w:val="0"/>
                    <w:pageBreakBefore w:val="0"/>
                    <w:widowControl w:val="0"/>
                    <w:bidi w:val="0"/>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000" w:type="pct"/>
                  <w:gridSpan w:val="4"/>
                  <w:tcBorders>
                    <w:tl2br w:val="nil"/>
                    <w:tr2bl w:val="nil"/>
                  </w:tcBorders>
                  <w:noWrap w:val="0"/>
                  <w:vAlign w:val="center"/>
                </w:tcPr>
                <w:p>
                  <w:pPr>
                    <w:keepNext w:val="0"/>
                    <w:keepLines w:val="0"/>
                    <w:pageBreakBefore w:val="0"/>
                    <w:widowControl w:val="0"/>
                    <w:bidi w:val="0"/>
                    <w:spacing w:line="360" w:lineRule="exact"/>
                    <w:jc w:val="left"/>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注：因企业租赁现有厂房，故生产厂房边界即厂区边界，厂房外1m的噪声叠加值即厂界噪声预测的贡献值</w:t>
                  </w:r>
                </w:p>
              </w:tc>
            </w:tr>
          </w:tbl>
          <w:p>
            <w:pPr>
              <w:pStyle w:val="10"/>
              <w:keepNext w:val="0"/>
              <w:keepLines w:val="0"/>
              <w:pageBreakBefore w:val="0"/>
              <w:widowControl w:val="0"/>
              <w:kinsoku/>
              <w:wordWrap w:val="0"/>
              <w:overflowPunct/>
              <w:topLinePunct/>
              <w:autoSpaceDE/>
              <w:autoSpaceDN/>
              <w:bidi w:val="0"/>
              <w:adjustRightInd w:val="0"/>
              <w:snapToGrid/>
              <w:spacing w:before="0" w:after="0" w:line="360" w:lineRule="auto"/>
              <w:ind w:right="0" w:firstLine="480" w:firstLineChars="200"/>
              <w:jc w:val="both"/>
              <w:textAlignment w:val="auto"/>
              <w:rPr>
                <w:rFonts w:hint="default" w:ascii="Times New Roman" w:hAnsi="Times New Roman" w:cs="Times New Roman"/>
                <w:b w:val="0"/>
                <w:bCs w:val="0"/>
                <w:color w:val="000000"/>
                <w:sz w:val="24"/>
                <w:szCs w:val="24"/>
                <w:u w:val="none"/>
              </w:rPr>
            </w:pPr>
            <w:r>
              <w:rPr>
                <w:rFonts w:hint="default" w:ascii="Times New Roman" w:hAnsi="Times New Roman" w:cs="Times New Roman"/>
                <w:b w:val="0"/>
                <w:bCs w:val="0"/>
                <w:color w:val="auto"/>
                <w:sz w:val="24"/>
                <w:szCs w:val="24"/>
                <w:u w:val="none"/>
              </w:rPr>
              <w:t>经预测，项目噪声在采取相应的降噪措施后，</w:t>
            </w:r>
            <w:r>
              <w:rPr>
                <w:rFonts w:hint="default" w:ascii="Times New Roman" w:hAnsi="Times New Roman" w:cs="Times New Roman"/>
                <w:b w:val="0"/>
                <w:bCs w:val="0"/>
                <w:color w:val="000000"/>
                <w:sz w:val="24"/>
                <w:szCs w:val="24"/>
                <w:u w:val="none"/>
              </w:rPr>
              <w:t>项目建成后项目厂界昼间噪声预测值均可满足《工业企业厂界环境噪声排放标准》（GB12348-2008）中</w:t>
            </w:r>
            <w:r>
              <w:rPr>
                <w:rFonts w:hint="eastAsia" w:ascii="Times New Roman" w:hAnsi="Times New Roman" w:cs="Times New Roman"/>
                <w:b w:val="0"/>
                <w:bCs w:val="0"/>
                <w:color w:val="000000"/>
                <w:sz w:val="24"/>
                <w:szCs w:val="24"/>
                <w:u w:val="none"/>
                <w:lang w:val="en-US" w:eastAsia="zh-CN"/>
              </w:rPr>
              <w:t>3</w:t>
            </w:r>
            <w:r>
              <w:rPr>
                <w:rFonts w:hint="default" w:ascii="Times New Roman" w:hAnsi="Times New Roman" w:cs="Times New Roman"/>
                <w:b w:val="0"/>
                <w:bCs w:val="0"/>
                <w:color w:val="000000"/>
                <w:sz w:val="24"/>
                <w:szCs w:val="24"/>
                <w:u w:val="none"/>
              </w:rPr>
              <w:t>类昼间排放限值要求，措施可行，项目营运期噪声对周围环境的影响较小。</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（4）防治措施</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本环评建议建设单位需要采取以下的隔声、降噪措施</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①总平面布置：从总平面布置的角度出发，</w:t>
            </w:r>
            <w:r>
              <w:rPr>
                <w:rFonts w:hint="default" w:ascii="Times New Roman" w:hAnsi="Times New Roman" w:cs="Times New Roman"/>
                <w:b w:val="0"/>
                <w:bCs w:val="0"/>
                <w:sz w:val="24"/>
                <w:szCs w:val="24"/>
                <w:u w:val="none"/>
                <w:lang w:val="en-US" w:eastAsia="zh-CN"/>
              </w:rPr>
              <w:t>项目高噪声设备</w:t>
            </w:r>
            <w:r>
              <w:rPr>
                <w:rFonts w:hint="default" w:ascii="Times New Roman" w:hAnsi="Times New Roman" w:eastAsia="宋体" w:cs="Times New Roman"/>
                <w:b w:val="0"/>
                <w:bCs w:val="0"/>
                <w:sz w:val="24"/>
                <w:szCs w:val="24"/>
                <w:u w:val="none"/>
                <w:lang w:val="en-US" w:eastAsia="zh-CN"/>
              </w:rPr>
              <w:t>设置于全封闭的生产车间内，并在周围种植绿化带，以阻隔噪声的传播和干扰。同时在工厂总体布置上利用建筑物、构筑物来阻隔声波的传播。</w:t>
            </w:r>
          </w:p>
          <w:p>
            <w:pPr>
              <w:pStyle w:val="2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②加强治理：项目应选用低噪声设备，并设置减震基础。</w:t>
            </w:r>
          </w:p>
          <w:p>
            <w:pPr>
              <w:pStyle w:val="2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③加强管理：建立设备定期维护，保养的管理制度，以防止设备故障形成的非正常生产噪声，同时确保环保措施发挥最佳有效的功能；加强职工环保意识教育，提倡文明生产，防止人为噪声；强化行车管理制度，设置降噪标准，严禁鸣号，进入厂区低速行驶，最大限度减少流动噪声源。</w:t>
            </w:r>
          </w:p>
          <w:p>
            <w:pPr>
              <w:pStyle w:val="2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④加强厂区绿化：在本项目厂内各噪声源与厂界设置隔离带，在隔离带种植花草树木，进行厂区绿化，并建挡墙，以进一步减轻设备噪声对环境的影响。</w:t>
            </w:r>
          </w:p>
          <w:p>
            <w:pPr>
              <w:pStyle w:val="2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在实行以上措施后，可以大大减轻生产噪声对周围环境的影响，预计项目生产噪声对周围环境影响不大。</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监测要求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根据《排污单位自行监测技术指南</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总则》（HJ819-2017）中相关规定，并结合企业实际情况，本次评价提出如下噪声监测计划，详见下表：</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sz w:val="24"/>
                <w:szCs w:val="24"/>
                <w:lang w:val="en-US" w:eastAsia="zh-CN"/>
              </w:rPr>
            </w:pPr>
            <w:r>
              <w:rPr>
                <w:rFonts w:hint="default" w:ascii="Times New Roman" w:hAnsi="Times New Roman" w:eastAsia="宋体" w:cs="Times New Roman"/>
                <w:b/>
                <w:bCs/>
                <w:color w:val="auto"/>
                <w:spacing w:val="0"/>
                <w:sz w:val="24"/>
                <w:szCs w:val="24"/>
                <w:lang w:val="en-US" w:eastAsia="zh-CN"/>
              </w:rPr>
              <w:t>表</w:t>
            </w:r>
            <w:r>
              <w:rPr>
                <w:rFonts w:hint="default" w:ascii="Times New Roman" w:hAnsi="Times New Roman" w:cs="Times New Roman"/>
                <w:b/>
                <w:bCs/>
                <w:color w:val="auto"/>
                <w:spacing w:val="0"/>
                <w:sz w:val="24"/>
                <w:szCs w:val="24"/>
                <w:lang w:val="en-US" w:eastAsia="zh-CN"/>
              </w:rPr>
              <w:t>4-1</w:t>
            </w:r>
            <w:r>
              <w:rPr>
                <w:rFonts w:hint="eastAsia" w:cs="Times New Roman"/>
                <w:b/>
                <w:bCs/>
                <w:color w:val="auto"/>
                <w:spacing w:val="0"/>
                <w:sz w:val="24"/>
                <w:szCs w:val="24"/>
                <w:lang w:val="en-US" w:eastAsia="zh-CN"/>
              </w:rPr>
              <w:t>3</w:t>
            </w:r>
            <w:r>
              <w:rPr>
                <w:rFonts w:hint="default" w:ascii="Times New Roman" w:hAnsi="Times New Roman" w:eastAsia="宋体" w:cs="Times New Roman"/>
                <w:b/>
                <w:bCs/>
                <w:color w:val="auto"/>
                <w:spacing w:val="0"/>
                <w:sz w:val="24"/>
                <w:szCs w:val="24"/>
                <w:lang w:val="en-US" w:eastAsia="zh-CN"/>
              </w:rPr>
              <w:t>噪声监测内容及监测频次</w:t>
            </w:r>
          </w:p>
          <w:tbl>
            <w:tblPr>
              <w:tblStyle w:val="24"/>
              <w:tblW w:w="4998"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1017"/>
              <w:gridCol w:w="1070"/>
              <w:gridCol w:w="1852"/>
              <w:gridCol w:w="2234"/>
              <w:gridCol w:w="3175"/>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301" w:hRule="atLeast"/>
                <w:jc w:val="center"/>
              </w:trPr>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检测内容</w:t>
                  </w:r>
                </w:p>
              </w:tc>
              <w:tc>
                <w:tcPr>
                  <w:tcW w:w="57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监测点位</w:t>
                  </w:r>
                </w:p>
              </w:tc>
              <w:tc>
                <w:tcPr>
                  <w:tcW w:w="9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检测项目</w:t>
                  </w:r>
                </w:p>
              </w:tc>
              <w:tc>
                <w:tcPr>
                  <w:tcW w:w="119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监测频次</w:t>
                  </w:r>
                </w:p>
              </w:tc>
              <w:tc>
                <w:tcPr>
                  <w:tcW w:w="169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备注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301" w:hRule="atLeast"/>
                <w:jc w:val="center"/>
              </w:trPr>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噪声</w:t>
                  </w:r>
                </w:p>
              </w:tc>
              <w:tc>
                <w:tcPr>
                  <w:tcW w:w="57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厂界外1m</w:t>
                  </w:r>
                </w:p>
              </w:tc>
              <w:tc>
                <w:tcPr>
                  <w:tcW w:w="9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昼间、夜间Leq（A）</w:t>
                  </w:r>
                </w:p>
              </w:tc>
              <w:tc>
                <w:tcPr>
                  <w:tcW w:w="119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每半年1次，昼夜各一次</w:t>
                  </w:r>
                </w:p>
              </w:tc>
              <w:tc>
                <w:tcPr>
                  <w:tcW w:w="169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委托有监测资质的单位实施监测</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sz w:val="24"/>
                <w:lang w:val="en-US" w:eastAsia="zh-CN"/>
              </w:rPr>
            </w:pPr>
            <w:r>
              <w:rPr>
                <w:rFonts w:hint="default" w:ascii="Times New Roman" w:hAnsi="Times New Roman" w:cs="Times New Roman"/>
                <w:b/>
                <w:sz w:val="24"/>
                <w:lang w:val="en-US" w:eastAsia="zh-CN"/>
              </w:rPr>
              <w:t>4</w:t>
            </w:r>
            <w:r>
              <w:rPr>
                <w:rFonts w:hint="default" w:ascii="Times New Roman" w:hAnsi="Times New Roman" w:eastAsia="宋体" w:cs="Times New Roman"/>
                <w:b/>
                <w:sz w:val="24"/>
                <w:lang w:val="en-US" w:eastAsia="zh-CN"/>
              </w:rPr>
              <w:t>、固</w:t>
            </w:r>
            <w:r>
              <w:rPr>
                <w:rFonts w:hint="default" w:ascii="Times New Roman" w:hAnsi="Times New Roman" w:cs="Times New Roman"/>
                <w:b/>
                <w:sz w:val="24"/>
                <w:lang w:val="en-US" w:eastAsia="zh-CN"/>
              </w:rPr>
              <w:t>体</w:t>
            </w:r>
            <w:r>
              <w:rPr>
                <w:rFonts w:hint="default" w:ascii="Times New Roman" w:hAnsi="Times New Roman" w:eastAsia="宋体" w:cs="Times New Roman"/>
                <w:b/>
                <w:sz w:val="24"/>
                <w:lang w:val="en-US" w:eastAsia="zh-CN"/>
              </w:rPr>
              <w:t>废</w:t>
            </w:r>
            <w:r>
              <w:rPr>
                <w:rFonts w:hint="default" w:ascii="Times New Roman" w:hAnsi="Times New Roman" w:cs="Times New Roman"/>
                <w:b/>
                <w:sz w:val="24"/>
                <w:lang w:val="en-US" w:eastAsia="zh-CN"/>
              </w:rPr>
              <w:t>物环境影响和保护措施</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产生环节及名称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项目运行过程产生的一般固废主要为</w:t>
            </w:r>
            <w:r>
              <w:rPr>
                <w:rFonts w:hint="eastAsia" w:cs="Times New Roman"/>
                <w:b w:val="0"/>
                <w:bCs w:val="0"/>
                <w:sz w:val="24"/>
                <w:szCs w:val="24"/>
                <w:u w:val="none"/>
                <w:lang w:val="en-US" w:eastAsia="zh-CN"/>
              </w:rPr>
              <w:t>切割工序产生的</w:t>
            </w:r>
            <w:r>
              <w:rPr>
                <w:rFonts w:hint="default" w:ascii="Times New Roman" w:hAnsi="Times New Roman" w:eastAsia="宋体" w:cs="Times New Roman"/>
                <w:bCs/>
                <w:color w:val="auto"/>
                <w:sz w:val="24"/>
                <w:highlight w:val="none"/>
              </w:rPr>
              <w:t>废边角料</w:t>
            </w:r>
            <w:r>
              <w:rPr>
                <w:rFonts w:hint="default" w:ascii="Times New Roman" w:hAnsi="Times New Roman" w:eastAsia="宋体" w:cs="Times New Roman"/>
                <w:bCs/>
                <w:color w:val="auto"/>
                <w:sz w:val="24"/>
                <w:highlight w:val="none"/>
                <w:lang w:eastAsia="zh-CN"/>
              </w:rPr>
              <w:t>、</w:t>
            </w:r>
            <w:r>
              <w:rPr>
                <w:rFonts w:hint="default" w:ascii="Times New Roman" w:hAnsi="Times New Roman" w:cs="Times New Roman"/>
                <w:b w:val="0"/>
                <w:bCs w:val="0"/>
                <w:sz w:val="24"/>
                <w:szCs w:val="24"/>
                <w:u w:val="none"/>
                <w:lang w:val="en-US" w:eastAsia="zh-CN"/>
              </w:rPr>
              <w:t>除尘器收集尘以及职工生活垃圾；危险废物主要为废机油、</w:t>
            </w:r>
            <w:r>
              <w:rPr>
                <w:rFonts w:hint="eastAsia" w:cs="Times New Roman"/>
                <w:b w:val="0"/>
                <w:bCs w:val="0"/>
                <w:sz w:val="24"/>
                <w:szCs w:val="24"/>
                <w:u w:val="none"/>
                <w:lang w:val="en-US" w:eastAsia="zh-CN"/>
              </w:rPr>
              <w:t>废润滑油、</w:t>
            </w:r>
            <w:r>
              <w:rPr>
                <w:rFonts w:hint="default" w:ascii="Times New Roman" w:hAnsi="Times New Roman" w:cs="Times New Roman"/>
                <w:b w:val="0"/>
                <w:bCs w:val="0"/>
                <w:sz w:val="24"/>
                <w:szCs w:val="24"/>
                <w:u w:val="none"/>
                <w:lang w:val="en-US" w:eastAsia="zh-CN"/>
              </w:rPr>
              <w:t>废活性炭</w:t>
            </w:r>
            <w:r>
              <w:rPr>
                <w:rFonts w:hint="eastAsia" w:cs="Times New Roman"/>
                <w:b w:val="0"/>
                <w:bCs w:val="0"/>
                <w:sz w:val="24"/>
                <w:szCs w:val="24"/>
                <w:u w:val="none"/>
                <w:lang w:val="en-US" w:eastAsia="zh-CN"/>
              </w:rPr>
              <w:t>、废UV灯管以及废催化板</w:t>
            </w:r>
            <w:r>
              <w:rPr>
                <w:rFonts w:hint="default" w:ascii="Times New Roman" w:hAnsi="Times New Roman" w:cs="Times New Roman"/>
                <w:b w:val="0"/>
                <w:bCs w:val="0"/>
                <w:sz w:val="24"/>
                <w:szCs w:val="24"/>
                <w:u w:val="no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固废产生量及去向</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一般固体废物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spacing w:val="-10"/>
                <w:sz w:val="24"/>
                <w:szCs w:val="24"/>
                <w:u w:val="none"/>
                <w:lang w:val="en-US" w:eastAsia="zh-CN"/>
              </w:rPr>
            </w:pPr>
            <w:r>
              <w:rPr>
                <w:rFonts w:hint="default" w:ascii="Times New Roman" w:hAnsi="Times New Roman" w:cs="Times New Roman"/>
                <w:b/>
                <w:bCs/>
                <w:color w:val="auto"/>
                <w:sz w:val="24"/>
                <w:u w:val="none"/>
                <w:lang w:val="en-US" w:eastAsia="zh-CN"/>
              </w:rPr>
              <w:t>（1）职工生活垃圾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项目营运后职工定员</w:t>
            </w:r>
            <w:r>
              <w:rPr>
                <w:rFonts w:hint="eastAsia" w:cs="Times New Roman"/>
                <w:b w:val="0"/>
                <w:bCs w:val="0"/>
                <w:sz w:val="24"/>
                <w:szCs w:val="24"/>
                <w:u w:val="none"/>
                <w:lang w:val="en-US" w:eastAsia="zh-CN"/>
              </w:rPr>
              <w:t>10</w:t>
            </w:r>
            <w:r>
              <w:rPr>
                <w:rFonts w:hint="default" w:ascii="Times New Roman" w:hAnsi="Times New Roman" w:cs="Times New Roman"/>
                <w:b w:val="0"/>
                <w:bCs w:val="0"/>
                <w:sz w:val="24"/>
                <w:szCs w:val="24"/>
                <w:u w:val="none"/>
                <w:lang w:val="en-US" w:eastAsia="zh-CN"/>
              </w:rPr>
              <w:t>人，职工生活垃圾产生量按每人每天0.5kg计，则生活垃圾产生量</w:t>
            </w:r>
            <w:r>
              <w:rPr>
                <w:rFonts w:hint="eastAsia" w:cs="Times New Roman"/>
                <w:b w:val="0"/>
                <w:bCs w:val="0"/>
                <w:sz w:val="24"/>
                <w:szCs w:val="24"/>
                <w:u w:val="none"/>
                <w:lang w:val="en-US" w:eastAsia="zh-CN"/>
              </w:rPr>
              <w:t>5</w:t>
            </w:r>
            <w:r>
              <w:rPr>
                <w:rFonts w:hint="default" w:ascii="Times New Roman" w:hAnsi="Times New Roman" w:cs="Times New Roman"/>
                <w:b w:val="0"/>
                <w:bCs w:val="0"/>
                <w:sz w:val="24"/>
                <w:szCs w:val="24"/>
                <w:u w:val="none"/>
                <w:lang w:val="en-US" w:eastAsia="zh-CN"/>
              </w:rPr>
              <w:t>kg/d、</w:t>
            </w:r>
            <w:r>
              <w:rPr>
                <w:rFonts w:hint="eastAsia" w:cs="Times New Roman"/>
                <w:b w:val="0"/>
                <w:bCs w:val="0"/>
                <w:sz w:val="24"/>
                <w:szCs w:val="24"/>
                <w:u w:val="none"/>
                <w:lang w:val="en-US" w:eastAsia="zh-CN"/>
              </w:rPr>
              <w:t>1.5</w:t>
            </w:r>
            <w:r>
              <w:rPr>
                <w:rFonts w:hint="default" w:ascii="Times New Roman" w:hAnsi="Times New Roman" w:cs="Times New Roman"/>
                <w:b w:val="0"/>
                <w:bCs w:val="0"/>
                <w:sz w:val="24"/>
                <w:szCs w:val="24"/>
                <w:u w:val="none"/>
                <w:lang w:val="en-US" w:eastAsia="zh-CN"/>
              </w:rPr>
              <w:t>t/a。项目厂区内配设分类垃圾收集桶，生活垃圾经收集后交由环卫部门统一处理。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（2）</w:t>
            </w:r>
            <w:r>
              <w:rPr>
                <w:rFonts w:hint="eastAsia" w:cs="Times New Roman"/>
                <w:b/>
                <w:bCs/>
                <w:color w:val="auto"/>
                <w:sz w:val="24"/>
                <w:u w:val="none"/>
                <w:lang w:val="en-US" w:eastAsia="zh-CN"/>
              </w:rPr>
              <w:t>废边角料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outlineLvl w:val="9"/>
              <w:rPr>
                <w:rFonts w:hint="default" w:ascii="Times New Roman" w:hAnsi="Times New Roman" w:eastAsia="宋体" w:cs="Times New Roman"/>
                <w:b w:val="0"/>
                <w:bCs/>
                <w:color w:val="auto"/>
                <w:kern w:val="0"/>
                <w:sz w:val="24"/>
                <w:szCs w:val="24"/>
              </w:rPr>
            </w:pPr>
            <w:r>
              <w:rPr>
                <w:rFonts w:hint="default" w:ascii="Times New Roman" w:hAnsi="Times New Roman" w:eastAsia="宋体" w:cs="Times New Roman"/>
                <w:b w:val="0"/>
                <w:bCs w:val="0"/>
                <w:color w:val="auto"/>
                <w:sz w:val="24"/>
                <w:szCs w:val="24"/>
                <w:u w:val="none"/>
                <w:lang w:val="en-US" w:eastAsia="zh-CN"/>
              </w:rPr>
              <w:t>根据</w:t>
            </w:r>
            <w:r>
              <w:rPr>
                <w:rFonts w:hint="eastAsia" w:cs="Times New Roman"/>
                <w:b w:val="0"/>
                <w:bCs w:val="0"/>
                <w:color w:val="auto"/>
                <w:sz w:val="24"/>
                <w:szCs w:val="24"/>
                <w:u w:val="none"/>
                <w:lang w:val="en-US" w:eastAsia="zh-CN"/>
              </w:rPr>
              <w:t>物料衡算</w:t>
            </w:r>
            <w:r>
              <w:rPr>
                <w:rFonts w:hint="default"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color w:val="auto"/>
                <w:kern w:val="0"/>
                <w:sz w:val="24"/>
                <w:szCs w:val="24"/>
                <w:highlight w:val="none"/>
                <w:lang w:val="en-US" w:eastAsia="zh-CN"/>
              </w:rPr>
              <w:t>项目切割</w:t>
            </w:r>
            <w:r>
              <w:rPr>
                <w:rFonts w:hint="default" w:ascii="Times New Roman" w:hAnsi="Times New Roman" w:eastAsia="宋体" w:cs="Times New Roman"/>
                <w:bCs/>
                <w:color w:val="auto"/>
                <w:sz w:val="24"/>
                <w:highlight w:val="none"/>
                <w:lang w:val="en-US" w:eastAsia="zh-CN"/>
              </w:rPr>
              <w:t>工序</w:t>
            </w:r>
            <w:r>
              <w:rPr>
                <w:rFonts w:hint="default" w:ascii="Times New Roman" w:hAnsi="Times New Roman" w:eastAsia="宋体" w:cs="Times New Roman"/>
                <w:b w:val="0"/>
                <w:bCs/>
                <w:color w:val="auto"/>
                <w:kern w:val="0"/>
                <w:sz w:val="24"/>
                <w:szCs w:val="24"/>
                <w:highlight w:val="none"/>
                <w:lang w:val="en-US" w:eastAsia="zh-CN"/>
              </w:rPr>
              <w:t>会</w:t>
            </w:r>
            <w:r>
              <w:rPr>
                <w:rFonts w:hint="default" w:ascii="Times New Roman" w:hAnsi="Times New Roman" w:eastAsia="宋体" w:cs="Times New Roman"/>
                <w:b w:val="0"/>
                <w:bCs/>
                <w:color w:val="auto"/>
                <w:kern w:val="0"/>
                <w:sz w:val="24"/>
                <w:szCs w:val="24"/>
              </w:rPr>
              <w:t>产生</w:t>
            </w:r>
            <w:r>
              <w:rPr>
                <w:rFonts w:hint="default" w:ascii="Times New Roman" w:hAnsi="Times New Roman" w:eastAsia="宋体" w:cs="Times New Roman"/>
                <w:b w:val="0"/>
                <w:bCs/>
                <w:color w:val="auto"/>
                <w:kern w:val="0"/>
                <w:sz w:val="24"/>
                <w:szCs w:val="24"/>
                <w:lang w:val="en-US" w:eastAsia="zh-CN"/>
              </w:rPr>
              <w:t>废边角料</w:t>
            </w:r>
            <w:r>
              <w:rPr>
                <w:rFonts w:hint="default" w:ascii="Times New Roman" w:hAnsi="Times New Roman" w:eastAsia="宋体" w:cs="Times New Roman"/>
                <w:b w:val="0"/>
                <w:bCs/>
                <w:color w:val="auto"/>
                <w:kern w:val="0"/>
                <w:sz w:val="24"/>
                <w:szCs w:val="24"/>
              </w:rPr>
              <w:t>，其产生量</w:t>
            </w:r>
            <w:r>
              <w:rPr>
                <w:rFonts w:hint="default" w:ascii="Times New Roman" w:hAnsi="Times New Roman" w:eastAsia="宋体" w:cs="Times New Roman"/>
                <w:b w:val="0"/>
                <w:bCs/>
                <w:color w:val="auto"/>
                <w:kern w:val="0"/>
                <w:sz w:val="24"/>
                <w:szCs w:val="24"/>
                <w:lang w:val="en-US" w:eastAsia="zh-CN"/>
              </w:rPr>
              <w:t>约</w:t>
            </w:r>
            <w:r>
              <w:rPr>
                <w:rFonts w:hint="default" w:ascii="Times New Roman" w:hAnsi="Times New Roman" w:eastAsia="宋体" w:cs="Times New Roman"/>
                <w:b w:val="0"/>
                <w:bCs/>
                <w:color w:val="auto"/>
                <w:kern w:val="0"/>
                <w:sz w:val="24"/>
                <w:szCs w:val="24"/>
                <w:highlight w:val="none"/>
              </w:rPr>
              <w:t>为</w:t>
            </w:r>
            <w:r>
              <w:rPr>
                <w:rFonts w:hint="eastAsia" w:ascii="Times New Roman" w:hAnsi="Times New Roman" w:cs="Times New Roman"/>
                <w:b w:val="0"/>
                <w:bCs/>
                <w:color w:val="auto"/>
                <w:kern w:val="0"/>
                <w:sz w:val="24"/>
                <w:szCs w:val="24"/>
                <w:highlight w:val="none"/>
                <w:lang w:val="en-US" w:eastAsia="zh-CN"/>
              </w:rPr>
              <w:t>7.979</w:t>
            </w:r>
            <w:r>
              <w:rPr>
                <w:rFonts w:hint="default" w:ascii="Times New Roman" w:hAnsi="Times New Roman" w:eastAsia="宋体" w:cs="Times New Roman"/>
                <w:b w:val="0"/>
                <w:bCs/>
                <w:color w:val="auto"/>
                <w:kern w:val="0"/>
                <w:sz w:val="24"/>
                <w:szCs w:val="24"/>
                <w:highlight w:val="none"/>
              </w:rPr>
              <w:t>t/</w:t>
            </w:r>
            <w:r>
              <w:rPr>
                <w:rFonts w:hint="default" w:ascii="Times New Roman" w:hAnsi="Times New Roman" w:eastAsia="宋体" w:cs="Times New Roman"/>
                <w:b w:val="0"/>
                <w:bCs/>
                <w:color w:val="auto"/>
                <w:kern w:val="0"/>
                <w:sz w:val="24"/>
                <w:szCs w:val="24"/>
              </w:rPr>
              <w:t>a，该类固废经收集后，存放于一般固废暂存</w:t>
            </w:r>
            <w:r>
              <w:rPr>
                <w:rFonts w:hint="eastAsia" w:cs="Times New Roman"/>
                <w:b w:val="0"/>
                <w:bCs/>
                <w:color w:val="auto"/>
                <w:kern w:val="0"/>
                <w:sz w:val="24"/>
                <w:szCs w:val="24"/>
                <w:lang w:val="en-US" w:eastAsia="zh-CN"/>
              </w:rPr>
              <w:t>区</w:t>
            </w:r>
            <w:r>
              <w:rPr>
                <w:rFonts w:hint="default" w:ascii="Times New Roman" w:hAnsi="Times New Roman" w:eastAsia="宋体" w:cs="Times New Roman"/>
                <w:b w:val="0"/>
                <w:bCs/>
                <w:color w:val="auto"/>
                <w:kern w:val="0"/>
                <w:sz w:val="24"/>
                <w:szCs w:val="24"/>
              </w:rPr>
              <w:t>，定期</w:t>
            </w:r>
            <w:r>
              <w:rPr>
                <w:rFonts w:hint="default" w:ascii="Times New Roman" w:hAnsi="Times New Roman" w:eastAsia="宋体" w:cs="Times New Roman"/>
                <w:b w:val="0"/>
                <w:bCs/>
                <w:color w:val="auto"/>
                <w:kern w:val="0"/>
                <w:sz w:val="24"/>
                <w:szCs w:val="24"/>
                <w:lang w:val="en-US" w:eastAsia="zh-CN"/>
              </w:rPr>
              <w:t>外售</w:t>
            </w:r>
            <w:r>
              <w:rPr>
                <w:rFonts w:hint="default" w:ascii="Times New Roman" w:hAnsi="Times New Roman" w:eastAsia="宋体" w:cs="Times New Roman"/>
                <w:b w:val="0"/>
                <w:bCs/>
                <w:color w:val="auto"/>
                <w:kern w:val="0"/>
                <w:sz w:val="24"/>
                <w:szCs w:val="24"/>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（3）</w:t>
            </w:r>
            <w:r>
              <w:rPr>
                <w:rFonts w:hint="default" w:ascii="Times New Roman" w:hAnsi="Times New Roman" w:eastAsia="宋体" w:cs="Times New Roman"/>
                <w:b/>
                <w:bCs/>
                <w:color w:val="auto"/>
                <w:sz w:val="24"/>
                <w:u w:val="none"/>
                <w:lang w:val="en-US" w:eastAsia="zh-CN"/>
              </w:rPr>
              <w:t>除尘器收集尘</w:t>
            </w:r>
          </w:p>
          <w:p>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ascii="Times New Roman" w:hAnsi="Times New Roman" w:cs="Times New Roman"/>
                <w:color w:val="auto"/>
                <w:lang w:eastAsia="zh-CN"/>
              </w:rPr>
            </w:pPr>
            <w:r>
              <w:rPr>
                <w:rFonts w:hint="default" w:ascii="Times New Roman" w:hAnsi="Times New Roman" w:cs="Times New Roman"/>
                <w:bCs/>
                <w:color w:val="auto"/>
                <w:sz w:val="24"/>
                <w:szCs w:val="22"/>
              </w:rPr>
              <w:t>本项目</w:t>
            </w:r>
            <w:r>
              <w:rPr>
                <w:rFonts w:hint="default" w:ascii="Times New Roman" w:hAnsi="Times New Roman" w:cs="Times New Roman"/>
                <w:bCs/>
                <w:color w:val="auto"/>
                <w:sz w:val="24"/>
                <w:lang w:eastAsia="zh-CN"/>
              </w:rPr>
              <w:t>袋式</w:t>
            </w:r>
            <w:r>
              <w:rPr>
                <w:rFonts w:hint="default" w:ascii="Times New Roman" w:hAnsi="Times New Roman" w:cs="Times New Roman"/>
                <w:bCs/>
                <w:color w:val="auto"/>
                <w:sz w:val="24"/>
                <w:szCs w:val="22"/>
              </w:rPr>
              <w:t>除尘器收集的粉尘约</w:t>
            </w:r>
            <w:r>
              <w:rPr>
                <w:rFonts w:hint="default" w:ascii="Times New Roman" w:hAnsi="Times New Roman" w:cs="Times New Roman"/>
                <w:bCs/>
                <w:color w:val="auto"/>
                <w:sz w:val="24"/>
                <w:szCs w:val="22"/>
                <w:highlight w:val="none"/>
              </w:rPr>
              <w:t>为1.147</w:t>
            </w:r>
            <w:r>
              <w:rPr>
                <w:rFonts w:hint="default" w:ascii="Times New Roman" w:hAnsi="Times New Roman" w:cs="Times New Roman"/>
                <w:bCs/>
                <w:color w:val="auto"/>
                <w:sz w:val="24"/>
                <w:szCs w:val="22"/>
                <w:highlight w:val="none"/>
                <w:lang w:val="en-US" w:eastAsia="zh-CN"/>
              </w:rPr>
              <w:t>t</w:t>
            </w:r>
            <w:r>
              <w:rPr>
                <w:rFonts w:hint="default" w:ascii="Times New Roman" w:hAnsi="Times New Roman" w:cs="Times New Roman"/>
                <w:bCs/>
                <w:color w:val="auto"/>
                <w:sz w:val="24"/>
                <w:szCs w:val="22"/>
                <w:highlight w:val="none"/>
              </w:rPr>
              <w:t>/a</w:t>
            </w:r>
            <w:r>
              <w:rPr>
                <w:rFonts w:hint="default" w:ascii="Times New Roman" w:hAnsi="Times New Roman" w:cs="Times New Roman"/>
                <w:bCs/>
                <w:color w:val="auto"/>
                <w:sz w:val="24"/>
                <w:szCs w:val="22"/>
              </w:rPr>
              <w:t>，该类固废经收集后，存放于一般固废暂存</w:t>
            </w:r>
            <w:r>
              <w:rPr>
                <w:rFonts w:hint="eastAsia" w:cs="Times New Roman"/>
                <w:bCs/>
                <w:color w:val="auto"/>
                <w:sz w:val="24"/>
                <w:szCs w:val="22"/>
                <w:lang w:val="en-US" w:eastAsia="zh-CN"/>
              </w:rPr>
              <w:t>区</w:t>
            </w:r>
            <w:r>
              <w:rPr>
                <w:rFonts w:hint="default" w:ascii="Times New Roman" w:hAnsi="Times New Roman" w:cs="Times New Roman"/>
                <w:bCs/>
                <w:color w:val="auto"/>
                <w:sz w:val="24"/>
                <w:szCs w:val="22"/>
              </w:rPr>
              <w:t>，定期</w:t>
            </w:r>
            <w:r>
              <w:rPr>
                <w:rFonts w:hint="default" w:ascii="Times New Roman" w:hAnsi="Times New Roman" w:cs="Times New Roman"/>
                <w:bCs/>
                <w:color w:val="auto"/>
                <w:sz w:val="24"/>
                <w:szCs w:val="22"/>
                <w:lang w:val="en-US" w:eastAsia="zh-CN"/>
              </w:rPr>
              <w:t>外售</w:t>
            </w:r>
            <w:r>
              <w:rPr>
                <w:rFonts w:hint="default" w:ascii="Times New Roman" w:hAnsi="Times New Roman" w:cs="Times New Roman"/>
                <w:bCs/>
                <w:color w:val="auto"/>
                <w:sz w:val="24"/>
                <w:szCs w:val="22"/>
              </w:rPr>
              <w:t>。</w:t>
            </w:r>
          </w:p>
          <w:p>
            <w:pPr>
              <w:adjustRightInd w:val="0"/>
              <w:snapToGrid w:val="0"/>
              <w:spacing w:line="360" w:lineRule="auto"/>
              <w:ind w:firstLine="480" w:firstLineChars="200"/>
              <w:jc w:val="both"/>
              <w:textAlignment w:val="baseline"/>
              <w:rPr>
                <w:rFonts w:hint="default" w:ascii="Times New Roman" w:hAnsi="Times New Roman" w:eastAsia="宋体" w:cs="Times New Roman"/>
                <w:b/>
                <w:bCs/>
                <w:kern w:val="2"/>
                <w:sz w:val="24"/>
                <w:szCs w:val="24"/>
                <w:u w:val="none"/>
                <w:lang w:val="en-US" w:eastAsia="zh-CN" w:bidi="ar-SA"/>
              </w:rPr>
            </w:pPr>
            <w:r>
              <w:rPr>
                <w:rFonts w:hint="default" w:ascii="Times New Roman" w:hAnsi="Times New Roman" w:eastAsia="宋体" w:cs="Times New Roman"/>
                <w:color w:val="auto"/>
                <w:sz w:val="24"/>
                <w:szCs w:val="24"/>
              </w:rPr>
              <w:t>本项目运营期</w:t>
            </w:r>
            <w:r>
              <w:rPr>
                <w:rFonts w:hint="default" w:ascii="Times New Roman" w:hAnsi="Times New Roman" w:cs="Times New Roman"/>
                <w:color w:val="auto"/>
                <w:sz w:val="24"/>
                <w:szCs w:val="24"/>
                <w:lang w:val="en-US" w:eastAsia="zh-CN"/>
              </w:rPr>
              <w:t>一般</w:t>
            </w:r>
            <w:r>
              <w:rPr>
                <w:rFonts w:hint="default" w:ascii="Times New Roman" w:hAnsi="Times New Roman" w:eastAsia="宋体" w:cs="Times New Roman"/>
                <w:color w:val="auto"/>
                <w:sz w:val="24"/>
                <w:szCs w:val="24"/>
              </w:rPr>
              <w:t>固废产排情况见表</w:t>
            </w:r>
            <w:r>
              <w:rPr>
                <w:rFonts w:hint="default" w:ascii="Times New Roman" w:hAnsi="Times New Roman" w:eastAsia="宋体" w:cs="Times New Roman"/>
                <w:color w:val="auto"/>
                <w:sz w:val="24"/>
                <w:szCs w:val="24"/>
                <w:lang w:val="en-US" w:eastAsia="zh-CN"/>
              </w:rPr>
              <w:t>4-</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w:t>
            </w:r>
          </w:p>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2"/>
                <w:sz w:val="24"/>
                <w:szCs w:val="22"/>
                <w:lang w:val="en-US" w:eastAsia="zh-CN" w:bidi="ar-SA"/>
              </w:rPr>
              <w:t>表</w:t>
            </w:r>
            <w:r>
              <w:rPr>
                <w:rFonts w:hint="default" w:ascii="Times New Roman" w:hAnsi="Times New Roman" w:cs="Times New Roman"/>
                <w:b/>
                <w:bCs/>
                <w:color w:val="auto"/>
                <w:kern w:val="2"/>
                <w:sz w:val="24"/>
                <w:szCs w:val="22"/>
                <w:lang w:val="en-US" w:eastAsia="zh-CN" w:bidi="ar-SA"/>
              </w:rPr>
              <w:t>4-1</w:t>
            </w:r>
            <w:r>
              <w:rPr>
                <w:rFonts w:hint="eastAsia" w:cs="Times New Roman"/>
                <w:b/>
                <w:bCs/>
                <w:color w:val="auto"/>
                <w:kern w:val="2"/>
                <w:sz w:val="24"/>
                <w:szCs w:val="22"/>
                <w:lang w:val="en-US" w:eastAsia="zh-CN" w:bidi="ar-SA"/>
              </w:rPr>
              <w:t>4</w:t>
            </w:r>
            <w:r>
              <w:rPr>
                <w:rFonts w:hint="default" w:ascii="Times New Roman" w:hAnsi="Times New Roman" w:eastAsia="宋体" w:cs="Times New Roman"/>
                <w:b/>
                <w:bCs/>
                <w:color w:val="auto"/>
                <w:kern w:val="2"/>
                <w:sz w:val="24"/>
                <w:szCs w:val="22"/>
                <w:lang w:val="en-US" w:eastAsia="zh-CN" w:bidi="ar-SA"/>
              </w:rPr>
              <w:t xml:space="preserve">  </w:t>
            </w:r>
            <w:r>
              <w:rPr>
                <w:rFonts w:hint="default" w:ascii="Times New Roman" w:hAnsi="Times New Roman" w:cs="Times New Roman"/>
                <w:b/>
                <w:bCs/>
                <w:color w:val="auto"/>
                <w:kern w:val="2"/>
                <w:sz w:val="24"/>
                <w:szCs w:val="22"/>
                <w:lang w:val="en-US" w:eastAsia="zh-CN" w:bidi="ar-SA"/>
              </w:rPr>
              <w:t xml:space="preserve"> </w:t>
            </w:r>
            <w:r>
              <w:rPr>
                <w:rFonts w:hint="default" w:ascii="Times New Roman" w:hAnsi="Times New Roman" w:eastAsia="宋体" w:cs="Times New Roman"/>
                <w:b/>
                <w:bCs/>
                <w:color w:val="auto"/>
                <w:kern w:val="2"/>
                <w:sz w:val="24"/>
                <w:szCs w:val="22"/>
                <w:lang w:val="en-US" w:eastAsia="zh-CN" w:bidi="ar-SA"/>
              </w:rPr>
              <w:t xml:space="preserve"> 项目运营期</w:t>
            </w:r>
            <w:r>
              <w:rPr>
                <w:rFonts w:hint="default" w:ascii="Times New Roman" w:hAnsi="Times New Roman" w:cs="Times New Roman"/>
                <w:b/>
                <w:bCs/>
                <w:color w:val="auto"/>
                <w:kern w:val="2"/>
                <w:sz w:val="24"/>
                <w:szCs w:val="22"/>
                <w:lang w:val="en-US" w:eastAsia="zh-CN" w:bidi="ar-SA"/>
              </w:rPr>
              <w:t>一般</w:t>
            </w:r>
            <w:r>
              <w:rPr>
                <w:rFonts w:hint="default" w:ascii="Times New Roman" w:hAnsi="Times New Roman" w:eastAsia="宋体" w:cs="Times New Roman"/>
                <w:b/>
                <w:bCs/>
                <w:color w:val="auto"/>
                <w:kern w:val="2"/>
                <w:sz w:val="24"/>
                <w:szCs w:val="22"/>
                <w:lang w:val="en-US" w:eastAsia="zh-CN" w:bidi="ar-SA"/>
              </w:rPr>
              <w:t>固废产排情况一览表</w:t>
            </w:r>
          </w:p>
          <w:tbl>
            <w:tblPr>
              <w:tblStyle w:val="24"/>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665"/>
              <w:gridCol w:w="1860"/>
              <w:gridCol w:w="1318"/>
              <w:gridCol w:w="269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266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产生工序</w:t>
                  </w:r>
                </w:p>
              </w:tc>
              <w:tc>
                <w:tcPr>
                  <w:tcW w:w="1860"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1318"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产生量</w:t>
                  </w:r>
                </w:p>
              </w:tc>
              <w:tc>
                <w:tcPr>
                  <w:tcW w:w="2692"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处置去向</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2665" w:type="dxa"/>
                  <w:tcBorders>
                    <w:tl2br w:val="nil"/>
                    <w:tr2bl w:val="nil"/>
                  </w:tcBorders>
                  <w:noWrap w:val="0"/>
                  <w:vAlign w:val="center"/>
                </w:tcPr>
                <w:p>
                  <w:pPr>
                    <w:tabs>
                      <w:tab w:val="left" w:pos="567"/>
                    </w:tabs>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环保除尘</w:t>
                  </w:r>
                </w:p>
              </w:tc>
              <w:tc>
                <w:tcPr>
                  <w:tcW w:w="1860" w:type="dxa"/>
                  <w:tcBorders>
                    <w:tl2br w:val="nil"/>
                    <w:tr2bl w:val="nil"/>
                  </w:tcBorders>
                  <w:noWrap w:val="0"/>
                  <w:vAlign w:val="center"/>
                </w:tcPr>
                <w:p>
                  <w:pPr>
                    <w:tabs>
                      <w:tab w:val="left" w:pos="567"/>
                    </w:tabs>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颗粒物</w:t>
                  </w:r>
                </w:p>
              </w:tc>
              <w:tc>
                <w:tcPr>
                  <w:tcW w:w="1318" w:type="dxa"/>
                  <w:tcBorders>
                    <w:tl2br w:val="nil"/>
                    <w:tr2bl w:val="nil"/>
                  </w:tcBorders>
                  <w:noWrap w:val="0"/>
                  <w:vAlign w:val="center"/>
                </w:tcPr>
                <w:p>
                  <w:pPr>
                    <w:spacing w:line="30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1.147</w:t>
                  </w:r>
                </w:p>
              </w:tc>
              <w:tc>
                <w:tcPr>
                  <w:tcW w:w="2692" w:type="dxa"/>
                  <w:vMerge w:val="restart"/>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定期收集外售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8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w:t>
                  </w:r>
                </w:p>
              </w:tc>
              <w:tc>
                <w:tcPr>
                  <w:tcW w:w="2665" w:type="dxa"/>
                  <w:tcBorders>
                    <w:tl2br w:val="nil"/>
                    <w:tr2bl w:val="nil"/>
                  </w:tcBorders>
                  <w:noWrap w:val="0"/>
                  <w:vAlign w:val="center"/>
                </w:tcPr>
                <w:p>
                  <w:pPr>
                    <w:tabs>
                      <w:tab w:val="left" w:pos="567"/>
                    </w:tabs>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切割、抛光加工</w:t>
                  </w:r>
                </w:p>
              </w:tc>
              <w:tc>
                <w:tcPr>
                  <w:tcW w:w="1860" w:type="dxa"/>
                  <w:tcBorders>
                    <w:tl2br w:val="nil"/>
                    <w:tr2bl w:val="nil"/>
                  </w:tcBorders>
                  <w:noWrap w:val="0"/>
                  <w:vAlign w:val="center"/>
                </w:tcPr>
                <w:p>
                  <w:pPr>
                    <w:tabs>
                      <w:tab w:val="left" w:pos="567"/>
                    </w:tabs>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废边角料</w:t>
                  </w:r>
                </w:p>
              </w:tc>
              <w:tc>
                <w:tcPr>
                  <w:tcW w:w="1318" w:type="dxa"/>
                  <w:tcBorders>
                    <w:tl2br w:val="nil"/>
                    <w:tr2bl w:val="nil"/>
                  </w:tcBorders>
                  <w:noWrap w:val="0"/>
                  <w:vAlign w:val="center"/>
                </w:tcPr>
                <w:p>
                  <w:pPr>
                    <w:spacing w:line="300" w:lineRule="atLeast"/>
                    <w:jc w:val="center"/>
                    <w:rPr>
                      <w:rFonts w:hint="default" w:ascii="Times New Roman" w:hAnsi="Times New Roman" w:eastAsia="宋体" w:cs="Times New Roman"/>
                      <w:color w:val="auto"/>
                      <w:lang w:val="en-US" w:eastAsia="zh-CN"/>
                    </w:rPr>
                  </w:pPr>
                  <w:r>
                    <w:rPr>
                      <w:rFonts w:hint="eastAsia" w:cs="Times New Roman"/>
                      <w:color w:val="auto"/>
                      <w:lang w:val="en-US" w:eastAsia="zh-CN"/>
                    </w:rPr>
                    <w:t>7.979</w:t>
                  </w:r>
                </w:p>
              </w:tc>
              <w:tc>
                <w:tcPr>
                  <w:tcW w:w="2692" w:type="dxa"/>
                  <w:vMerge w:val="continue"/>
                  <w:tcBorders>
                    <w:tl2br w:val="nil"/>
                    <w:tr2bl w:val="nil"/>
                  </w:tcBorders>
                  <w:noWrap w:val="0"/>
                  <w:vAlign w:val="center"/>
                </w:tcPr>
                <w:p>
                  <w:pPr>
                    <w:adjustRightInd w:val="0"/>
                    <w:snapToGrid w:val="0"/>
                    <w:spacing w:line="340" w:lineRule="exact"/>
                    <w:jc w:val="center"/>
                    <w:rPr>
                      <w:rFonts w:hint="default" w:ascii="Times New Roman" w:hAnsi="Times New Roman" w:eastAsia="宋体" w:cs="Times New Roman"/>
                      <w:color w:val="auto"/>
                      <w:lang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266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员工办公</w:t>
                  </w:r>
                </w:p>
              </w:tc>
              <w:tc>
                <w:tcPr>
                  <w:tcW w:w="1860"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c>
                <w:tcPr>
                  <w:tcW w:w="1318"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1</w:t>
                  </w:r>
                  <w:r>
                    <w:rPr>
                      <w:rFonts w:hint="default" w:ascii="Times New Roman" w:hAnsi="Times New Roman" w:cs="Times New Roman"/>
                      <w:color w:val="auto"/>
                      <w:lang w:val="en-US" w:eastAsia="zh-CN"/>
                    </w:rPr>
                    <w:t>.5</w:t>
                  </w:r>
                  <w:r>
                    <w:rPr>
                      <w:rFonts w:hint="default" w:ascii="Times New Roman" w:hAnsi="Times New Roman" w:eastAsia="宋体" w:cs="Times New Roman"/>
                      <w:color w:val="auto"/>
                    </w:rPr>
                    <w:t>t/a</w:t>
                  </w:r>
                </w:p>
              </w:tc>
              <w:tc>
                <w:tcPr>
                  <w:tcW w:w="2692" w:type="dxa"/>
                  <w:tcBorders>
                    <w:tl2br w:val="nil"/>
                    <w:tr2bl w:val="nil"/>
                  </w:tcBorders>
                  <w:noWrap w:val="0"/>
                  <w:vAlign w:val="center"/>
                </w:tcPr>
                <w:p>
                  <w:pPr>
                    <w:adjustRightInd w:val="0"/>
                    <w:snapToGrid w:val="0"/>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收集后</w:t>
                  </w:r>
                  <w:r>
                    <w:rPr>
                      <w:rFonts w:hint="default" w:ascii="Times New Roman" w:hAnsi="Times New Roman" w:eastAsia="宋体" w:cs="Times New Roman"/>
                      <w:color w:val="auto"/>
                      <w:lang w:eastAsia="zh-CN"/>
                    </w:rPr>
                    <w:t>交环卫部门处理</w:t>
                  </w:r>
                </w:p>
              </w:tc>
            </w:tr>
          </w:tbl>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危险废物</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eastAsia" w:cs="Times New Roman"/>
                <w:b/>
                <w:bCs/>
                <w:color w:val="auto"/>
                <w:sz w:val="24"/>
                <w:u w:val="none"/>
                <w:lang w:val="en-US" w:eastAsia="zh-CN"/>
              </w:rPr>
            </w:pPr>
            <w:r>
              <w:rPr>
                <w:rFonts w:hint="eastAsia" w:cs="Times New Roman"/>
                <w:b/>
                <w:bCs/>
                <w:color w:val="auto"/>
                <w:sz w:val="24"/>
                <w:u w:val="none"/>
                <w:lang w:val="en-US" w:eastAsia="zh-CN"/>
              </w:rPr>
              <w:t>（1）废活性炭</w:t>
            </w:r>
          </w:p>
          <w:p>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firstLine="480" w:firstLineChars="200"/>
              <w:textAlignment w:val="auto"/>
              <w:rPr>
                <w:rFonts w:hint="default" w:ascii="Times New Roman" w:hAnsi="Times New Roman" w:eastAsia="宋体" w:cs="Times New Roman"/>
                <w:bCs/>
                <w:color w:val="FF0000"/>
                <w:sz w:val="24"/>
                <w:lang w:val="en-US" w:eastAsia="zh-CN"/>
              </w:rPr>
            </w:pPr>
            <w:r>
              <w:rPr>
                <w:rFonts w:hint="default" w:ascii="Times New Roman" w:hAnsi="Times New Roman" w:eastAsia="宋体" w:cs="Times New Roman"/>
                <w:bCs/>
                <w:color w:val="auto"/>
                <w:sz w:val="24"/>
                <w:lang w:val="en-US" w:eastAsia="zh-CN"/>
              </w:rPr>
              <w:t>项目产生的有机废气采用“</w:t>
            </w:r>
            <w:r>
              <w:rPr>
                <w:rFonts w:hint="default" w:ascii="Times New Roman" w:hAnsi="Times New Roman" w:cs="Times New Roman"/>
                <w:b w:val="0"/>
                <w:bCs w:val="0"/>
                <w:snapToGrid w:val="0"/>
                <w:color w:val="auto"/>
                <w:kern w:val="0"/>
                <w:sz w:val="24"/>
                <w:szCs w:val="20"/>
                <w:u w:val="none"/>
              </w:rPr>
              <w:t>UV光催化氧</w:t>
            </w:r>
            <w:r>
              <w:rPr>
                <w:rFonts w:hint="eastAsia" w:cs="Times New Roman"/>
                <w:b w:val="0"/>
                <w:bCs w:val="0"/>
                <w:snapToGrid w:val="0"/>
                <w:color w:val="auto"/>
                <w:kern w:val="0"/>
                <w:sz w:val="24"/>
                <w:szCs w:val="20"/>
                <w:u w:val="none"/>
                <w:lang w:val="en-US" w:eastAsia="zh-CN"/>
              </w:rPr>
              <w:t>化</w:t>
            </w:r>
            <w:r>
              <w:rPr>
                <w:rFonts w:hint="default" w:ascii="Times New Roman" w:hAnsi="Times New Roman" w:eastAsia="宋体" w:cs="Times New Roman"/>
                <w:bCs/>
                <w:color w:val="auto"/>
                <w:sz w:val="24"/>
                <w:lang w:val="en-US" w:eastAsia="zh-CN"/>
              </w:rPr>
              <w:t>+活性炭吸附装置”进行处理，活性炭吸附装置运行时根据活性炭两侧压差（压差表读数）判断活性炭饱和程度，活性炭吸附饱和后应及时更换</w:t>
            </w:r>
            <w:r>
              <w:rPr>
                <w:rFonts w:hint="eastAsia" w:ascii="Times New Roman" w:hAnsi="Times New Roman" w:eastAsia="宋体" w:cs="Times New Roman"/>
                <w:b w:val="0"/>
                <w:bCs w:val="0"/>
                <w:color w:val="auto"/>
                <w:kern w:val="0"/>
                <w:sz w:val="24"/>
                <w:szCs w:val="24"/>
                <w:highlight w:val="none"/>
                <w:u w:val="none"/>
                <w:lang w:val="en-US" w:eastAsia="zh-CN"/>
              </w:rPr>
              <w:t>（</w:t>
            </w:r>
            <w:r>
              <w:rPr>
                <w:rFonts w:hint="default" w:ascii="Times New Roman" w:hAnsi="Times New Roman" w:eastAsia="宋体" w:cs="Times New Roman"/>
                <w:b w:val="0"/>
                <w:bCs w:val="0"/>
                <w:color w:val="auto"/>
                <w:kern w:val="0"/>
                <w:sz w:val="24"/>
                <w:szCs w:val="24"/>
                <w:highlight w:val="none"/>
                <w:u w:val="none"/>
                <w:lang w:val="en-US" w:eastAsia="zh-CN"/>
              </w:rPr>
              <w:t>颗粒状、柱状活性炭碘值不低于800毫克/克，蜂窝状活性炭碘值不低于650毫克/克</w:t>
            </w:r>
            <w:r>
              <w:rPr>
                <w:rFonts w:hint="eastAsia" w:ascii="Times New Roman" w:hAnsi="Times New Roman" w:eastAsia="宋体" w:cs="Times New Roman"/>
                <w:b w:val="0"/>
                <w:bCs w:val="0"/>
                <w:color w:val="auto"/>
                <w:kern w:val="0"/>
                <w:sz w:val="24"/>
                <w:szCs w:val="24"/>
                <w:highlight w:val="none"/>
                <w:u w:val="none"/>
                <w:lang w:val="en-US" w:eastAsia="zh-CN"/>
              </w:rPr>
              <w:t>）</w:t>
            </w:r>
            <w:r>
              <w:rPr>
                <w:rFonts w:hint="default" w:ascii="Times New Roman" w:hAnsi="Times New Roman" w:eastAsia="宋体" w:cs="Times New Roman"/>
                <w:bCs/>
                <w:color w:val="auto"/>
                <w:sz w:val="24"/>
                <w:lang w:val="en-US" w:eastAsia="zh-CN"/>
              </w:rPr>
              <w:t>。本项目活性炭吸附装置需吸附有机废气</w:t>
            </w:r>
            <w:r>
              <w:rPr>
                <w:rFonts w:hint="default" w:ascii="Times New Roman" w:hAnsi="Times New Roman" w:eastAsia="宋体" w:cs="Times New Roman"/>
                <w:bCs/>
                <w:color w:val="auto"/>
                <w:sz w:val="24"/>
                <w:highlight w:val="none"/>
                <w:lang w:val="en-US" w:eastAsia="zh-CN"/>
              </w:rPr>
              <w:t>0.03876t/a</w:t>
            </w:r>
            <w:r>
              <w:rPr>
                <w:rFonts w:hint="default" w:ascii="Times New Roman" w:hAnsi="Times New Roman" w:eastAsia="宋体" w:cs="Times New Roman"/>
                <w:bCs/>
                <w:color w:val="auto"/>
                <w:sz w:val="24"/>
                <w:lang w:val="en-US" w:eastAsia="zh-CN"/>
              </w:rPr>
              <w:t>，活性炭吸附容量按0.3kg/kg活性炭计，则需要的活性炭量为</w:t>
            </w:r>
            <w:r>
              <w:rPr>
                <w:rFonts w:hint="eastAsia" w:cs="Times New Roman"/>
                <w:bCs/>
                <w:color w:val="auto"/>
                <w:sz w:val="24"/>
                <w:lang w:val="en-US" w:eastAsia="zh-CN"/>
              </w:rPr>
              <w:t>0.1292</w:t>
            </w:r>
            <w:r>
              <w:rPr>
                <w:rFonts w:hint="default" w:ascii="Times New Roman" w:hAnsi="Times New Roman" w:eastAsia="宋体" w:cs="Times New Roman"/>
                <w:bCs/>
                <w:color w:val="auto"/>
                <w:sz w:val="24"/>
                <w:lang w:val="en-US" w:eastAsia="zh-CN"/>
              </w:rPr>
              <w:t>t。活性炭更换周期为</w:t>
            </w:r>
            <w:r>
              <w:rPr>
                <w:rFonts w:hint="eastAsia" w:cs="Times New Roman"/>
                <w:bCs/>
                <w:color w:val="auto"/>
                <w:sz w:val="24"/>
                <w:lang w:val="en-US" w:eastAsia="zh-CN"/>
              </w:rPr>
              <w:t>3个月</w:t>
            </w:r>
            <w:r>
              <w:rPr>
                <w:rFonts w:hint="default" w:ascii="Times New Roman" w:hAnsi="Times New Roman" w:eastAsia="宋体" w:cs="Times New Roman"/>
                <w:bCs/>
                <w:color w:val="auto"/>
                <w:sz w:val="24"/>
                <w:lang w:val="en-US" w:eastAsia="zh-CN"/>
              </w:rPr>
              <w:t>，则每次更换量为0.0323t，年更换量为</w:t>
            </w:r>
            <w:r>
              <w:rPr>
                <w:rFonts w:hint="eastAsia" w:cs="Times New Roman"/>
                <w:bCs/>
                <w:color w:val="auto"/>
                <w:sz w:val="24"/>
                <w:lang w:val="en-US" w:eastAsia="zh-CN"/>
              </w:rPr>
              <w:t>0.1292</w:t>
            </w:r>
            <w:r>
              <w:rPr>
                <w:rFonts w:hint="default" w:ascii="Times New Roman" w:hAnsi="Times New Roman" w:eastAsia="宋体" w:cs="Times New Roman"/>
                <w:bCs/>
                <w:color w:val="auto"/>
                <w:sz w:val="24"/>
                <w:lang w:val="en-US" w:eastAsia="zh-CN"/>
              </w:rPr>
              <w:t>t。</w:t>
            </w:r>
          </w:p>
          <w:p>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根据《国家危险废物名录》（2021年版），该类固废属于危险废物（HW49 其他废物 非特定行业，废物代码900-039-49，烟气、VOCs治理过程（不包括餐饮行业油烟治理过程）产生的废活性炭，化学原料和化学制品脱色（不包括有机合成食品添加剂脱色）、除杂、净化过程产生的废活性炭（不包括900-405-06、772-005-18、261-053-29 、265-002-29、384-003-29、387-001-29类废物），主要成分为炭、非甲烷总烃，有害成分为非甲烷总烃。该类固废经单独的密闭容器收集，存放于</w:t>
            </w:r>
            <w:r>
              <w:rPr>
                <w:rFonts w:hint="eastAsia" w:cs="Times New Roman"/>
                <w:bCs/>
                <w:color w:val="auto"/>
                <w:sz w:val="24"/>
                <w:lang w:val="en-US" w:eastAsia="zh-CN"/>
              </w:rPr>
              <w:t>10m</w:t>
            </w:r>
            <w:r>
              <w:rPr>
                <w:rFonts w:hint="eastAsia" w:cs="Times New Roman"/>
                <w:bCs/>
                <w:color w:val="auto"/>
                <w:sz w:val="24"/>
                <w:vertAlign w:val="superscript"/>
                <w:lang w:val="en-US" w:eastAsia="zh-CN"/>
              </w:rPr>
              <w:t>2</w:t>
            </w:r>
            <w:r>
              <w:rPr>
                <w:rFonts w:hint="default" w:ascii="Times New Roman" w:hAnsi="Times New Roman" w:eastAsia="宋体" w:cs="Times New Roman"/>
                <w:bCs/>
                <w:color w:val="auto"/>
                <w:sz w:val="24"/>
                <w:lang w:val="en-US" w:eastAsia="zh-CN"/>
              </w:rPr>
              <w:t>危险废物暂存间，定期委托有资质的危险废物处理单位安全处置。</w:t>
            </w:r>
          </w:p>
          <w:p>
            <w:pPr>
              <w:keepNext w:val="0"/>
              <w:keepLines w:val="0"/>
              <w:pageBreakBefore w:val="0"/>
              <w:widowControl w:val="0"/>
              <w:autoSpaceDE w:val="0"/>
              <w:autoSpaceDN w:val="0"/>
              <w:bidi w:val="0"/>
              <w:adjustRightInd w:val="0"/>
              <w:spacing w:line="360" w:lineRule="auto"/>
              <w:ind w:firstLine="482" w:firstLineChars="200"/>
              <w:rPr>
                <w:rFonts w:hint="default" w:ascii="Times New Roman" w:hAnsi="Times New Roman"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w:t>
            </w:r>
            <w:r>
              <w:rPr>
                <w:rFonts w:hint="eastAsia" w:ascii="Times New Roman" w:hAnsi="Times New Roman" w:cs="Times New Roman"/>
                <w:b/>
                <w:bCs/>
                <w:color w:val="auto"/>
                <w:sz w:val="24"/>
                <w:u w:val="none"/>
                <w:lang w:val="en-US" w:eastAsia="zh-CN"/>
              </w:rPr>
              <w:t>2</w:t>
            </w:r>
            <w:r>
              <w:rPr>
                <w:rFonts w:hint="default" w:ascii="Times New Roman" w:hAnsi="Times New Roman" w:cs="Times New Roman"/>
                <w:b/>
                <w:bCs/>
                <w:color w:val="auto"/>
                <w:sz w:val="24"/>
                <w:u w:val="none"/>
                <w:lang w:val="en-US" w:eastAsia="zh-CN"/>
              </w:rPr>
              <w:t>）</w:t>
            </w:r>
            <w:r>
              <w:rPr>
                <w:rFonts w:hint="eastAsia" w:cs="Times New Roman"/>
                <w:b/>
                <w:bCs/>
                <w:color w:val="auto"/>
                <w:sz w:val="24"/>
                <w:u w:val="none"/>
                <w:lang w:val="en-US" w:eastAsia="zh-CN"/>
              </w:rPr>
              <w:t>废UV灯管</w:t>
            </w:r>
          </w:p>
          <w:p>
            <w:pPr>
              <w:keepNext w:val="0"/>
              <w:keepLines w:val="0"/>
              <w:pageBreakBefore w:val="0"/>
              <w:widowControl w:val="0"/>
              <w:autoSpaceDE w:val="0"/>
              <w:autoSpaceDN w:val="0"/>
              <w:bidi w:val="0"/>
              <w:adjustRightInd w:val="0"/>
              <w:spacing w:line="360" w:lineRule="auto"/>
              <w:ind w:firstLine="480" w:firstLineChars="200"/>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snapToGrid w:val="0"/>
                <w:color w:val="auto"/>
                <w:kern w:val="0"/>
                <w:sz w:val="24"/>
                <w:szCs w:val="20"/>
                <w:u w:val="none"/>
              </w:rPr>
              <w:t>UV光催化氧</w:t>
            </w:r>
            <w:r>
              <w:rPr>
                <w:rFonts w:hint="eastAsia" w:cs="Times New Roman"/>
                <w:b w:val="0"/>
                <w:bCs w:val="0"/>
                <w:snapToGrid w:val="0"/>
                <w:color w:val="auto"/>
                <w:kern w:val="0"/>
                <w:sz w:val="24"/>
                <w:szCs w:val="20"/>
                <w:u w:val="none"/>
                <w:lang w:val="en-US" w:eastAsia="zh-CN"/>
              </w:rPr>
              <w:t>化</w:t>
            </w:r>
            <w:r>
              <w:rPr>
                <w:rFonts w:hint="default" w:ascii="Times New Roman" w:hAnsi="Times New Roman" w:eastAsia="宋体" w:cs="Times New Roman"/>
                <w:b w:val="0"/>
                <w:bCs w:val="0"/>
                <w:color w:val="auto"/>
                <w:sz w:val="24"/>
                <w:szCs w:val="24"/>
                <w:u w:val="none"/>
                <w:lang w:val="en-US" w:eastAsia="zh-CN"/>
              </w:rPr>
              <w:t>装置采用紫外灯管，使用过程中定期需更换UV灯管。UV灯管功率按150W/只，处理风量是250m</w:t>
            </w:r>
            <w:r>
              <w:rPr>
                <w:rFonts w:hint="default" w:ascii="Times New Roman" w:hAnsi="Times New Roman" w:eastAsia="宋体" w:cs="Times New Roman"/>
                <w:b w:val="0"/>
                <w:bCs w:val="0"/>
                <w:color w:val="auto"/>
                <w:sz w:val="24"/>
                <w:szCs w:val="24"/>
                <w:u w:val="none"/>
                <w:vertAlign w:val="superscript"/>
                <w:lang w:val="en-US" w:eastAsia="zh-CN"/>
              </w:rPr>
              <w:t>3</w:t>
            </w:r>
            <w:r>
              <w:rPr>
                <w:rFonts w:hint="default" w:ascii="Times New Roman" w:hAnsi="Times New Roman" w:eastAsia="宋体" w:cs="Times New Roman"/>
                <w:b w:val="0"/>
                <w:bCs w:val="0"/>
                <w:color w:val="auto"/>
                <w:sz w:val="24"/>
                <w:szCs w:val="24"/>
                <w:u w:val="none"/>
                <w:lang w:val="en-US" w:eastAsia="zh-CN"/>
              </w:rPr>
              <w:t>/h/只，根据</w:t>
            </w:r>
            <w:r>
              <w:rPr>
                <w:rFonts w:hint="eastAsia" w:cs="Times New Roman"/>
                <w:b w:val="0"/>
                <w:bCs w:val="0"/>
                <w:color w:val="auto"/>
                <w:sz w:val="24"/>
                <w:szCs w:val="24"/>
                <w:u w:val="none"/>
                <w:lang w:val="en-US" w:eastAsia="zh-CN"/>
              </w:rPr>
              <w:t>烘烤工序</w:t>
            </w:r>
            <w:r>
              <w:rPr>
                <w:rFonts w:hint="default" w:ascii="Times New Roman" w:hAnsi="Times New Roman" w:cs="Times New Roman"/>
                <w:b w:val="0"/>
                <w:bCs w:val="0"/>
                <w:color w:val="auto"/>
                <w:sz w:val="24"/>
                <w:szCs w:val="24"/>
                <w:u w:val="none"/>
                <w:lang w:val="en-US" w:eastAsia="zh-CN"/>
              </w:rPr>
              <w:t>废气处理设施</w:t>
            </w:r>
            <w:r>
              <w:rPr>
                <w:rFonts w:hint="default" w:ascii="Times New Roman" w:hAnsi="Times New Roman" w:eastAsia="宋体" w:cs="Times New Roman"/>
                <w:b w:val="0"/>
                <w:bCs w:val="0"/>
                <w:color w:val="auto"/>
                <w:sz w:val="24"/>
                <w:szCs w:val="24"/>
                <w:u w:val="none"/>
                <w:lang w:val="en-US" w:eastAsia="zh-CN"/>
              </w:rPr>
              <w:t>风量可知，UV光催化氧化装置有</w:t>
            </w:r>
            <w:r>
              <w:rPr>
                <w:rFonts w:hint="eastAsia" w:cs="Times New Roman"/>
                <w:b w:val="0"/>
                <w:bCs w:val="0"/>
                <w:color w:val="auto"/>
                <w:sz w:val="24"/>
                <w:szCs w:val="24"/>
                <w:u w:val="none"/>
                <w:lang w:val="en-US" w:eastAsia="zh-CN"/>
              </w:rPr>
              <w:t>36</w:t>
            </w:r>
            <w:r>
              <w:rPr>
                <w:rFonts w:hint="default" w:ascii="Times New Roman" w:hAnsi="Times New Roman" w:eastAsia="宋体" w:cs="Times New Roman"/>
                <w:b w:val="0"/>
                <w:bCs w:val="0"/>
                <w:color w:val="auto"/>
                <w:sz w:val="24"/>
                <w:szCs w:val="24"/>
                <w:u w:val="none"/>
                <w:lang w:val="en-US" w:eastAsia="zh-CN"/>
              </w:rPr>
              <w:t>根灯管，紫外灯管使用寿命按1000h计算，</w:t>
            </w:r>
            <w:r>
              <w:rPr>
                <w:rFonts w:hint="default" w:ascii="Times New Roman" w:hAnsi="Times New Roman" w:cs="Times New Roman"/>
                <w:b w:val="0"/>
                <w:bCs w:val="0"/>
                <w:snapToGrid w:val="0"/>
                <w:color w:val="auto"/>
                <w:kern w:val="0"/>
                <w:sz w:val="24"/>
                <w:szCs w:val="20"/>
                <w:u w:val="none"/>
              </w:rPr>
              <w:t>UV光催化氧</w:t>
            </w:r>
            <w:r>
              <w:rPr>
                <w:rFonts w:hint="eastAsia" w:cs="Times New Roman"/>
                <w:b w:val="0"/>
                <w:bCs w:val="0"/>
                <w:snapToGrid w:val="0"/>
                <w:color w:val="auto"/>
                <w:kern w:val="0"/>
                <w:sz w:val="24"/>
                <w:szCs w:val="20"/>
                <w:u w:val="none"/>
                <w:lang w:val="en-US" w:eastAsia="zh-CN"/>
              </w:rPr>
              <w:t>化</w:t>
            </w:r>
            <w:r>
              <w:rPr>
                <w:rFonts w:hint="default" w:ascii="Times New Roman" w:hAnsi="Times New Roman" w:eastAsia="宋体" w:cs="Times New Roman"/>
                <w:b w:val="0"/>
                <w:bCs w:val="0"/>
                <w:color w:val="auto"/>
                <w:sz w:val="24"/>
                <w:szCs w:val="24"/>
                <w:u w:val="none"/>
                <w:lang w:val="en-US" w:eastAsia="zh-CN"/>
              </w:rPr>
              <w:t>设备需更换UV灯管</w:t>
            </w:r>
            <w:r>
              <w:rPr>
                <w:rFonts w:hint="eastAsia" w:cs="Times New Roman"/>
                <w:b w:val="0"/>
                <w:bCs w:val="0"/>
                <w:color w:val="auto"/>
                <w:sz w:val="24"/>
                <w:szCs w:val="24"/>
                <w:u w:val="none"/>
                <w:lang w:val="en-US" w:eastAsia="zh-CN"/>
              </w:rPr>
              <w:t>2.4</w:t>
            </w:r>
            <w:r>
              <w:rPr>
                <w:rFonts w:hint="default" w:ascii="Times New Roman" w:hAnsi="Times New Roman" w:eastAsia="宋体" w:cs="Times New Roman"/>
                <w:b w:val="0"/>
                <w:bCs w:val="0"/>
                <w:color w:val="auto"/>
                <w:sz w:val="24"/>
                <w:szCs w:val="24"/>
                <w:u w:val="none"/>
                <w:lang w:val="en-US" w:eastAsia="zh-CN"/>
              </w:rPr>
              <w:t>次/a，按每年更换</w:t>
            </w:r>
            <w:r>
              <w:rPr>
                <w:rFonts w:hint="eastAsia" w:cs="Times New Roman"/>
                <w:b w:val="0"/>
                <w:bCs w:val="0"/>
                <w:color w:val="auto"/>
                <w:sz w:val="24"/>
                <w:szCs w:val="24"/>
                <w:u w:val="none"/>
                <w:lang w:val="en-US" w:eastAsia="zh-CN"/>
              </w:rPr>
              <w:t>3</w:t>
            </w:r>
            <w:r>
              <w:rPr>
                <w:rFonts w:hint="default" w:ascii="Times New Roman" w:hAnsi="Times New Roman" w:eastAsia="宋体" w:cs="Times New Roman"/>
                <w:b w:val="0"/>
                <w:bCs w:val="0"/>
                <w:color w:val="auto"/>
                <w:sz w:val="24"/>
                <w:szCs w:val="24"/>
                <w:u w:val="none"/>
                <w:lang w:val="en-US" w:eastAsia="zh-CN"/>
              </w:rPr>
              <w:t>次计算，</w:t>
            </w:r>
            <w:r>
              <w:rPr>
                <w:rFonts w:hint="eastAsia" w:ascii="Times New Roman" w:hAnsi="Times New Roman" w:eastAsia="宋体" w:cs="Times New Roman"/>
                <w:b w:val="0"/>
                <w:bCs w:val="0"/>
                <w:color w:val="auto"/>
                <w:sz w:val="24"/>
                <w:szCs w:val="24"/>
                <w:u w:val="none"/>
                <w:lang w:val="en-US" w:eastAsia="zh-CN"/>
              </w:rPr>
              <w:t>则</w:t>
            </w:r>
            <w:r>
              <w:rPr>
                <w:rFonts w:hint="default" w:ascii="Times New Roman" w:hAnsi="Times New Roman" w:eastAsia="宋体" w:cs="Times New Roman"/>
                <w:b w:val="0"/>
                <w:bCs w:val="0"/>
                <w:color w:val="auto"/>
                <w:sz w:val="24"/>
                <w:szCs w:val="24"/>
                <w:u w:val="none"/>
                <w:lang w:val="en-US" w:eastAsia="zh-CN"/>
              </w:rPr>
              <w:t>产生的废UV灯管的量为</w:t>
            </w:r>
            <w:r>
              <w:rPr>
                <w:rFonts w:hint="eastAsia" w:cs="Times New Roman"/>
                <w:b w:val="0"/>
                <w:bCs w:val="0"/>
                <w:color w:val="auto"/>
                <w:sz w:val="24"/>
                <w:szCs w:val="24"/>
                <w:u w:val="none"/>
                <w:lang w:val="en-US" w:eastAsia="zh-CN"/>
              </w:rPr>
              <w:t>108</w:t>
            </w:r>
            <w:r>
              <w:rPr>
                <w:rFonts w:hint="default" w:ascii="Times New Roman" w:hAnsi="Times New Roman" w:eastAsia="宋体" w:cs="Times New Roman"/>
                <w:b w:val="0"/>
                <w:bCs w:val="0"/>
                <w:color w:val="auto"/>
                <w:sz w:val="24"/>
                <w:szCs w:val="24"/>
                <w:u w:val="none"/>
                <w:lang w:val="en-US" w:eastAsia="zh-CN"/>
              </w:rPr>
              <w:t>根/a；</w:t>
            </w:r>
            <w:r>
              <w:rPr>
                <w:rFonts w:hint="default" w:ascii="Times New Roman" w:hAnsi="Times New Roman" w:cs="Times New Roman"/>
                <w:b w:val="0"/>
                <w:bCs w:val="0"/>
                <w:color w:val="auto"/>
                <w:sz w:val="24"/>
                <w:szCs w:val="24"/>
                <w:u w:val="none"/>
              </w:rPr>
              <w:t>属于危险废物，对照《国家危险废物名录》（2021版），废物类别为HW29，废物代码900-023-29。收集后暂存于厂区新建</w:t>
            </w:r>
            <w:r>
              <w:rPr>
                <w:rFonts w:hint="eastAsia" w:ascii="Times New Roman" w:hAnsi="Times New Roman" w:cs="Times New Roman"/>
                <w:b w:val="0"/>
                <w:bCs w:val="0"/>
                <w:color w:val="auto"/>
                <w:sz w:val="24"/>
                <w:szCs w:val="24"/>
                <w:u w:val="none"/>
                <w:lang w:val="en-US" w:eastAsia="zh-CN"/>
              </w:rPr>
              <w:t>的</w:t>
            </w:r>
            <w:r>
              <w:rPr>
                <w:rFonts w:hint="default" w:ascii="Times New Roman" w:hAnsi="Times New Roman" w:cs="Times New Roman"/>
                <w:b w:val="0"/>
                <w:bCs w:val="0"/>
                <w:color w:val="auto"/>
                <w:sz w:val="24"/>
                <w:szCs w:val="24"/>
                <w:u w:val="none"/>
              </w:rPr>
              <w:t>1座</w:t>
            </w:r>
            <w:r>
              <w:rPr>
                <w:rFonts w:hint="eastAsia" w:ascii="Times New Roman" w:hAnsi="Times New Roman" w:cs="Times New Roman"/>
                <w:b w:val="0"/>
                <w:bCs w:val="0"/>
                <w:color w:val="auto"/>
                <w:sz w:val="24"/>
                <w:szCs w:val="24"/>
                <w:u w:val="none"/>
                <w:lang w:val="en-US" w:eastAsia="zh-CN"/>
              </w:rPr>
              <w:t>1</w:t>
            </w:r>
            <w:r>
              <w:rPr>
                <w:rFonts w:hint="default" w:ascii="Times New Roman" w:hAnsi="Times New Roman" w:cs="Times New Roman"/>
                <w:b w:val="0"/>
                <w:bCs w:val="0"/>
                <w:color w:val="auto"/>
                <w:sz w:val="24"/>
                <w:szCs w:val="24"/>
                <w:u w:val="none"/>
              </w:rPr>
              <w:t>0m</w:t>
            </w:r>
            <w:r>
              <w:rPr>
                <w:rFonts w:hint="default" w:ascii="Times New Roman" w:hAnsi="Times New Roman" w:cs="Times New Roman"/>
                <w:b w:val="0"/>
                <w:bCs w:val="0"/>
                <w:color w:val="auto"/>
                <w:sz w:val="24"/>
                <w:szCs w:val="24"/>
                <w:u w:val="none"/>
                <w:vertAlign w:val="superscript"/>
              </w:rPr>
              <w:t>2</w:t>
            </w:r>
            <w:r>
              <w:rPr>
                <w:rFonts w:hint="default" w:ascii="Times New Roman" w:hAnsi="Times New Roman" w:cs="Times New Roman"/>
                <w:b w:val="0"/>
                <w:bCs w:val="0"/>
                <w:color w:val="auto"/>
                <w:sz w:val="24"/>
                <w:szCs w:val="24"/>
                <w:u w:val="none"/>
              </w:rPr>
              <w:t>的危废暂存间，定期委托有资质的单位处理。</w:t>
            </w:r>
          </w:p>
          <w:p>
            <w:pPr>
              <w:keepNext w:val="0"/>
              <w:keepLines w:val="0"/>
              <w:pageBreakBefore w:val="0"/>
              <w:widowControl w:val="0"/>
              <w:autoSpaceDE w:val="0"/>
              <w:autoSpaceDN w:val="0"/>
              <w:bidi w:val="0"/>
              <w:adjustRightInd w:val="0"/>
              <w:spacing w:line="360" w:lineRule="auto"/>
              <w:ind w:firstLine="482" w:firstLineChars="200"/>
              <w:rPr>
                <w:rFonts w:hint="default" w:ascii="Times New Roman" w:hAnsi="Times New Roman" w:cs="Times New Roman"/>
                <w:b/>
                <w:bCs/>
                <w:color w:val="auto"/>
                <w:sz w:val="24"/>
                <w:u w:val="none"/>
                <w:lang w:val="en-US" w:eastAsia="zh-CN"/>
              </w:rPr>
            </w:pPr>
            <w:r>
              <w:rPr>
                <w:rFonts w:hint="eastAsia" w:ascii="Times New Roman" w:hAnsi="Times New Roman" w:cs="Times New Roman"/>
                <w:b/>
                <w:bCs/>
                <w:color w:val="auto"/>
                <w:sz w:val="24"/>
                <w:u w:val="none"/>
                <w:lang w:val="en-US" w:eastAsia="zh-CN"/>
              </w:rPr>
              <w:t>（6）</w:t>
            </w:r>
            <w:r>
              <w:rPr>
                <w:rFonts w:hint="default" w:ascii="Times New Roman" w:hAnsi="Times New Roman" w:cs="Times New Roman"/>
                <w:b/>
                <w:bCs/>
                <w:color w:val="auto"/>
                <w:sz w:val="24"/>
                <w:u w:val="none"/>
                <w:lang w:val="en-US" w:eastAsia="zh-CN"/>
              </w:rPr>
              <w:t>废催化板</w:t>
            </w:r>
          </w:p>
          <w:p>
            <w:pPr>
              <w:keepNext w:val="0"/>
              <w:keepLines w:val="0"/>
              <w:pageBreakBefore w:val="0"/>
              <w:widowControl w:val="0"/>
              <w:autoSpaceDE w:val="0"/>
              <w:autoSpaceDN w:val="0"/>
              <w:bidi w:val="0"/>
              <w:adjustRightInd w:val="0"/>
              <w:spacing w:line="360" w:lineRule="auto"/>
              <w:ind w:firstLine="480" w:firstLineChars="200"/>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lang w:val="en-US" w:eastAsia="zh-CN"/>
              </w:rPr>
              <w:t>项目光氧催化采用二氧化钛光催化板，根据厂家提供资料，二氧化钛光氧催化板每年更换两次，每次更换量约3kg，则废气处理设施中废二氧化钛光催化板产生量为0.006t/a。根据《国家危险废物名录》（2021年版），废二氧化钛光催化板属于危险废物，废物类别为HW49，废物代码为900-041-49，危险特性为T/In。</w:t>
            </w:r>
            <w:r>
              <w:rPr>
                <w:rFonts w:hint="default" w:ascii="Times New Roman" w:hAnsi="Times New Roman" w:cs="Times New Roman"/>
                <w:b w:val="0"/>
                <w:bCs w:val="0"/>
                <w:color w:val="auto"/>
                <w:sz w:val="24"/>
                <w:szCs w:val="24"/>
                <w:u w:val="none"/>
              </w:rPr>
              <w:t>收集后暂存于厂区新建</w:t>
            </w:r>
            <w:r>
              <w:rPr>
                <w:rFonts w:hint="eastAsia" w:ascii="Times New Roman" w:hAnsi="Times New Roman" w:cs="Times New Roman"/>
                <w:b w:val="0"/>
                <w:bCs w:val="0"/>
                <w:color w:val="auto"/>
                <w:sz w:val="24"/>
                <w:szCs w:val="24"/>
                <w:u w:val="none"/>
                <w:lang w:val="en-US" w:eastAsia="zh-CN"/>
              </w:rPr>
              <w:t>的</w:t>
            </w:r>
            <w:r>
              <w:rPr>
                <w:rFonts w:hint="default" w:ascii="Times New Roman" w:hAnsi="Times New Roman" w:cs="Times New Roman"/>
                <w:b w:val="0"/>
                <w:bCs w:val="0"/>
                <w:color w:val="auto"/>
                <w:sz w:val="24"/>
                <w:szCs w:val="24"/>
                <w:u w:val="none"/>
              </w:rPr>
              <w:t>1座</w:t>
            </w:r>
            <w:r>
              <w:rPr>
                <w:rFonts w:hint="eastAsia" w:ascii="Times New Roman" w:hAnsi="Times New Roman" w:cs="Times New Roman"/>
                <w:b w:val="0"/>
                <w:bCs w:val="0"/>
                <w:color w:val="auto"/>
                <w:sz w:val="24"/>
                <w:szCs w:val="24"/>
                <w:u w:val="none"/>
                <w:lang w:val="en-US" w:eastAsia="zh-CN"/>
              </w:rPr>
              <w:t>1</w:t>
            </w:r>
            <w:r>
              <w:rPr>
                <w:rFonts w:hint="default" w:ascii="Times New Roman" w:hAnsi="Times New Roman" w:cs="Times New Roman"/>
                <w:b w:val="0"/>
                <w:bCs w:val="0"/>
                <w:color w:val="auto"/>
                <w:sz w:val="24"/>
                <w:szCs w:val="24"/>
                <w:u w:val="none"/>
              </w:rPr>
              <w:t>0m</w:t>
            </w:r>
            <w:r>
              <w:rPr>
                <w:rFonts w:hint="default" w:ascii="Times New Roman" w:hAnsi="Times New Roman" w:cs="Times New Roman"/>
                <w:b w:val="0"/>
                <w:bCs w:val="0"/>
                <w:color w:val="auto"/>
                <w:sz w:val="24"/>
                <w:szCs w:val="24"/>
                <w:u w:val="none"/>
                <w:vertAlign w:val="superscript"/>
              </w:rPr>
              <w:t>2</w:t>
            </w:r>
            <w:r>
              <w:rPr>
                <w:rFonts w:hint="default" w:ascii="Times New Roman" w:hAnsi="Times New Roman" w:cs="Times New Roman"/>
                <w:b w:val="0"/>
                <w:bCs w:val="0"/>
                <w:color w:val="auto"/>
                <w:sz w:val="24"/>
                <w:szCs w:val="24"/>
                <w:u w:val="none"/>
              </w:rPr>
              <w:t>的危废暂存间，定期委托有资质的单位处理。</w:t>
            </w:r>
          </w:p>
          <w:p>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cs="Times New Roman"/>
                <w:b/>
                <w:bCs/>
                <w:sz w:val="24"/>
                <w:szCs w:val="24"/>
                <w:u w:val="none"/>
                <w:lang w:val="en-US" w:eastAsia="zh-CN"/>
              </w:rPr>
              <w:t>（</w:t>
            </w:r>
            <w:r>
              <w:rPr>
                <w:rFonts w:hint="eastAsia" w:cs="Times New Roman"/>
                <w:b/>
                <w:bCs/>
                <w:sz w:val="24"/>
                <w:szCs w:val="24"/>
                <w:u w:val="none"/>
                <w:lang w:val="en-US" w:eastAsia="zh-CN"/>
              </w:rPr>
              <w:t>7</w:t>
            </w:r>
            <w:r>
              <w:rPr>
                <w:rFonts w:hint="eastAsia" w:ascii="Times New Roman" w:hAnsi="Times New Roman" w:cs="Times New Roman"/>
                <w:b/>
                <w:bCs/>
                <w:sz w:val="24"/>
                <w:szCs w:val="24"/>
                <w:u w:val="none"/>
                <w:lang w:val="en-US" w:eastAsia="zh-CN"/>
              </w:rPr>
              <w:t>）</w:t>
            </w:r>
            <w:r>
              <w:rPr>
                <w:rFonts w:hint="default" w:ascii="Times New Roman" w:hAnsi="Times New Roman" w:eastAsia="宋体" w:cs="Times New Roman"/>
                <w:b/>
                <w:bCs/>
                <w:color w:val="auto"/>
                <w:sz w:val="24"/>
                <w:lang w:val="en-US" w:eastAsia="zh-CN"/>
              </w:rPr>
              <w:t>废润滑油、废</w:t>
            </w:r>
            <w:r>
              <w:rPr>
                <w:rFonts w:hint="eastAsia" w:ascii="Times New Roman" w:hAnsi="Times New Roman" w:cs="Times New Roman"/>
                <w:b/>
                <w:bCs/>
                <w:color w:val="auto"/>
                <w:sz w:val="24"/>
                <w:lang w:val="en-US" w:eastAsia="zh-CN"/>
              </w:rPr>
              <w:t>机</w:t>
            </w:r>
            <w:r>
              <w:rPr>
                <w:rFonts w:hint="default" w:ascii="Times New Roman" w:hAnsi="Times New Roman" w:eastAsia="宋体" w:cs="Times New Roman"/>
                <w:b/>
                <w:bCs/>
                <w:color w:val="auto"/>
                <w:sz w:val="24"/>
                <w:lang w:val="en-US" w:eastAsia="zh-CN"/>
              </w:rPr>
              <w:t>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outlineLvl w:val="9"/>
              <w:rPr>
                <w:rFonts w:hint="default" w:ascii="Times New Roman" w:hAnsi="Times New Roman" w:eastAsia="宋体" w:cs="Times New Roman"/>
                <w:bCs/>
                <w:color w:val="auto"/>
                <w:sz w:val="24"/>
                <w:szCs w:val="22"/>
                <w:lang w:val="en-US" w:eastAsia="zh-CN"/>
              </w:rPr>
            </w:pPr>
            <w:r>
              <w:rPr>
                <w:rFonts w:hint="default" w:ascii="Times New Roman" w:hAnsi="Times New Roman" w:eastAsia="宋体" w:cs="Times New Roman"/>
                <w:bCs/>
                <w:color w:val="auto"/>
                <w:sz w:val="24"/>
                <w:szCs w:val="22"/>
                <w:lang w:val="en-US" w:eastAsia="zh-CN"/>
              </w:rPr>
              <w:t>项目机械设备车床等生产过程中需使用</w:t>
            </w:r>
            <w:r>
              <w:rPr>
                <w:rFonts w:hint="eastAsia" w:cs="Times New Roman"/>
                <w:bCs/>
                <w:color w:val="auto"/>
                <w:sz w:val="24"/>
                <w:szCs w:val="22"/>
                <w:lang w:val="en-US" w:eastAsia="zh-CN"/>
              </w:rPr>
              <w:t>废机油</w:t>
            </w:r>
            <w:r>
              <w:rPr>
                <w:rFonts w:hint="default" w:ascii="Times New Roman" w:hAnsi="Times New Roman" w:eastAsia="宋体" w:cs="Times New Roman"/>
                <w:bCs/>
                <w:color w:val="auto"/>
                <w:sz w:val="24"/>
                <w:szCs w:val="22"/>
                <w:lang w:val="en-US" w:eastAsia="zh-CN"/>
              </w:rPr>
              <w:t>、润滑油，长时间使用后均会产生杂质，影响设备工作性能，需定期更换</w:t>
            </w:r>
            <w:r>
              <w:rPr>
                <w:rFonts w:hint="eastAsia" w:cs="Times New Roman"/>
                <w:bCs/>
                <w:color w:val="auto"/>
                <w:sz w:val="24"/>
                <w:szCs w:val="22"/>
                <w:lang w:val="en-US" w:eastAsia="zh-CN"/>
              </w:rPr>
              <w:t>，本项目1年更换1次</w:t>
            </w:r>
            <w:r>
              <w:rPr>
                <w:rFonts w:hint="default" w:ascii="Times New Roman" w:hAnsi="Times New Roman" w:eastAsia="宋体" w:cs="Times New Roman"/>
                <w:bCs/>
                <w:color w:val="auto"/>
                <w:sz w:val="24"/>
                <w:szCs w:val="22"/>
                <w:lang w:val="en-US" w:eastAsia="zh-CN"/>
              </w:rPr>
              <w:t>。</w:t>
            </w:r>
            <w:r>
              <w:rPr>
                <w:rFonts w:hint="eastAsia" w:cs="Times New Roman"/>
                <w:bCs/>
                <w:color w:val="auto"/>
                <w:sz w:val="24"/>
                <w:szCs w:val="22"/>
                <w:lang w:val="en-US" w:eastAsia="zh-CN"/>
              </w:rPr>
              <w:t>机油</w:t>
            </w:r>
            <w:r>
              <w:rPr>
                <w:rFonts w:hint="default" w:ascii="Times New Roman" w:hAnsi="Times New Roman" w:eastAsia="宋体" w:cs="Times New Roman"/>
                <w:bCs/>
                <w:color w:val="auto"/>
                <w:sz w:val="24"/>
                <w:szCs w:val="22"/>
                <w:lang w:val="en-US" w:eastAsia="zh-CN"/>
              </w:rPr>
              <w:t>、润滑油更换量约为0.05t/a。</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4"/>
                <w:szCs w:val="22"/>
                <w:lang w:val="en-US" w:eastAsia="zh-CN"/>
              </w:rPr>
              <w:t>根据《国家危险废物名录》（2021年版），该类固废属于危险废物（HW08废矿物油与含矿物油废物</w:t>
            </w:r>
            <w:r>
              <w:rPr>
                <w:rFonts w:hint="eastAsia" w:ascii="Times New Roman" w:hAnsi="Times New Roman" w:eastAsia="宋体" w:cs="Times New Roman"/>
                <w:bCs/>
                <w:color w:val="auto"/>
                <w:sz w:val="24"/>
                <w:szCs w:val="22"/>
                <w:lang w:val="en-US" w:eastAsia="zh-CN"/>
              </w:rPr>
              <w:t xml:space="preserve"> 非特定行业</w:t>
            </w:r>
            <w:r>
              <w:rPr>
                <w:rFonts w:hint="default" w:ascii="Times New Roman" w:hAnsi="Times New Roman" w:eastAsia="宋体" w:cs="Times New Roman"/>
                <w:bCs/>
                <w:color w:val="auto"/>
                <w:sz w:val="24"/>
                <w:szCs w:val="22"/>
                <w:lang w:val="en-US" w:eastAsia="zh-CN"/>
              </w:rPr>
              <w:t>，废物代码为900-249-08，其他生产、销售、使用过程中产生的废矿物油及沾染矿物油的废弃包装物），主要成分</w:t>
            </w:r>
            <w:r>
              <w:rPr>
                <w:rFonts w:hint="default" w:ascii="Times New Roman" w:hAnsi="Times New Roman" w:eastAsia="宋体" w:cs="Times New Roman"/>
                <w:bCs/>
                <w:color w:val="auto"/>
                <w:sz w:val="24"/>
                <w:szCs w:val="22"/>
                <w:highlight w:val="none"/>
                <w:lang w:val="en-US" w:eastAsia="zh-CN"/>
              </w:rPr>
              <w:t>为矿物油</w:t>
            </w:r>
            <w:r>
              <w:rPr>
                <w:rFonts w:hint="default" w:ascii="Times New Roman" w:hAnsi="Times New Roman" w:eastAsia="宋体" w:cs="Times New Roman"/>
                <w:bCs/>
                <w:color w:val="auto"/>
                <w:sz w:val="24"/>
                <w:szCs w:val="22"/>
                <w:lang w:val="en-US" w:eastAsia="zh-CN"/>
              </w:rPr>
              <w:t>，有害成分为矿物油。工程拟将其使用密闭容器收集后暂存于危废暂存间，定期委托有资质的危险废物处理单位安全处置。</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sz w:val="24"/>
                <w:szCs w:val="24"/>
                <w:u w:val="none"/>
                <w:lang w:val="en-US" w:eastAsia="zh-CN"/>
              </w:rPr>
            </w:pPr>
            <w:r>
              <w:rPr>
                <w:rFonts w:hint="default" w:ascii="Times New Roman" w:hAnsi="Times New Roman" w:eastAsia="宋体" w:cs="Times New Roman"/>
                <w:b/>
                <w:bCs/>
                <w:color w:val="auto"/>
                <w:spacing w:val="0"/>
                <w:sz w:val="24"/>
                <w:szCs w:val="24"/>
                <w:u w:val="none"/>
                <w:lang w:val="en-US" w:eastAsia="zh-CN"/>
              </w:rPr>
              <w:t>表4-</w:t>
            </w:r>
            <w:r>
              <w:rPr>
                <w:rFonts w:hint="eastAsia" w:cs="Times New Roman"/>
                <w:b/>
                <w:bCs/>
                <w:color w:val="auto"/>
                <w:spacing w:val="0"/>
                <w:sz w:val="24"/>
                <w:szCs w:val="24"/>
                <w:u w:val="none"/>
                <w:lang w:val="en-US" w:eastAsia="zh-CN"/>
              </w:rPr>
              <w:t>15</w:t>
            </w:r>
            <w:r>
              <w:rPr>
                <w:rFonts w:hint="default" w:ascii="Times New Roman" w:hAnsi="Times New Roman" w:eastAsia="宋体" w:cs="Times New Roman"/>
                <w:b/>
                <w:bCs/>
                <w:color w:val="auto"/>
                <w:spacing w:val="0"/>
                <w:sz w:val="24"/>
                <w:szCs w:val="24"/>
                <w:u w:val="none"/>
                <w:lang w:val="en-US" w:eastAsia="zh-CN"/>
              </w:rPr>
              <w:t>建设项目危险废物</w:t>
            </w:r>
            <w:r>
              <w:rPr>
                <w:rFonts w:hint="default" w:ascii="Times New Roman" w:hAnsi="Times New Roman" w:cs="Times New Roman"/>
                <w:b/>
                <w:bCs/>
                <w:color w:val="auto"/>
                <w:spacing w:val="0"/>
                <w:sz w:val="24"/>
                <w:szCs w:val="24"/>
                <w:u w:val="none"/>
                <w:lang w:val="en-US" w:eastAsia="zh-CN"/>
              </w:rPr>
              <w:t>汇总</w:t>
            </w:r>
            <w:r>
              <w:rPr>
                <w:rFonts w:hint="default" w:ascii="Times New Roman" w:hAnsi="Times New Roman" w:eastAsia="宋体" w:cs="Times New Roman"/>
                <w:b/>
                <w:bCs/>
                <w:color w:val="auto"/>
                <w:spacing w:val="0"/>
                <w:sz w:val="24"/>
                <w:szCs w:val="24"/>
                <w:u w:val="none"/>
                <w:lang w:val="en-US" w:eastAsia="zh-CN"/>
              </w:rPr>
              <w:t>表</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1"/>
              <w:gridCol w:w="886"/>
              <w:gridCol w:w="776"/>
              <w:gridCol w:w="1196"/>
              <w:gridCol w:w="899"/>
              <w:gridCol w:w="870"/>
              <w:gridCol w:w="690"/>
              <w:gridCol w:w="780"/>
              <w:gridCol w:w="735"/>
              <w:gridCol w:w="675"/>
              <w:gridCol w:w="705"/>
              <w:gridCol w:w="6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81"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序号</w:t>
                  </w:r>
                </w:p>
              </w:tc>
              <w:tc>
                <w:tcPr>
                  <w:tcW w:w="886"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危险废物名称</w:t>
                  </w:r>
                </w:p>
              </w:tc>
              <w:tc>
                <w:tcPr>
                  <w:tcW w:w="776"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危险废物类别</w:t>
                  </w:r>
                </w:p>
              </w:tc>
              <w:tc>
                <w:tcPr>
                  <w:tcW w:w="1196"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危险废物代码</w:t>
                  </w:r>
                </w:p>
              </w:tc>
              <w:tc>
                <w:tcPr>
                  <w:tcW w:w="899"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产生量（吨/年）</w:t>
                  </w:r>
                </w:p>
              </w:tc>
              <w:tc>
                <w:tcPr>
                  <w:tcW w:w="87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产生工序及装置</w:t>
                  </w:r>
                </w:p>
              </w:tc>
              <w:tc>
                <w:tcPr>
                  <w:tcW w:w="69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形态</w:t>
                  </w:r>
                </w:p>
              </w:tc>
              <w:tc>
                <w:tcPr>
                  <w:tcW w:w="78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主要成分</w:t>
                  </w:r>
                </w:p>
              </w:tc>
              <w:tc>
                <w:tcPr>
                  <w:tcW w:w="73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有害成分</w:t>
                  </w:r>
                </w:p>
              </w:tc>
              <w:tc>
                <w:tcPr>
                  <w:tcW w:w="67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产废周期</w:t>
                  </w:r>
                </w:p>
              </w:tc>
              <w:tc>
                <w:tcPr>
                  <w:tcW w:w="70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危险</w:t>
                  </w:r>
                </w:p>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特性</w:t>
                  </w:r>
                </w:p>
              </w:tc>
              <w:tc>
                <w:tcPr>
                  <w:tcW w:w="654"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1</w:t>
                  </w:r>
                </w:p>
              </w:tc>
              <w:tc>
                <w:tcPr>
                  <w:tcW w:w="886"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废机油</w:t>
                  </w:r>
                  <w:r>
                    <w:rPr>
                      <w:rFonts w:hint="eastAsia" w:cs="Times New Roman"/>
                      <w:u w:val="none"/>
                      <w:lang w:val="en-US" w:eastAsia="zh-CN"/>
                    </w:rPr>
                    <w:t>、废润滑油</w:t>
                  </w:r>
                </w:p>
              </w:tc>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4"/>
                      <w:u w:val="none"/>
                      <w:lang w:val="en-US" w:eastAsia="zh-CN" w:bidi="ar-SA"/>
                    </w:rPr>
                  </w:pPr>
                  <w:r>
                    <w:rPr>
                      <w:rFonts w:hint="default" w:ascii="Times New Roman" w:hAnsi="Times New Roman" w:cs="Times New Roman"/>
                      <w:b w:val="0"/>
                      <w:bCs w:val="0"/>
                      <w:u w:val="none"/>
                    </w:rPr>
                    <w:t>HW08</w:t>
                  </w:r>
                </w:p>
              </w:tc>
              <w:tc>
                <w:tcPr>
                  <w:tcW w:w="11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4"/>
                      <w:u w:val="none"/>
                      <w:lang w:val="en-US" w:eastAsia="zh-CN" w:bidi="ar-SA"/>
                    </w:rPr>
                  </w:pPr>
                  <w:r>
                    <w:rPr>
                      <w:rFonts w:hint="default" w:ascii="Times New Roman" w:hAnsi="Times New Roman" w:cs="Times New Roman"/>
                      <w:b w:val="0"/>
                      <w:bCs w:val="0"/>
                      <w:u w:val="none"/>
                    </w:rPr>
                    <w:t>900-214-08</w:t>
                  </w:r>
                </w:p>
              </w:tc>
              <w:tc>
                <w:tcPr>
                  <w:tcW w:w="899"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0.0</w:t>
                  </w:r>
                  <w:r>
                    <w:rPr>
                      <w:rFonts w:hint="eastAsia" w:cs="Times New Roman"/>
                      <w:u w:val="none"/>
                      <w:lang w:val="en-US" w:eastAsia="zh-CN"/>
                    </w:rPr>
                    <w:t>5t/a</w:t>
                  </w:r>
                </w:p>
              </w:tc>
              <w:tc>
                <w:tcPr>
                  <w:tcW w:w="87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设备保养</w:t>
                  </w:r>
                </w:p>
              </w:tc>
              <w:tc>
                <w:tcPr>
                  <w:tcW w:w="69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液态</w:t>
                  </w:r>
                </w:p>
              </w:tc>
              <w:tc>
                <w:tcPr>
                  <w:tcW w:w="78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矿物油</w:t>
                  </w:r>
                </w:p>
              </w:tc>
              <w:tc>
                <w:tcPr>
                  <w:tcW w:w="73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lang w:val="en-US" w:eastAsia="zh-CN"/>
                    </w:rPr>
                    <w:t>矿物油</w:t>
                  </w:r>
                </w:p>
              </w:tc>
              <w:tc>
                <w:tcPr>
                  <w:tcW w:w="67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1次/a</w:t>
                  </w:r>
                </w:p>
              </w:tc>
              <w:tc>
                <w:tcPr>
                  <w:tcW w:w="70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b w:val="0"/>
                      <w:bCs w:val="0"/>
                      <w:u w:val="none"/>
                    </w:rPr>
                    <w:t>T，I</w:t>
                  </w:r>
                </w:p>
              </w:tc>
              <w:tc>
                <w:tcPr>
                  <w:tcW w:w="654" w:type="dxa"/>
                  <w:vMerge w:val="restart"/>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危废间暂存后，由有资质单位处理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81"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2</w:t>
                  </w:r>
                </w:p>
              </w:tc>
              <w:tc>
                <w:tcPr>
                  <w:tcW w:w="886"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废活性炭</w:t>
                  </w:r>
                </w:p>
              </w:tc>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color w:val="auto"/>
                      <w:sz w:val="21"/>
                      <w:szCs w:val="21"/>
                      <w:u w:val="none"/>
                      <w:lang w:val="en-US" w:eastAsia="zh-CN"/>
                    </w:rPr>
                    <w:t>HW49</w:t>
                  </w:r>
                </w:p>
              </w:tc>
              <w:tc>
                <w:tcPr>
                  <w:tcW w:w="11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color w:val="auto"/>
                      <w:sz w:val="21"/>
                      <w:szCs w:val="21"/>
                      <w:u w:val="none"/>
                      <w:lang w:val="en-US" w:eastAsia="zh-CN"/>
                    </w:rPr>
                    <w:t>900-039-49</w:t>
                  </w:r>
                </w:p>
              </w:tc>
              <w:tc>
                <w:tcPr>
                  <w:tcW w:w="899"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eastAsia" w:cs="Times New Roman"/>
                      <w:u w:val="none"/>
                      <w:lang w:val="en-US" w:eastAsia="zh-CN"/>
                    </w:rPr>
                    <w:t>0.1292t/a</w:t>
                  </w:r>
                </w:p>
              </w:tc>
              <w:tc>
                <w:tcPr>
                  <w:tcW w:w="870" w:type="dxa"/>
                  <w:vMerge w:val="restart"/>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有机废气环保处理设施</w:t>
                  </w:r>
                </w:p>
              </w:tc>
              <w:tc>
                <w:tcPr>
                  <w:tcW w:w="69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固体</w:t>
                  </w:r>
                </w:p>
              </w:tc>
              <w:tc>
                <w:tcPr>
                  <w:tcW w:w="78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活性炭</w:t>
                  </w:r>
                </w:p>
              </w:tc>
              <w:tc>
                <w:tcPr>
                  <w:tcW w:w="73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lang w:val="en-US" w:eastAsia="zh-CN"/>
                    </w:rPr>
                    <w:t>非甲烷总烃</w:t>
                  </w:r>
                </w:p>
              </w:tc>
              <w:tc>
                <w:tcPr>
                  <w:tcW w:w="67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eastAsia" w:cs="Times New Roman"/>
                      <w:u w:val="none"/>
                      <w:lang w:val="en-US" w:eastAsia="zh-CN"/>
                    </w:rPr>
                    <w:t>3个月</w:t>
                  </w:r>
                  <w:r>
                    <w:rPr>
                      <w:rFonts w:hint="default" w:ascii="Times New Roman" w:hAnsi="Times New Roman" w:cs="Times New Roman"/>
                      <w:u w:val="none"/>
                    </w:rPr>
                    <w:t>/次</w:t>
                  </w:r>
                </w:p>
              </w:tc>
              <w:tc>
                <w:tcPr>
                  <w:tcW w:w="70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b w:val="0"/>
                      <w:bCs w:val="0"/>
                      <w:u w:val="none"/>
                      <w:lang w:val="en-US" w:eastAsia="zh-CN"/>
                    </w:rPr>
                    <w:t>T</w:t>
                  </w:r>
                </w:p>
              </w:tc>
              <w:tc>
                <w:tcPr>
                  <w:tcW w:w="654" w:type="dxa"/>
                  <w:vMerge w:val="continue"/>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lang w:val="en-US" w:eastAsia="zh-CN"/>
                    </w:rPr>
                    <w:t>3</w:t>
                  </w:r>
                </w:p>
              </w:tc>
              <w:tc>
                <w:tcPr>
                  <w:tcW w:w="886"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lang w:val="en-US" w:eastAsia="zh-CN"/>
                    </w:rPr>
                  </w:pPr>
                  <w:r>
                    <w:rPr>
                      <w:rFonts w:hint="eastAsia" w:cs="Times New Roman"/>
                      <w:u w:val="none"/>
                      <w:lang w:val="en-US" w:eastAsia="zh-CN"/>
                    </w:rPr>
                    <w:t>废UV灯管</w:t>
                  </w:r>
                </w:p>
              </w:tc>
              <w:tc>
                <w:tcPr>
                  <w:tcW w:w="776" w:type="dxa"/>
                  <w:noWrap w:val="0"/>
                  <w:vAlign w:val="center"/>
                </w:tcPr>
                <w:p>
                  <w:pPr>
                    <w:keepNext w:val="0"/>
                    <w:keepLines w:val="0"/>
                    <w:pageBreakBefore w:val="0"/>
                    <w:widowControl w:val="0"/>
                    <w:bidi w:val="0"/>
                    <w:spacing w:line="360" w:lineRule="exact"/>
                    <w:jc w:val="center"/>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cs="Times New Roman"/>
                      <w:b w:val="0"/>
                      <w:bCs w:val="0"/>
                      <w:color w:val="auto"/>
                      <w:szCs w:val="21"/>
                      <w:u w:val="none"/>
                    </w:rPr>
                    <w:t>HW29</w:t>
                  </w:r>
                </w:p>
              </w:tc>
              <w:tc>
                <w:tcPr>
                  <w:tcW w:w="1196" w:type="dxa"/>
                  <w:noWrap w:val="0"/>
                  <w:vAlign w:val="center"/>
                </w:tcPr>
                <w:p>
                  <w:pPr>
                    <w:keepNext w:val="0"/>
                    <w:keepLines w:val="0"/>
                    <w:pageBreakBefore w:val="0"/>
                    <w:widowControl w:val="0"/>
                    <w:topLinePunct/>
                    <w:bidi w:val="0"/>
                    <w:adjustRightInd w:val="0"/>
                    <w:snapToGrid w:val="0"/>
                    <w:spacing w:line="360" w:lineRule="exact"/>
                    <w:jc w:val="center"/>
                    <w:rPr>
                      <w:rFonts w:hint="default" w:ascii="Times New Roman" w:hAnsi="Times New Roman" w:eastAsia="宋体" w:cs="Times New Roman"/>
                      <w:b w:val="0"/>
                      <w:bCs w:val="0"/>
                      <w:color w:val="auto"/>
                      <w:kern w:val="2"/>
                      <w:sz w:val="21"/>
                      <w:szCs w:val="21"/>
                      <w:u w:val="none"/>
                      <w:lang w:val="en-US" w:eastAsia="zh-CN" w:bidi="ar"/>
                    </w:rPr>
                  </w:pPr>
                  <w:r>
                    <w:rPr>
                      <w:rFonts w:hint="default" w:ascii="Times New Roman" w:hAnsi="Times New Roman" w:cs="Times New Roman"/>
                      <w:b w:val="0"/>
                      <w:bCs w:val="0"/>
                      <w:color w:val="auto"/>
                      <w:szCs w:val="21"/>
                      <w:u w:val="none"/>
                    </w:rPr>
                    <w:t>900-023-29</w:t>
                  </w:r>
                </w:p>
              </w:tc>
              <w:tc>
                <w:tcPr>
                  <w:tcW w:w="899" w:type="dxa"/>
                  <w:noWrap w:val="0"/>
                  <w:vAlign w:val="center"/>
                </w:tcPr>
                <w:p>
                  <w:pPr>
                    <w:keepNext w:val="0"/>
                    <w:keepLines w:val="0"/>
                    <w:pageBreakBefore w:val="0"/>
                    <w:widowControl w:val="0"/>
                    <w:bidi w:val="0"/>
                    <w:adjustRightInd w:val="0"/>
                    <w:snapToGrid w:val="0"/>
                    <w:spacing w:line="360" w:lineRule="exact"/>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cs="Times New Roman"/>
                      <w:b w:val="0"/>
                      <w:bCs w:val="0"/>
                      <w:color w:val="auto"/>
                      <w:u w:val="none"/>
                      <w:lang w:val="en-US" w:eastAsia="zh-CN"/>
                    </w:rPr>
                    <w:t>108</w:t>
                  </w:r>
                  <w:r>
                    <w:rPr>
                      <w:rFonts w:hint="default" w:ascii="Times New Roman" w:hAnsi="Times New Roman" w:cs="Times New Roman"/>
                      <w:b w:val="0"/>
                      <w:bCs w:val="0"/>
                      <w:color w:val="auto"/>
                      <w:u w:val="none"/>
                    </w:rPr>
                    <w:t>根/a</w:t>
                  </w:r>
                </w:p>
              </w:tc>
              <w:tc>
                <w:tcPr>
                  <w:tcW w:w="870" w:type="dxa"/>
                  <w:vMerge w:val="continue"/>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lang w:val="en-US" w:eastAsia="zh-CN"/>
                    </w:rPr>
                  </w:pPr>
                </w:p>
              </w:tc>
              <w:tc>
                <w:tcPr>
                  <w:tcW w:w="69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lang w:val="en-US" w:eastAsia="zh-CN"/>
                    </w:rPr>
                  </w:pPr>
                  <w:r>
                    <w:rPr>
                      <w:rFonts w:hint="eastAsia" w:cs="Times New Roman"/>
                      <w:u w:val="none"/>
                      <w:lang w:val="en-US" w:eastAsia="zh-CN"/>
                    </w:rPr>
                    <w:t>固体</w:t>
                  </w:r>
                </w:p>
              </w:tc>
              <w:tc>
                <w:tcPr>
                  <w:tcW w:w="78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lang w:val="en-US" w:eastAsia="zh-CN"/>
                    </w:rPr>
                  </w:pPr>
                  <w:r>
                    <w:rPr>
                      <w:rFonts w:hint="default" w:ascii="Times New Roman" w:hAnsi="Times New Roman" w:cs="Times New Roman"/>
                      <w:b w:val="0"/>
                      <w:bCs w:val="0"/>
                      <w:color w:val="000000"/>
                      <w:kern w:val="0"/>
                      <w:szCs w:val="21"/>
                      <w:u w:val="none"/>
                      <w:lang w:bidi="ar"/>
                    </w:rPr>
                    <w:t>汞及其化合物</w:t>
                  </w:r>
                </w:p>
              </w:tc>
              <w:tc>
                <w:tcPr>
                  <w:tcW w:w="73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lang w:val="en-US" w:eastAsia="zh-CN"/>
                    </w:rPr>
                  </w:pPr>
                  <w:r>
                    <w:rPr>
                      <w:rFonts w:hint="default" w:ascii="Times New Roman" w:hAnsi="Times New Roman" w:cs="Times New Roman"/>
                      <w:b w:val="0"/>
                      <w:bCs w:val="0"/>
                      <w:color w:val="000000"/>
                      <w:kern w:val="0"/>
                      <w:szCs w:val="21"/>
                      <w:u w:val="none"/>
                      <w:lang w:bidi="ar"/>
                    </w:rPr>
                    <w:t>汞及其化合物</w:t>
                  </w:r>
                </w:p>
              </w:tc>
              <w:tc>
                <w:tcPr>
                  <w:tcW w:w="67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eastAsia" w:cs="Times New Roman"/>
                      <w:u w:val="none"/>
                      <w:lang w:val="en-US" w:eastAsia="zh-CN"/>
                    </w:rPr>
                    <w:t>半年/次</w:t>
                  </w:r>
                </w:p>
              </w:tc>
              <w:tc>
                <w:tcPr>
                  <w:tcW w:w="70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w:t>
                  </w:r>
                </w:p>
              </w:tc>
              <w:tc>
                <w:tcPr>
                  <w:tcW w:w="654" w:type="dxa"/>
                  <w:vMerge w:val="continue"/>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eastAsia" w:cs="Times New Roman"/>
                      <w:u w:val="none"/>
                      <w:lang w:val="en-US" w:eastAsia="zh-CN"/>
                    </w:rPr>
                    <w:t>4</w:t>
                  </w:r>
                </w:p>
              </w:tc>
              <w:tc>
                <w:tcPr>
                  <w:tcW w:w="886" w:type="dxa"/>
                  <w:noWrap w:val="0"/>
                  <w:vAlign w:val="center"/>
                </w:tcPr>
                <w:p>
                  <w:pPr>
                    <w:keepNext w:val="0"/>
                    <w:keepLines w:val="0"/>
                    <w:pageBreakBefore w:val="0"/>
                    <w:widowControl w:val="0"/>
                    <w:bidi w:val="0"/>
                    <w:adjustRightInd w:val="0"/>
                    <w:snapToGrid w:val="0"/>
                    <w:spacing w:line="360" w:lineRule="exact"/>
                    <w:jc w:val="center"/>
                    <w:rPr>
                      <w:rFonts w:hint="default" w:ascii="Times New Roman" w:hAnsi="Times New Roman" w:cs="Times New Roman"/>
                      <w:u w:val="none"/>
                      <w:lang w:val="en-US" w:eastAsia="zh-CN"/>
                    </w:rPr>
                  </w:pPr>
                  <w:r>
                    <w:rPr>
                      <w:rFonts w:hint="default" w:ascii="Times New Roman" w:hAnsi="Times New Roman" w:cs="Times New Roman"/>
                      <w:b w:val="0"/>
                      <w:bCs w:val="0"/>
                      <w:color w:val="auto"/>
                      <w:u w:val="none"/>
                      <w:lang w:val="en-US" w:eastAsia="zh-CN"/>
                    </w:rPr>
                    <w:t>废催化板</w:t>
                  </w:r>
                </w:p>
              </w:tc>
              <w:tc>
                <w:tcPr>
                  <w:tcW w:w="776" w:type="dxa"/>
                  <w:noWrap w:val="0"/>
                  <w:vAlign w:val="center"/>
                </w:tcPr>
                <w:p>
                  <w:pPr>
                    <w:keepNext w:val="0"/>
                    <w:keepLines w:val="0"/>
                    <w:pageBreakBefore w:val="0"/>
                    <w:widowControl w:val="0"/>
                    <w:bidi w:val="0"/>
                    <w:spacing w:line="360" w:lineRule="exact"/>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Cs w:val="21"/>
                      <w:u w:val="none"/>
                    </w:rPr>
                    <w:t>HW49</w:t>
                  </w:r>
                </w:p>
              </w:tc>
              <w:tc>
                <w:tcPr>
                  <w:tcW w:w="1196" w:type="dxa"/>
                  <w:noWrap w:val="0"/>
                  <w:vAlign w:val="center"/>
                </w:tcPr>
                <w:p>
                  <w:pPr>
                    <w:keepNext w:val="0"/>
                    <w:keepLines w:val="0"/>
                    <w:pageBreakBefore w:val="0"/>
                    <w:widowControl w:val="0"/>
                    <w:topLinePunct/>
                    <w:bidi w:val="0"/>
                    <w:adjustRightInd w:val="0"/>
                    <w:snapToGrid w:val="0"/>
                    <w:spacing w:line="360" w:lineRule="exact"/>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Cs w:val="21"/>
                      <w:u w:val="none"/>
                    </w:rPr>
                    <w:t>900-0</w:t>
                  </w:r>
                  <w:r>
                    <w:rPr>
                      <w:rFonts w:hint="default" w:ascii="Times New Roman" w:hAnsi="Times New Roman" w:cs="Times New Roman"/>
                      <w:b w:val="0"/>
                      <w:bCs w:val="0"/>
                      <w:color w:val="auto"/>
                      <w:szCs w:val="21"/>
                      <w:u w:val="none"/>
                      <w:lang w:val="en-US" w:eastAsia="zh-CN"/>
                    </w:rPr>
                    <w:t>41</w:t>
                  </w:r>
                  <w:r>
                    <w:rPr>
                      <w:rFonts w:hint="default" w:ascii="Times New Roman" w:hAnsi="Times New Roman" w:cs="Times New Roman"/>
                      <w:b w:val="0"/>
                      <w:bCs w:val="0"/>
                      <w:color w:val="auto"/>
                      <w:szCs w:val="21"/>
                      <w:u w:val="none"/>
                    </w:rPr>
                    <w:t>-49</w:t>
                  </w:r>
                </w:p>
              </w:tc>
              <w:tc>
                <w:tcPr>
                  <w:tcW w:w="899" w:type="dxa"/>
                  <w:noWrap w:val="0"/>
                  <w:vAlign w:val="center"/>
                </w:tcPr>
                <w:p>
                  <w:pPr>
                    <w:keepNext w:val="0"/>
                    <w:keepLines w:val="0"/>
                    <w:pageBreakBefore w:val="0"/>
                    <w:widowControl w:val="0"/>
                    <w:bidi w:val="0"/>
                    <w:adjustRightInd w:val="0"/>
                    <w:snapToGrid w:val="0"/>
                    <w:spacing w:line="360" w:lineRule="exact"/>
                    <w:jc w:val="center"/>
                    <w:rPr>
                      <w:rFonts w:hint="default" w:ascii="Times New Roman" w:hAnsi="Times New Roman" w:cs="Times New Roman"/>
                      <w:u w:val="none"/>
                      <w:lang w:val="en-US" w:eastAsia="zh-CN"/>
                    </w:rPr>
                  </w:pPr>
                  <w:r>
                    <w:rPr>
                      <w:rFonts w:hint="default" w:ascii="Times New Roman" w:hAnsi="Times New Roman" w:cs="Times New Roman"/>
                      <w:b w:val="0"/>
                      <w:bCs w:val="0"/>
                      <w:color w:val="auto"/>
                      <w:u w:val="none"/>
                      <w:lang w:val="en-US" w:eastAsia="zh-CN"/>
                    </w:rPr>
                    <w:t>0.0</w:t>
                  </w:r>
                  <w:r>
                    <w:rPr>
                      <w:rFonts w:hint="eastAsia" w:ascii="Times New Roman" w:hAnsi="Times New Roman" w:cs="Times New Roman"/>
                      <w:b w:val="0"/>
                      <w:bCs w:val="0"/>
                      <w:color w:val="auto"/>
                      <w:u w:val="none"/>
                      <w:lang w:val="en-US" w:eastAsia="zh-CN"/>
                    </w:rPr>
                    <w:t>06</w:t>
                  </w:r>
                  <w:r>
                    <w:rPr>
                      <w:rFonts w:hint="default" w:ascii="Times New Roman" w:hAnsi="Times New Roman" w:cs="Times New Roman"/>
                      <w:b w:val="0"/>
                      <w:bCs w:val="0"/>
                      <w:color w:val="auto"/>
                      <w:u w:val="none"/>
                    </w:rPr>
                    <w:t>t/a</w:t>
                  </w:r>
                </w:p>
              </w:tc>
              <w:tc>
                <w:tcPr>
                  <w:tcW w:w="87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有机废气环保处理设施</w:t>
                  </w:r>
                </w:p>
              </w:tc>
              <w:tc>
                <w:tcPr>
                  <w:tcW w:w="69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固体</w:t>
                  </w:r>
                </w:p>
              </w:tc>
              <w:tc>
                <w:tcPr>
                  <w:tcW w:w="78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钼、铂、钯等贵金属</w:t>
                  </w:r>
                </w:p>
              </w:tc>
              <w:tc>
                <w:tcPr>
                  <w:tcW w:w="73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钼、铂、钯等贵金属</w:t>
                  </w:r>
                </w:p>
              </w:tc>
              <w:tc>
                <w:tcPr>
                  <w:tcW w:w="67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r>
                    <w:rPr>
                      <w:rFonts w:hint="eastAsia" w:cs="Times New Roman"/>
                      <w:u w:val="none"/>
                      <w:lang w:val="en-US" w:eastAsia="zh-CN"/>
                    </w:rPr>
                    <w:t>2</w:t>
                  </w:r>
                  <w:r>
                    <w:rPr>
                      <w:rFonts w:hint="default" w:ascii="Times New Roman" w:hAnsi="Times New Roman" w:cs="Times New Roman"/>
                      <w:u w:val="none"/>
                    </w:rPr>
                    <w:t>次/a</w:t>
                  </w:r>
                </w:p>
              </w:tc>
              <w:tc>
                <w:tcPr>
                  <w:tcW w:w="70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color w:val="000000"/>
                      <w:kern w:val="0"/>
                      <w:szCs w:val="21"/>
                      <w:u w:val="none"/>
                      <w:lang w:bidi="ar"/>
                    </w:rPr>
                    <w:t>T</w:t>
                  </w:r>
                  <w:r>
                    <w:rPr>
                      <w:rFonts w:hint="eastAsia" w:cs="Times New Roman"/>
                      <w:b w:val="0"/>
                      <w:bCs w:val="0"/>
                      <w:color w:val="000000"/>
                      <w:kern w:val="0"/>
                      <w:szCs w:val="21"/>
                      <w:u w:val="none"/>
                      <w:lang w:eastAsia="zh-CN" w:bidi="ar"/>
                    </w:rPr>
                    <w:t>，</w:t>
                  </w:r>
                  <w:r>
                    <w:rPr>
                      <w:rFonts w:hint="default" w:ascii="Times New Roman" w:hAnsi="Times New Roman" w:cs="Times New Roman"/>
                      <w:b w:val="0"/>
                      <w:bCs w:val="0"/>
                      <w:color w:val="000000"/>
                      <w:kern w:val="0"/>
                      <w:szCs w:val="21"/>
                      <w:u w:val="none"/>
                      <w:lang w:bidi="ar"/>
                    </w:rPr>
                    <w:t>In</w:t>
                  </w:r>
                </w:p>
              </w:tc>
              <w:tc>
                <w:tcPr>
                  <w:tcW w:w="654" w:type="dxa"/>
                  <w:vMerge w:val="continue"/>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rPr>
                  </w:pPr>
                </w:p>
              </w:tc>
            </w:tr>
          </w:tbl>
          <w:p>
            <w:pPr>
              <w:keepNext w:val="0"/>
              <w:keepLines w:val="0"/>
              <w:pageBreakBefore w:val="0"/>
              <w:widowControl w:val="0"/>
              <w:kinsoku/>
              <w:wordWrap w:val="0"/>
              <w:overflowPunct w:val="0"/>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sz w:val="24"/>
                <w:szCs w:val="24"/>
                <w:u w:val="none"/>
                <w:lang w:val="en-US" w:eastAsia="zh-CN"/>
              </w:rPr>
            </w:pPr>
            <w:r>
              <w:rPr>
                <w:rFonts w:hint="default" w:ascii="Times New Roman" w:hAnsi="Times New Roman" w:eastAsia="宋体" w:cs="Times New Roman"/>
                <w:b/>
                <w:bCs/>
                <w:color w:val="auto"/>
                <w:spacing w:val="0"/>
                <w:sz w:val="24"/>
                <w:szCs w:val="24"/>
                <w:u w:val="none"/>
                <w:lang w:val="en-US" w:eastAsia="zh-CN"/>
              </w:rPr>
              <w:t>表4-</w:t>
            </w:r>
            <w:r>
              <w:rPr>
                <w:rFonts w:hint="eastAsia" w:cs="Times New Roman"/>
                <w:b/>
                <w:bCs/>
                <w:color w:val="auto"/>
                <w:spacing w:val="0"/>
                <w:sz w:val="24"/>
                <w:szCs w:val="24"/>
                <w:u w:val="none"/>
                <w:lang w:val="en-US" w:eastAsia="zh-CN"/>
              </w:rPr>
              <w:t>16</w:t>
            </w:r>
            <w:r>
              <w:rPr>
                <w:rFonts w:hint="default" w:ascii="Times New Roman" w:hAnsi="Times New Roman" w:eastAsia="宋体" w:cs="Times New Roman"/>
                <w:b/>
                <w:bCs/>
                <w:color w:val="auto"/>
                <w:spacing w:val="0"/>
                <w:sz w:val="24"/>
                <w:szCs w:val="24"/>
                <w:u w:val="none"/>
                <w:lang w:val="en-US" w:eastAsia="zh-CN"/>
              </w:rPr>
              <w:t>项目危险废物贮存场所（设施）基本情况表</w:t>
            </w:r>
          </w:p>
          <w:tbl>
            <w:tblPr>
              <w:tblStyle w:val="24"/>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203"/>
              <w:gridCol w:w="1090"/>
              <w:gridCol w:w="772"/>
              <w:gridCol w:w="1189"/>
              <w:gridCol w:w="713"/>
              <w:gridCol w:w="1045"/>
              <w:gridCol w:w="1045"/>
              <w:gridCol w:w="827"/>
              <w:gridCol w:w="9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序号</w:t>
                  </w:r>
                </w:p>
              </w:tc>
              <w:tc>
                <w:tcPr>
                  <w:tcW w:w="6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贮存场所（设施）名称</w:t>
                  </w:r>
                </w:p>
              </w:tc>
              <w:tc>
                <w:tcPr>
                  <w:tcW w:w="58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危险废物名称</w:t>
                  </w:r>
                </w:p>
              </w:tc>
              <w:tc>
                <w:tcPr>
                  <w:tcW w:w="413" w:type="pct"/>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危险废物类别</w:t>
                  </w:r>
                </w:p>
              </w:tc>
              <w:tc>
                <w:tcPr>
                  <w:tcW w:w="636" w:type="pct"/>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危险废物代码</w:t>
                  </w:r>
                </w:p>
              </w:tc>
              <w:tc>
                <w:tcPr>
                  <w:tcW w:w="38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位置</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占地面积</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贮存方式</w:t>
                  </w:r>
                </w:p>
              </w:tc>
              <w:tc>
                <w:tcPr>
                  <w:tcW w:w="44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贮存</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能力</w:t>
                  </w:r>
                </w:p>
              </w:tc>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贮存</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1</w:t>
                  </w:r>
                </w:p>
              </w:tc>
              <w:tc>
                <w:tcPr>
                  <w:tcW w:w="6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危废暂存间</w:t>
                  </w:r>
                </w:p>
              </w:tc>
              <w:tc>
                <w:tcPr>
                  <w:tcW w:w="583" w:type="pct"/>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kern w:val="2"/>
                      <w:sz w:val="21"/>
                      <w:szCs w:val="24"/>
                      <w:u w:val="none"/>
                      <w:lang w:val="en-US" w:eastAsia="zh-CN" w:bidi="ar-SA"/>
                    </w:rPr>
                  </w:pPr>
                  <w:r>
                    <w:rPr>
                      <w:rFonts w:hint="default" w:ascii="Times New Roman" w:hAnsi="Times New Roman" w:cs="Times New Roman"/>
                      <w:u w:val="none"/>
                      <w:lang w:val="en-US" w:eastAsia="zh-CN"/>
                    </w:rPr>
                    <w:t>废机油</w:t>
                  </w:r>
                  <w:r>
                    <w:rPr>
                      <w:rFonts w:hint="eastAsia" w:cs="Times New Roman"/>
                      <w:u w:val="none"/>
                      <w:lang w:val="en-US" w:eastAsia="zh-CN"/>
                    </w:rPr>
                    <w:t>、润滑油</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4"/>
                      <w:u w:val="none"/>
                      <w:lang w:val="en-US" w:eastAsia="zh-CN" w:bidi="ar-SA"/>
                    </w:rPr>
                  </w:pPr>
                  <w:r>
                    <w:rPr>
                      <w:rFonts w:hint="default" w:ascii="Times New Roman" w:hAnsi="Times New Roman" w:cs="Times New Roman"/>
                      <w:b w:val="0"/>
                      <w:bCs w:val="0"/>
                      <w:u w:val="none"/>
                    </w:rPr>
                    <w:t>HW08</w:t>
                  </w:r>
                </w:p>
              </w:tc>
              <w:tc>
                <w:tcPr>
                  <w:tcW w:w="6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4"/>
                      <w:u w:val="none"/>
                      <w:lang w:val="en-US" w:eastAsia="zh-CN" w:bidi="ar-SA"/>
                    </w:rPr>
                  </w:pPr>
                  <w:r>
                    <w:rPr>
                      <w:rFonts w:hint="default" w:ascii="Times New Roman" w:hAnsi="Times New Roman" w:cs="Times New Roman"/>
                      <w:b w:val="0"/>
                      <w:bCs w:val="0"/>
                      <w:u w:val="none"/>
                    </w:rPr>
                    <w:t>900-214-08</w:t>
                  </w:r>
                </w:p>
              </w:tc>
              <w:tc>
                <w:tcPr>
                  <w:tcW w:w="38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lang w:val="en-US" w:eastAsia="zh-CN"/>
                    </w:rPr>
                    <w:t>厂房内</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eastAsia" w:cs="Times New Roman"/>
                      <w:u w:val="none"/>
                      <w:lang w:val="en-US" w:eastAsia="zh-CN"/>
                    </w:rPr>
                    <w:t>10</w:t>
                  </w:r>
                  <w:r>
                    <w:rPr>
                      <w:rFonts w:hint="default" w:ascii="Times New Roman" w:hAnsi="Times New Roman" w:cs="Times New Roman"/>
                      <w:u w:val="none"/>
                      <w:lang w:val="en-US" w:eastAsia="zh-CN"/>
                    </w:rPr>
                    <w:t>m</w:t>
                  </w:r>
                  <w:r>
                    <w:rPr>
                      <w:rFonts w:hint="default" w:ascii="Times New Roman" w:hAnsi="Times New Roman" w:cs="Times New Roman"/>
                      <w:u w:val="none"/>
                      <w:vertAlign w:val="superscript"/>
                      <w:lang w:val="en-US" w:eastAsia="zh-CN"/>
                    </w:rPr>
                    <w:t>2</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b w:val="0"/>
                      <w:bCs w:val="0"/>
                      <w:u w:val="none"/>
                      <w:lang w:val="en-US" w:eastAsia="zh-CN"/>
                    </w:rPr>
                    <w:t>专用收集桶</w:t>
                  </w:r>
                </w:p>
              </w:tc>
              <w:tc>
                <w:tcPr>
                  <w:tcW w:w="44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3.0t</w:t>
                  </w:r>
                </w:p>
              </w:tc>
              <w:tc>
                <w:tcPr>
                  <w:tcW w:w="52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不超过1年（废活性炭不超过1个月）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rPr>
                    <w:t>2</w:t>
                  </w:r>
                </w:p>
              </w:tc>
              <w:tc>
                <w:tcPr>
                  <w:tcW w:w="6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lang w:val="en-US" w:eastAsia="zh-CN"/>
                    </w:rPr>
                    <w:t>危废暂存间</w:t>
                  </w:r>
                </w:p>
              </w:tc>
              <w:tc>
                <w:tcPr>
                  <w:tcW w:w="583" w:type="pct"/>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kern w:val="2"/>
                      <w:sz w:val="21"/>
                      <w:szCs w:val="24"/>
                      <w:u w:val="none"/>
                      <w:lang w:val="en-US" w:eastAsia="zh-CN" w:bidi="ar-SA"/>
                    </w:rPr>
                  </w:pPr>
                  <w:r>
                    <w:rPr>
                      <w:rFonts w:hint="default" w:ascii="Times New Roman" w:hAnsi="Times New Roman" w:cs="Times New Roman"/>
                      <w:u w:val="none"/>
                      <w:lang w:val="en-US" w:eastAsia="zh-CN"/>
                    </w:rPr>
                    <w:t>废活性炭</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color w:val="auto"/>
                      <w:sz w:val="21"/>
                      <w:szCs w:val="21"/>
                      <w:u w:val="none"/>
                      <w:lang w:val="en-US" w:eastAsia="zh-CN"/>
                    </w:rPr>
                    <w:t>HW49</w:t>
                  </w:r>
                </w:p>
              </w:tc>
              <w:tc>
                <w:tcPr>
                  <w:tcW w:w="6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color w:val="auto"/>
                      <w:sz w:val="21"/>
                      <w:szCs w:val="21"/>
                      <w:u w:val="none"/>
                      <w:lang w:val="en-US" w:eastAsia="zh-CN"/>
                    </w:rPr>
                    <w:t>900-039-49</w:t>
                  </w:r>
                </w:p>
              </w:tc>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eastAsia" w:cs="Times New Roman"/>
                      <w:u w:val="none"/>
                      <w:lang w:val="en-US" w:eastAsia="zh-CN"/>
                    </w:rPr>
                    <w:t>10</w:t>
                  </w:r>
                  <w:r>
                    <w:rPr>
                      <w:rFonts w:hint="default" w:ascii="Times New Roman" w:hAnsi="Times New Roman" w:cs="Times New Roman"/>
                      <w:u w:val="none"/>
                      <w:lang w:val="en-US" w:eastAsia="zh-CN"/>
                    </w:rPr>
                    <w:t>m</w:t>
                  </w:r>
                  <w:r>
                    <w:rPr>
                      <w:rFonts w:hint="default" w:ascii="Times New Roman" w:hAnsi="Times New Roman" w:cs="Times New Roman"/>
                      <w:u w:val="none"/>
                      <w:vertAlign w:val="superscript"/>
                      <w:lang w:val="en-US" w:eastAsia="zh-CN"/>
                    </w:rPr>
                    <w:t>2</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b w:val="0"/>
                      <w:bCs w:val="0"/>
                      <w:sz w:val="21"/>
                      <w:szCs w:val="21"/>
                      <w:u w:val="none"/>
                      <w:lang w:val="en-US" w:eastAsia="zh-CN"/>
                    </w:rPr>
                    <w:t>专用收集袋</w:t>
                  </w:r>
                </w:p>
              </w:tc>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p>
              </w:tc>
              <w:tc>
                <w:tcPr>
                  <w:tcW w:w="52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r>
                    <w:rPr>
                      <w:rFonts w:hint="default" w:ascii="Times New Roman" w:hAnsi="Times New Roman" w:cs="Times New Roman"/>
                      <w:u w:val="none"/>
                      <w:lang w:val="en-US" w:eastAsia="zh-CN"/>
                    </w:rPr>
                    <w:t>3</w:t>
                  </w:r>
                </w:p>
              </w:tc>
              <w:tc>
                <w:tcPr>
                  <w:tcW w:w="6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危废暂存间</w:t>
                  </w:r>
                </w:p>
              </w:tc>
              <w:tc>
                <w:tcPr>
                  <w:tcW w:w="583" w:type="pct"/>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none"/>
                      <w:lang w:val="en-US" w:eastAsia="zh-CN"/>
                    </w:rPr>
                  </w:pPr>
                  <w:r>
                    <w:rPr>
                      <w:rFonts w:hint="eastAsia" w:cs="Times New Roman"/>
                      <w:u w:val="none"/>
                      <w:lang w:val="en-US" w:eastAsia="zh-CN"/>
                    </w:rPr>
                    <w:t>废UV灯管</w:t>
                  </w:r>
                </w:p>
              </w:tc>
              <w:tc>
                <w:tcPr>
                  <w:tcW w:w="413" w:type="pct"/>
                  <w:noWrap w:val="0"/>
                  <w:vAlign w:val="center"/>
                </w:tcPr>
                <w:p>
                  <w:pPr>
                    <w:keepNext w:val="0"/>
                    <w:keepLines w:val="0"/>
                    <w:pageBreakBefore w:val="0"/>
                    <w:widowControl w:val="0"/>
                    <w:bidi w:val="0"/>
                    <w:spacing w:line="360" w:lineRule="exact"/>
                    <w:jc w:val="center"/>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cs="Times New Roman"/>
                      <w:b w:val="0"/>
                      <w:bCs w:val="0"/>
                      <w:color w:val="auto"/>
                      <w:szCs w:val="21"/>
                      <w:u w:val="none"/>
                    </w:rPr>
                    <w:t>HW29</w:t>
                  </w:r>
                </w:p>
              </w:tc>
              <w:tc>
                <w:tcPr>
                  <w:tcW w:w="636" w:type="pct"/>
                  <w:noWrap w:val="0"/>
                  <w:vAlign w:val="center"/>
                </w:tcPr>
                <w:p>
                  <w:pPr>
                    <w:keepNext w:val="0"/>
                    <w:keepLines w:val="0"/>
                    <w:pageBreakBefore w:val="0"/>
                    <w:widowControl w:val="0"/>
                    <w:topLinePunct/>
                    <w:bidi w:val="0"/>
                    <w:adjustRightInd w:val="0"/>
                    <w:snapToGrid w:val="0"/>
                    <w:spacing w:line="360" w:lineRule="exact"/>
                    <w:jc w:val="center"/>
                    <w:rPr>
                      <w:rFonts w:hint="default" w:ascii="Times New Roman" w:hAnsi="Times New Roman" w:eastAsia="宋体" w:cs="Times New Roman"/>
                      <w:b w:val="0"/>
                      <w:bCs w:val="0"/>
                      <w:color w:val="auto"/>
                      <w:kern w:val="2"/>
                      <w:sz w:val="21"/>
                      <w:szCs w:val="21"/>
                      <w:u w:val="none"/>
                      <w:lang w:val="en-US" w:eastAsia="zh-CN" w:bidi="ar"/>
                    </w:rPr>
                  </w:pPr>
                  <w:r>
                    <w:rPr>
                      <w:rFonts w:hint="default" w:ascii="Times New Roman" w:hAnsi="Times New Roman" w:cs="Times New Roman"/>
                      <w:b w:val="0"/>
                      <w:bCs w:val="0"/>
                      <w:color w:val="auto"/>
                      <w:szCs w:val="21"/>
                      <w:u w:val="none"/>
                    </w:rPr>
                    <w:t>900-023-29</w:t>
                  </w:r>
                </w:p>
              </w:tc>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lang w:val="en-US" w:eastAsia="zh-CN"/>
                    </w:rPr>
                  </w:pPr>
                  <w:r>
                    <w:rPr>
                      <w:rFonts w:hint="eastAsia" w:cs="Times New Roman"/>
                      <w:u w:val="none"/>
                      <w:lang w:val="en-US" w:eastAsia="zh-CN"/>
                    </w:rPr>
                    <w:t>10</w:t>
                  </w:r>
                  <w:r>
                    <w:rPr>
                      <w:rFonts w:hint="default" w:ascii="Times New Roman" w:hAnsi="Times New Roman" w:cs="Times New Roman"/>
                      <w:u w:val="none"/>
                      <w:lang w:val="en-US" w:eastAsia="zh-CN"/>
                    </w:rPr>
                    <w:t>m</w:t>
                  </w:r>
                  <w:r>
                    <w:rPr>
                      <w:rFonts w:hint="default" w:ascii="Times New Roman" w:hAnsi="Times New Roman" w:cs="Times New Roman"/>
                      <w:u w:val="none"/>
                      <w:vertAlign w:val="superscript"/>
                      <w:lang w:val="en-US" w:eastAsia="zh-CN"/>
                    </w:rPr>
                    <w:t>2</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u w:val="none"/>
                      <w:lang w:val="en-US" w:eastAsia="zh-CN"/>
                    </w:rPr>
                    <w:t>专用收集</w:t>
                  </w:r>
                  <w:r>
                    <w:rPr>
                      <w:rFonts w:hint="eastAsia" w:ascii="Times New Roman" w:hAnsi="Times New Roman" w:cs="Times New Roman"/>
                      <w:b w:val="0"/>
                      <w:bCs w:val="0"/>
                      <w:u w:val="none"/>
                      <w:lang w:val="en-US" w:eastAsia="zh-CN"/>
                    </w:rPr>
                    <w:t>箱</w:t>
                  </w:r>
                </w:p>
              </w:tc>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p>
              </w:tc>
              <w:tc>
                <w:tcPr>
                  <w:tcW w:w="52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none"/>
                      <w:lang w:val="en-US" w:eastAsia="zh-CN"/>
                    </w:rPr>
                  </w:pPr>
                  <w:r>
                    <w:rPr>
                      <w:rFonts w:hint="eastAsia" w:cs="Times New Roman"/>
                      <w:u w:val="none"/>
                      <w:lang w:val="en-US" w:eastAsia="zh-CN"/>
                    </w:rPr>
                    <w:t>4</w:t>
                  </w:r>
                </w:p>
              </w:tc>
              <w:tc>
                <w:tcPr>
                  <w:tcW w:w="6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危废暂存间</w:t>
                  </w:r>
                </w:p>
              </w:tc>
              <w:tc>
                <w:tcPr>
                  <w:tcW w:w="583" w:type="pct"/>
                  <w:noWrap w:val="0"/>
                  <w:vAlign w:val="center"/>
                </w:tcPr>
                <w:p>
                  <w:pPr>
                    <w:keepNext w:val="0"/>
                    <w:keepLines w:val="0"/>
                    <w:pageBreakBefore w:val="0"/>
                    <w:widowControl w:val="0"/>
                    <w:bidi w:val="0"/>
                    <w:adjustRightInd w:val="0"/>
                    <w:snapToGrid w:val="0"/>
                    <w:spacing w:line="360" w:lineRule="exact"/>
                    <w:jc w:val="center"/>
                    <w:rPr>
                      <w:rFonts w:hint="default" w:ascii="Times New Roman" w:hAnsi="Times New Roman" w:eastAsia="宋体" w:cs="Times New Roman"/>
                      <w:kern w:val="2"/>
                      <w:sz w:val="21"/>
                      <w:szCs w:val="24"/>
                      <w:u w:val="none"/>
                      <w:lang w:val="en-US" w:eastAsia="zh-CN" w:bidi="ar-SA"/>
                    </w:rPr>
                  </w:pPr>
                  <w:r>
                    <w:rPr>
                      <w:rFonts w:hint="default" w:ascii="Times New Roman" w:hAnsi="Times New Roman" w:cs="Times New Roman"/>
                      <w:b w:val="0"/>
                      <w:bCs w:val="0"/>
                      <w:color w:val="auto"/>
                      <w:u w:val="none"/>
                      <w:lang w:val="en-US" w:eastAsia="zh-CN"/>
                    </w:rPr>
                    <w:t>废催化板</w:t>
                  </w:r>
                </w:p>
              </w:tc>
              <w:tc>
                <w:tcPr>
                  <w:tcW w:w="413" w:type="pct"/>
                  <w:noWrap w:val="0"/>
                  <w:vAlign w:val="center"/>
                </w:tcPr>
                <w:p>
                  <w:pPr>
                    <w:keepNext w:val="0"/>
                    <w:keepLines w:val="0"/>
                    <w:pageBreakBefore w:val="0"/>
                    <w:widowControl w:val="0"/>
                    <w:bidi w:val="0"/>
                    <w:spacing w:line="360" w:lineRule="exact"/>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szCs w:val="21"/>
                      <w:u w:val="none"/>
                    </w:rPr>
                    <w:t>HW49</w:t>
                  </w:r>
                </w:p>
              </w:tc>
              <w:tc>
                <w:tcPr>
                  <w:tcW w:w="636" w:type="pct"/>
                  <w:noWrap w:val="0"/>
                  <w:vAlign w:val="center"/>
                </w:tcPr>
                <w:p>
                  <w:pPr>
                    <w:keepNext w:val="0"/>
                    <w:keepLines w:val="0"/>
                    <w:pageBreakBefore w:val="0"/>
                    <w:widowControl w:val="0"/>
                    <w:topLinePunct/>
                    <w:bidi w:val="0"/>
                    <w:adjustRightInd w:val="0"/>
                    <w:snapToGrid w:val="0"/>
                    <w:spacing w:line="360" w:lineRule="exact"/>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szCs w:val="21"/>
                      <w:u w:val="none"/>
                    </w:rPr>
                    <w:t>900-0</w:t>
                  </w:r>
                  <w:r>
                    <w:rPr>
                      <w:rFonts w:hint="default" w:ascii="Times New Roman" w:hAnsi="Times New Roman" w:cs="Times New Roman"/>
                      <w:b w:val="0"/>
                      <w:bCs w:val="0"/>
                      <w:color w:val="auto"/>
                      <w:szCs w:val="21"/>
                      <w:u w:val="none"/>
                      <w:lang w:val="en-US" w:eastAsia="zh-CN"/>
                    </w:rPr>
                    <w:t>41</w:t>
                  </w:r>
                  <w:r>
                    <w:rPr>
                      <w:rFonts w:hint="default" w:ascii="Times New Roman" w:hAnsi="Times New Roman" w:cs="Times New Roman"/>
                      <w:b w:val="0"/>
                      <w:bCs w:val="0"/>
                      <w:color w:val="auto"/>
                      <w:szCs w:val="21"/>
                      <w:u w:val="none"/>
                    </w:rPr>
                    <w:t>-49</w:t>
                  </w:r>
                </w:p>
              </w:tc>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lang w:val="en-US" w:eastAsia="zh-CN"/>
                    </w:rPr>
                  </w:pPr>
                  <w:r>
                    <w:rPr>
                      <w:rFonts w:hint="eastAsia" w:cs="Times New Roman"/>
                      <w:u w:val="none"/>
                      <w:lang w:val="en-US" w:eastAsia="zh-CN"/>
                    </w:rPr>
                    <w:t>10</w:t>
                  </w:r>
                  <w:r>
                    <w:rPr>
                      <w:rFonts w:hint="default" w:ascii="Times New Roman" w:hAnsi="Times New Roman" w:cs="Times New Roman"/>
                      <w:u w:val="none"/>
                      <w:lang w:val="en-US" w:eastAsia="zh-CN"/>
                    </w:rPr>
                    <w:t>m</w:t>
                  </w:r>
                  <w:r>
                    <w:rPr>
                      <w:rFonts w:hint="default" w:ascii="Times New Roman" w:hAnsi="Times New Roman" w:cs="Times New Roman"/>
                      <w:u w:val="none"/>
                      <w:vertAlign w:val="superscript"/>
                      <w:lang w:val="en-US" w:eastAsia="zh-CN"/>
                    </w:rPr>
                    <w:t>2</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u w:val="none"/>
                      <w:lang w:val="en-US" w:eastAsia="zh-CN"/>
                    </w:rPr>
                    <w:t>专用收集</w:t>
                  </w:r>
                  <w:r>
                    <w:rPr>
                      <w:rFonts w:hint="eastAsia" w:ascii="Times New Roman" w:hAnsi="Times New Roman" w:cs="Times New Roman"/>
                      <w:b w:val="0"/>
                      <w:bCs w:val="0"/>
                      <w:u w:val="none"/>
                      <w:lang w:val="en-US" w:eastAsia="zh-CN"/>
                    </w:rPr>
                    <w:t>箱</w:t>
                  </w:r>
                </w:p>
              </w:tc>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none"/>
                    </w:rPr>
                  </w:pPr>
                </w:p>
              </w:tc>
              <w:tc>
                <w:tcPr>
                  <w:tcW w:w="52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u w:val="none"/>
                      <w:lang w:val="en-US" w:eastAsia="zh-CN"/>
                    </w:rPr>
                  </w:pPr>
                </w:p>
              </w:tc>
            </w:tr>
          </w:tbl>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环境管理要求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sz w:val="24"/>
                <w:szCs w:val="24"/>
                <w:u w:val="none"/>
              </w:rPr>
            </w:pPr>
            <w:r>
              <w:rPr>
                <w:rFonts w:hint="default" w:ascii="Times New Roman" w:hAnsi="Times New Roman" w:eastAsia="宋体" w:cs="Times New Roman"/>
                <w:b/>
                <w:bCs/>
                <w:color w:val="000000"/>
                <w:kern w:val="0"/>
                <w:sz w:val="24"/>
                <w:szCs w:val="24"/>
                <w:u w:val="none"/>
                <w:lang w:val="en-US" w:eastAsia="zh-CN" w:bidi="ar"/>
              </w:rPr>
              <w:t>（1）一般固废暂存要求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建设单位按照《一般工业固体废物贮存和填埋污染控制标准》（GB18599-2020）的相关要求建立固体废物临时的堆放场地，不得随处堆放，禁止危险废物及生活</w:t>
            </w:r>
            <w:r>
              <w:rPr>
                <w:rFonts w:hint="default" w:ascii="Times New Roman" w:hAnsi="Times New Roman" w:cs="Times New Roman"/>
                <w:b w:val="0"/>
                <w:bCs w:val="0"/>
                <w:color w:val="auto"/>
                <w:sz w:val="24"/>
                <w:szCs w:val="24"/>
                <w:u w:val="none"/>
                <w:lang w:val="en-US" w:eastAsia="zh-CN"/>
              </w:rPr>
              <w:t>垃圾</w:t>
            </w:r>
            <w:r>
              <w:rPr>
                <w:rFonts w:hint="default" w:ascii="Times New Roman" w:hAnsi="Times New Roman" w:eastAsia="宋体" w:cs="Times New Roman"/>
                <w:b w:val="0"/>
                <w:bCs w:val="0"/>
                <w:color w:val="auto"/>
                <w:sz w:val="24"/>
                <w:szCs w:val="24"/>
                <w:u w:val="none"/>
                <w:lang w:val="en-US" w:eastAsia="zh-CN"/>
              </w:rPr>
              <w:t>混入，固废临时贮存场应满足如下要求：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①地面应采取硬化措施并满足承载力要求，必要时采取相应措施防止地基下沉。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②要求设置必要的防风、防雨、防晒措施，堆放场周边应设置导流渠。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③按《环境保护图形标识—固体废物贮存（处置）场》（GB15562.2）要求设置环境保护图形标志。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微软雅黑" w:cs="Times New Roman"/>
                <w:b w:val="0"/>
                <w:bCs w:val="0"/>
                <w:color w:val="auto"/>
                <w:sz w:val="24"/>
                <w:szCs w:val="24"/>
                <w:u w:val="none"/>
                <w:lang w:val="en-US" w:eastAsia="zh-CN"/>
              </w:rPr>
              <w:t>④</w:t>
            </w:r>
            <w:r>
              <w:rPr>
                <w:rFonts w:hint="default" w:ascii="Times New Roman" w:hAnsi="Times New Roman" w:eastAsia="宋体" w:cs="Times New Roman"/>
                <w:b w:val="0"/>
                <w:bCs w:val="0"/>
                <w:color w:val="auto"/>
                <w:sz w:val="24"/>
                <w:szCs w:val="24"/>
                <w:u w:val="none"/>
                <w:lang w:val="en-US" w:eastAsia="zh-CN"/>
              </w:rPr>
              <w:t>本项目厂区内配设分类垃圾收集桶，产生的生活垃圾经分类收集后交由环卫部门统一进行处理。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微软雅黑" w:cs="Times New Roman"/>
                <w:b w:val="0"/>
                <w:bCs w:val="0"/>
                <w:color w:val="auto"/>
                <w:sz w:val="24"/>
                <w:szCs w:val="24"/>
                <w:u w:val="none"/>
                <w:lang w:val="en-US" w:eastAsia="zh-CN"/>
              </w:rPr>
              <w:t>⑤</w:t>
            </w:r>
            <w:r>
              <w:rPr>
                <w:rFonts w:hint="default" w:ascii="Times New Roman" w:hAnsi="Times New Roman" w:eastAsia="宋体" w:cs="Times New Roman"/>
                <w:b w:val="0"/>
                <w:bCs w:val="0"/>
                <w:color w:val="auto"/>
                <w:sz w:val="24"/>
                <w:szCs w:val="24"/>
                <w:u w:val="none"/>
                <w:lang w:val="en-US" w:eastAsia="zh-CN"/>
              </w:rPr>
              <w:t>禁止将危险</w:t>
            </w:r>
            <w:r>
              <w:rPr>
                <w:rFonts w:hint="default" w:ascii="Times New Roman" w:hAnsi="Times New Roman" w:cs="Times New Roman"/>
                <w:b w:val="0"/>
                <w:bCs w:val="0"/>
                <w:color w:val="auto"/>
                <w:sz w:val="24"/>
                <w:szCs w:val="24"/>
                <w:u w:val="none"/>
                <w:lang w:val="en-US" w:eastAsia="zh-CN"/>
              </w:rPr>
              <w:t>废物</w:t>
            </w:r>
            <w:r>
              <w:rPr>
                <w:rFonts w:hint="default" w:ascii="Times New Roman" w:hAnsi="Times New Roman" w:eastAsia="宋体" w:cs="Times New Roman"/>
                <w:b w:val="0"/>
                <w:bCs w:val="0"/>
                <w:color w:val="auto"/>
                <w:sz w:val="24"/>
                <w:szCs w:val="24"/>
                <w:u w:val="none"/>
                <w:lang w:val="en-US" w:eastAsia="zh-CN"/>
              </w:rPr>
              <w:t>混入一般工业固体废物贮存</w:t>
            </w:r>
            <w:r>
              <w:rPr>
                <w:rFonts w:hint="default" w:ascii="Times New Roman" w:hAnsi="Times New Roman" w:cs="Times New Roman"/>
                <w:b w:val="0"/>
                <w:bCs w:val="0"/>
                <w:color w:val="auto"/>
                <w:sz w:val="24"/>
                <w:szCs w:val="24"/>
                <w:u w:val="none"/>
                <w:lang w:val="en-US" w:eastAsia="zh-CN"/>
              </w:rPr>
              <w:t>区</w:t>
            </w:r>
            <w:r>
              <w:rPr>
                <w:rFonts w:hint="default" w:ascii="Times New Roman" w:hAnsi="Times New Roman" w:eastAsia="宋体" w:cs="Times New Roman"/>
                <w:b w:val="0"/>
                <w:bCs w:val="0"/>
                <w:color w:val="auto"/>
                <w:sz w:val="24"/>
                <w:szCs w:val="24"/>
                <w:u w:val="none"/>
                <w:lang w:val="en-US" w:eastAsia="zh-CN"/>
              </w:rPr>
              <w:t>。</w:t>
            </w:r>
          </w:p>
          <w:p>
            <w:pPr>
              <w:pStyle w:val="10"/>
              <w:rPr>
                <w:rFonts w:hint="default" w:ascii="Times New Roman" w:hAnsi="Times New Roman" w:cs="Times New Roman"/>
                <w:lang w:val="en-US" w:eastAsia="zh-CN"/>
              </w:rPr>
            </w:pPr>
            <w:r>
              <w:rPr>
                <w:rFonts w:hint="default" w:ascii="Times New Roman" w:hAnsi="Times New Roman" w:cs="Times New Roman"/>
                <w:lang w:val="en-US" w:eastAsia="zh-CN"/>
              </w:rPr>
              <w:t>评价建议在车间内西</w:t>
            </w:r>
            <w:r>
              <w:rPr>
                <w:rFonts w:hint="eastAsia" w:cs="Times New Roman"/>
                <w:lang w:val="en-US" w:eastAsia="zh-CN"/>
              </w:rPr>
              <w:t>北</w:t>
            </w:r>
            <w:r>
              <w:rPr>
                <w:rFonts w:hint="default" w:ascii="Times New Roman" w:hAnsi="Times New Roman" w:cs="Times New Roman"/>
                <w:lang w:val="en-US" w:eastAsia="zh-CN"/>
              </w:rPr>
              <w:t>侧建</w:t>
            </w:r>
            <w:r>
              <w:rPr>
                <w:rFonts w:hint="eastAsia" w:cs="Times New Roman"/>
                <w:lang w:val="en-US" w:eastAsia="zh-CN"/>
              </w:rPr>
              <w:t>占地10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的一般固废暂存</w:t>
            </w:r>
            <w:r>
              <w:rPr>
                <w:rFonts w:hint="eastAsia" w:cs="Times New Roman"/>
                <w:lang w:val="en-US" w:eastAsia="zh-CN"/>
              </w:rPr>
              <w:t>区</w:t>
            </w:r>
            <w:r>
              <w:rPr>
                <w:rFonts w:hint="default" w:ascii="Times New Roman" w:hAnsi="Times New Roman" w:cs="Times New Roman"/>
                <w:lang w:val="en-US" w:eastAsia="zh-CN"/>
              </w:rPr>
              <w:t>，</w:t>
            </w:r>
            <w:r>
              <w:rPr>
                <w:rFonts w:hint="eastAsia" w:cs="Times New Roman"/>
                <w:lang w:val="en-US" w:eastAsia="zh-CN"/>
              </w:rPr>
              <w:t>项目生产过程中产生的一般工业固体废物</w:t>
            </w:r>
            <w:r>
              <w:rPr>
                <w:rFonts w:hint="default" w:ascii="Times New Roman" w:hAnsi="Times New Roman" w:cs="Times New Roman"/>
                <w:lang w:val="en-US" w:eastAsia="zh-CN"/>
              </w:rPr>
              <w:t>收集后暂存于一般固废暂存</w:t>
            </w:r>
            <w:r>
              <w:rPr>
                <w:rFonts w:hint="eastAsia" w:cs="Times New Roman"/>
                <w:lang w:val="en-US" w:eastAsia="zh-CN"/>
              </w:rPr>
              <w:t>区</w:t>
            </w:r>
            <w:r>
              <w:rPr>
                <w:rFonts w:hint="default" w:ascii="Times New Roman" w:hAnsi="Times New Roman" w:cs="Times New Roman"/>
                <w:lang w:val="en-US" w:eastAsia="zh-CN"/>
              </w:rPr>
              <w:t>，定期外售废品收购站或相关企业，评价要求一般固废暂存</w:t>
            </w:r>
            <w:r>
              <w:rPr>
                <w:rFonts w:hint="eastAsia" w:cs="Times New Roman"/>
                <w:lang w:val="en-US" w:eastAsia="zh-CN"/>
              </w:rPr>
              <w:t>区</w:t>
            </w:r>
            <w:r>
              <w:rPr>
                <w:rFonts w:hint="default" w:ascii="Times New Roman" w:hAnsi="Times New Roman" w:cs="Times New Roman"/>
                <w:lang w:val="en-US" w:eastAsia="zh-CN"/>
              </w:rPr>
              <w:t>须防渗，采用防渗混凝土构筑。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u w:val="none"/>
                <w:lang w:val="en-US" w:eastAsia="zh-CN" w:bidi="ar"/>
              </w:rPr>
            </w:pPr>
            <w:r>
              <w:rPr>
                <w:rFonts w:hint="default" w:ascii="Times New Roman" w:hAnsi="Times New Roman" w:eastAsia="宋体" w:cs="Times New Roman"/>
                <w:b/>
                <w:bCs/>
                <w:color w:val="000000"/>
                <w:kern w:val="0"/>
                <w:sz w:val="24"/>
                <w:szCs w:val="24"/>
                <w:u w:val="none"/>
                <w:lang w:val="en-US" w:eastAsia="zh-CN" w:bidi="ar"/>
              </w:rPr>
              <w:t>（2）危险废物</w:t>
            </w:r>
          </w:p>
          <w:p>
            <w:pPr>
              <w:pStyle w:val="10"/>
              <w:spacing w:after="0" w:line="360" w:lineRule="auto"/>
              <w:ind w:firstLine="480" w:firstLineChars="20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w:t>
            </w:r>
            <w:r>
              <w:rPr>
                <w:rFonts w:hint="default" w:ascii="Times New Roman" w:hAnsi="Times New Roman" w:cs="Times New Roman"/>
                <w:color w:val="000000"/>
                <w:sz w:val="24"/>
                <w:szCs w:val="24"/>
                <w:u w:val="none"/>
                <w:lang w:val="en-US" w:eastAsia="zh-CN"/>
              </w:rPr>
              <w:t>生产过程中产生危险废物主要为废机油和废活性炭</w:t>
            </w:r>
            <w:r>
              <w:rPr>
                <w:rFonts w:hint="default" w:ascii="Times New Roman" w:hAnsi="Times New Roman" w:cs="Times New Roman"/>
                <w:color w:val="000000"/>
                <w:sz w:val="24"/>
                <w:szCs w:val="24"/>
                <w:u w:val="none"/>
              </w:rPr>
              <w:t>，统一收集后暂存于危险废物暂存间，定期交给有资质的单位处理。</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000000"/>
                <w:kern w:val="0"/>
                <w:sz w:val="24"/>
                <w:szCs w:val="24"/>
                <w:u w:val="none"/>
              </w:rPr>
              <w:t>环评要求在</w:t>
            </w:r>
            <w:r>
              <w:rPr>
                <w:rFonts w:hint="default" w:ascii="Times New Roman" w:hAnsi="Times New Roman" w:cs="Times New Roman"/>
                <w:color w:val="000000"/>
                <w:kern w:val="0"/>
                <w:sz w:val="24"/>
                <w:szCs w:val="24"/>
                <w:u w:val="none"/>
                <w:lang w:val="en-US" w:eastAsia="zh-CN"/>
              </w:rPr>
              <w:t>车间</w:t>
            </w:r>
            <w:r>
              <w:rPr>
                <w:rFonts w:hint="default" w:ascii="Times New Roman" w:hAnsi="Times New Roman" w:cs="Times New Roman"/>
                <w:color w:val="000000"/>
                <w:kern w:val="0"/>
                <w:sz w:val="24"/>
                <w:szCs w:val="24"/>
                <w:u w:val="none"/>
              </w:rPr>
              <w:t>内设置一间</w:t>
            </w:r>
            <w:r>
              <w:rPr>
                <w:rFonts w:hint="eastAsia" w:cs="Times New Roman"/>
                <w:color w:val="000000"/>
                <w:kern w:val="0"/>
                <w:sz w:val="24"/>
                <w:szCs w:val="24"/>
                <w:u w:val="none"/>
                <w:lang w:val="en-US" w:eastAsia="zh-CN"/>
              </w:rPr>
              <w:t>10</w:t>
            </w:r>
            <w:r>
              <w:rPr>
                <w:rFonts w:hint="default" w:ascii="Times New Roman" w:hAnsi="Times New Roman" w:cs="Times New Roman"/>
                <w:color w:val="000000"/>
                <w:kern w:val="0"/>
                <w:sz w:val="24"/>
                <w:szCs w:val="24"/>
                <w:u w:val="none"/>
              </w:rPr>
              <w:t>m</w:t>
            </w:r>
            <w:r>
              <w:rPr>
                <w:rFonts w:hint="default" w:ascii="Times New Roman" w:hAnsi="Times New Roman" w:cs="Times New Roman"/>
                <w:color w:val="000000"/>
                <w:kern w:val="0"/>
                <w:sz w:val="24"/>
                <w:szCs w:val="24"/>
                <w:u w:val="none"/>
                <w:vertAlign w:val="superscript"/>
              </w:rPr>
              <w:t>2</w:t>
            </w:r>
            <w:r>
              <w:rPr>
                <w:rFonts w:hint="default" w:ascii="Times New Roman" w:hAnsi="Times New Roman" w:cs="Times New Roman"/>
                <w:color w:val="000000"/>
                <w:kern w:val="0"/>
                <w:sz w:val="24"/>
                <w:szCs w:val="24"/>
                <w:u w:val="none"/>
              </w:rPr>
              <w:t>的危险废物暂存间，</w:t>
            </w:r>
            <w:r>
              <w:rPr>
                <w:rFonts w:hint="default" w:ascii="Times New Roman" w:hAnsi="Times New Roman" w:eastAsia="宋体" w:cs="Times New Roman"/>
                <w:color w:val="000000"/>
                <w:sz w:val="24"/>
              </w:rPr>
              <w:t>危险废物的暂存要求严格按照环境保护部公告2017年第43号《建设项目危险废物环境影响评价指南》中的相关要求，做到“四防”（防风、防雨、防晒、防渗漏），严格做到防渗和渗漏收集措施，设置不同废物的</w:t>
            </w:r>
            <w:r>
              <w:rPr>
                <w:rFonts w:hint="default" w:ascii="Times New Roman" w:hAnsi="Times New Roman" w:cs="Times New Roman"/>
                <w:color w:val="000000"/>
                <w:sz w:val="24"/>
                <w:lang w:eastAsia="zh-CN"/>
              </w:rPr>
              <w:t>警示标识</w:t>
            </w:r>
            <w:r>
              <w:rPr>
                <w:rFonts w:hint="default" w:ascii="Times New Roman" w:hAnsi="Times New Roman" w:eastAsia="宋体" w:cs="Times New Roman"/>
                <w:color w:val="000000"/>
                <w:sz w:val="24"/>
              </w:rPr>
              <w:t>。</w:t>
            </w:r>
            <w:r>
              <w:rPr>
                <w:rFonts w:hint="default" w:ascii="Times New Roman" w:hAnsi="Times New Roman" w:eastAsia="宋体" w:cs="Times New Roman"/>
                <w:color w:val="auto"/>
                <w:sz w:val="24"/>
                <w:szCs w:val="24"/>
                <w:lang w:val="en-US" w:eastAsia="zh-CN"/>
              </w:rPr>
              <w:t>本项目产生的危险废物贮存场所应设置警示标志，危废的容器和包装物必须粘贴危废识别标志，设置独立的危险固废暂存点。危险固废暂存间位于车间</w:t>
            </w:r>
            <w:r>
              <w:rPr>
                <w:rFonts w:hint="default" w:ascii="Times New Roman" w:hAnsi="Times New Roman" w:cs="Times New Roman"/>
                <w:color w:val="auto"/>
                <w:sz w:val="24"/>
                <w:szCs w:val="24"/>
                <w:lang w:val="en-US" w:eastAsia="zh-CN"/>
              </w:rPr>
              <w:t>内</w:t>
            </w:r>
            <w:r>
              <w:rPr>
                <w:rFonts w:hint="default" w:ascii="Times New Roman" w:hAnsi="Times New Roman" w:eastAsia="宋体" w:cs="Times New Roman"/>
                <w:color w:val="auto"/>
                <w:sz w:val="24"/>
                <w:szCs w:val="24"/>
                <w:lang w:val="en-US" w:eastAsia="zh-CN"/>
              </w:rPr>
              <w:t>，地面进行防渗、防腐处理。危险废物转移前应依法向危险废物转出和转入所在的环保部门进行申报备案，必须严格按照国家危险废物管理规定，遵守《危险废物转移联单管理办法》，交由有关资质的单位进行处置，办理转移手续。</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①危险废物运输</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厂区危险废物收集、贮存、转运应严格按照《危险废物收集贮存运输技术规范》（HJ2025-2012）进行，危险废物从产生环节收集后转运至危废暂存间过程中应加强管理，尽可能避免沿途散落、泄露。本项目危险废物产生环节为废气处理设施，废气处理设施和危废间均位于生产区</w:t>
            </w:r>
            <w:r>
              <w:rPr>
                <w:rFonts w:hint="default" w:ascii="Times New Roman" w:hAnsi="Times New Roman" w:cs="Times New Roman"/>
                <w:color w:val="auto"/>
                <w:sz w:val="24"/>
                <w:szCs w:val="24"/>
                <w:lang w:val="en-US" w:eastAsia="zh-CN"/>
              </w:rPr>
              <w:t>南</w:t>
            </w:r>
            <w:r>
              <w:rPr>
                <w:rFonts w:hint="default" w:ascii="Times New Roman" w:hAnsi="Times New Roman" w:eastAsia="宋体" w:cs="Times New Roman"/>
                <w:color w:val="auto"/>
                <w:sz w:val="24"/>
                <w:szCs w:val="24"/>
                <w:lang w:val="en-US" w:eastAsia="zh-CN"/>
              </w:rPr>
              <w:t>侧，危废暂存间位于废气处理设施</w:t>
            </w:r>
            <w:r>
              <w:rPr>
                <w:rFonts w:hint="default" w:ascii="Times New Roman" w:hAnsi="Times New Roman" w:cs="Times New Roman"/>
                <w:color w:val="auto"/>
                <w:sz w:val="24"/>
                <w:szCs w:val="24"/>
                <w:lang w:val="en-US" w:eastAsia="zh-CN"/>
              </w:rPr>
              <w:t>北</w:t>
            </w:r>
            <w:r>
              <w:rPr>
                <w:rFonts w:hint="default" w:ascii="Times New Roman" w:hAnsi="Times New Roman" w:eastAsia="宋体" w:cs="Times New Roman"/>
                <w:color w:val="auto"/>
                <w:sz w:val="24"/>
                <w:szCs w:val="24"/>
                <w:lang w:val="en-US" w:eastAsia="zh-CN"/>
              </w:rPr>
              <w:t>侧，运距较短，加强管理后能够有效避免转运过程中的环境影响。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②危险废物暂存</w:t>
            </w:r>
          </w:p>
          <w:p>
            <w:pPr>
              <w:pStyle w:val="1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厂内暂时储存按照危险废物管理和处置要求进行。根据国家《危险废物贮存污染控制标准》（GB18597-20</w:t>
            </w:r>
            <w:r>
              <w:rPr>
                <w:rFonts w:hint="eastAsia" w:cs="Times New Roman"/>
                <w:lang w:val="en-US" w:eastAsia="zh-CN"/>
              </w:rPr>
              <w:t>23</w:t>
            </w:r>
            <w:r>
              <w:rPr>
                <w:rFonts w:hint="default" w:ascii="Times New Roman" w:hAnsi="Times New Roman" w:cs="Times New Roman"/>
                <w:lang w:val="en-US" w:eastAsia="zh-CN"/>
              </w:rPr>
              <w:t>）中有关规定，严格执行以下措施：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sz w:val="24"/>
                <w:szCs w:val="24"/>
                <w:lang w:val="en-US" w:eastAsia="zh-CN"/>
              </w:rPr>
            </w:pPr>
            <w:r>
              <w:rPr>
                <w:rFonts w:hint="default" w:ascii="Times New Roman" w:hAnsi="Times New Roman" w:eastAsia="微软雅黑" w:cs="Times New Roman"/>
                <w:b/>
                <w:bCs/>
                <w:sz w:val="24"/>
                <w:szCs w:val="24"/>
                <w:lang w:val="en-US" w:eastAsia="zh-CN"/>
              </w:rPr>
              <w:t>Ⅰ</w:t>
            </w:r>
            <w:r>
              <w:rPr>
                <w:rFonts w:hint="default" w:ascii="Times New Roman" w:hAnsi="Times New Roman" w:cs="Times New Roman"/>
                <w:b/>
                <w:bCs/>
                <w:sz w:val="24"/>
                <w:szCs w:val="24"/>
                <w:lang w:val="en-US" w:eastAsia="zh-CN"/>
              </w:rPr>
              <w:t>一般措施</w:t>
            </w:r>
          </w:p>
          <w:p>
            <w:pPr>
              <w:pStyle w:val="10"/>
              <w:rPr>
                <w:rFonts w:hint="default" w:ascii="Times New Roman" w:hAnsi="Times New Roman" w:cs="Times New Roman"/>
                <w:lang w:val="en-US" w:eastAsia="zh-CN"/>
              </w:rPr>
            </w:pPr>
            <w:r>
              <w:rPr>
                <w:rFonts w:hint="default" w:ascii="Times New Roman" w:hAnsi="Times New Roman" w:cs="Times New Roman"/>
                <w:lang w:val="en-US" w:eastAsia="zh-CN"/>
              </w:rPr>
              <w:t>a.对所有的危险废物应建造专用的危险废物贮存设施；</w:t>
            </w:r>
          </w:p>
          <w:p>
            <w:pPr>
              <w:pStyle w:val="10"/>
              <w:rPr>
                <w:rFonts w:hint="default" w:ascii="Times New Roman" w:hAnsi="Times New Roman" w:cs="Times New Roman"/>
                <w:lang w:val="en-US" w:eastAsia="zh-CN"/>
              </w:rPr>
            </w:pPr>
            <w:r>
              <w:rPr>
                <w:rFonts w:hint="default" w:ascii="Times New Roman" w:hAnsi="Times New Roman" w:cs="Times New Roman"/>
                <w:lang w:val="en-US" w:eastAsia="zh-CN"/>
              </w:rPr>
              <w:t>b.在常温常压下不水解、不挥发的固体危险废物可在贮存设施内分别堆放，其余的危险废物必须装入容器内；</w:t>
            </w:r>
          </w:p>
          <w:p>
            <w:pPr>
              <w:pStyle w:val="10"/>
              <w:rPr>
                <w:rFonts w:hint="default" w:ascii="Times New Roman" w:hAnsi="Times New Roman" w:cs="Times New Roman"/>
                <w:lang w:val="en-US" w:eastAsia="zh-CN"/>
              </w:rPr>
            </w:pPr>
            <w:r>
              <w:rPr>
                <w:rFonts w:hint="default" w:ascii="Times New Roman" w:hAnsi="Times New Roman" w:cs="Times New Roman"/>
                <w:lang w:val="en-US" w:eastAsia="zh-CN"/>
              </w:rPr>
              <w:t>c.禁止将不相容（相互反应）的危险废物在同一容器内混装；</w:t>
            </w:r>
          </w:p>
          <w:p>
            <w:pPr>
              <w:pStyle w:val="10"/>
              <w:rPr>
                <w:rFonts w:hint="default" w:ascii="Times New Roman" w:hAnsi="Times New Roman" w:cs="Times New Roman"/>
                <w:lang w:val="en-US" w:eastAsia="zh-CN"/>
              </w:rPr>
            </w:pPr>
            <w:r>
              <w:rPr>
                <w:rFonts w:hint="default" w:ascii="Times New Roman" w:hAnsi="Times New Roman" w:cs="Times New Roman"/>
                <w:lang w:val="en-US" w:eastAsia="zh-CN"/>
              </w:rPr>
              <w:t>d.无法装入常用容器的危险废物可用防渗胶袋等盛装；</w:t>
            </w:r>
          </w:p>
          <w:p>
            <w:pPr>
              <w:pStyle w:val="10"/>
              <w:rPr>
                <w:rFonts w:hint="default" w:ascii="Times New Roman" w:hAnsi="Times New Roman" w:cs="Times New Roman"/>
                <w:lang w:val="en-US" w:eastAsia="zh-CN"/>
              </w:rPr>
            </w:pPr>
            <w:r>
              <w:rPr>
                <w:rFonts w:hint="default" w:ascii="Times New Roman" w:hAnsi="Times New Roman" w:cs="Times New Roman"/>
                <w:lang w:val="en-US" w:eastAsia="zh-CN"/>
              </w:rPr>
              <w:t>e.装载液体、半固体危险废物的容器内须留足够空间，容器顶部与液体表面之间保留 100mm以上的空间；</w:t>
            </w:r>
          </w:p>
          <w:p>
            <w:pPr>
              <w:pStyle w:val="10"/>
              <w:rPr>
                <w:rFonts w:hint="default" w:ascii="Times New Roman" w:hAnsi="Times New Roman" w:cs="Times New Roman"/>
                <w:lang w:val="en-US" w:eastAsia="zh-CN"/>
              </w:rPr>
            </w:pPr>
            <w:r>
              <w:rPr>
                <w:rFonts w:hint="default" w:ascii="Times New Roman" w:hAnsi="Times New Roman" w:cs="Times New Roman"/>
                <w:lang w:val="en-US" w:eastAsia="zh-CN"/>
              </w:rPr>
              <w:t>f.盛装危险废物的容器上必须粘贴符合标准的标签；</w:t>
            </w:r>
          </w:p>
          <w:p>
            <w:pPr>
              <w:pStyle w:val="10"/>
              <w:rPr>
                <w:rFonts w:hint="default" w:ascii="Times New Roman" w:hAnsi="Times New Roman" w:cs="Times New Roman"/>
                <w:lang w:val="en-US" w:eastAsia="zh-CN"/>
              </w:rPr>
            </w:pPr>
            <w:r>
              <w:rPr>
                <w:rFonts w:hint="default" w:ascii="Times New Roman" w:hAnsi="Times New Roman" w:cs="Times New Roman"/>
                <w:lang w:val="en-US" w:eastAsia="zh-CN"/>
              </w:rPr>
              <w:t>g.设置一个危险废物暂存间，做好“三防”措施，具体为防雨、防渗和防晒。</w:t>
            </w:r>
          </w:p>
          <w:p>
            <w:pPr>
              <w:pStyle w:val="10"/>
              <w:rPr>
                <w:rFonts w:hint="default" w:ascii="Times New Roman" w:hAnsi="Times New Roman" w:eastAsia="宋体" w:cs="Times New Roman"/>
                <w:b/>
                <w:bCs/>
                <w:lang w:val="en-US" w:eastAsia="zh-CN"/>
              </w:rPr>
            </w:pPr>
            <w:r>
              <w:rPr>
                <w:rFonts w:hint="default" w:ascii="Times New Roman" w:hAnsi="Times New Roman" w:eastAsia="微软雅黑" w:cs="Times New Roman"/>
                <w:b/>
                <w:bCs/>
                <w:lang w:val="en-US" w:eastAsia="zh-CN"/>
              </w:rPr>
              <w:t>Ⅱ</w:t>
            </w:r>
            <w:r>
              <w:rPr>
                <w:rFonts w:hint="default" w:ascii="Times New Roman" w:hAnsi="Times New Roman" w:eastAsia="宋体" w:cs="Times New Roman"/>
                <w:b/>
                <w:bCs/>
                <w:lang w:val="en-US" w:eastAsia="zh-CN"/>
              </w:rPr>
              <w:t>危险废物储存容器</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a.应当使用符合标准的容器盛装危险废物；</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b.装载危险废物的容器及材质要满足相应的强度要求；</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c.装载危险废物的容器必须完好无损；</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d.盛装危险废物的容器材质和衬里要与危险废物相容（不相互反应）；</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e.液体危险废物可注入开孔直径不超过70mm并有放气孔的桶中。</w:t>
            </w:r>
          </w:p>
          <w:p>
            <w:pPr>
              <w:pStyle w:val="1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Ⅲ危险废物贮存设施的运行与管理</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a.从事危险废物贮存的单位，必须得到有资质单位出具的该危险废物品物理和化学性质的分析报告，认定可以贮存后，方可接收；</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b.危险废物贮存前应进行检验，确保同预定接收的危险废物一致，并登记注册；</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c.不得接收未粘贴符合规定的标签或标签没按规定填写的危险废物；</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d.盛装在容器内的同类危险废物可以堆叠存放；</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e.每个堆间应留有搬运通道；</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f.不得将不相容的废物混合或合并存放；</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g.必须定期对所贮存的危险废物包装容器及贮存设施进行检查，发现破损，应及时采取措施清理更换。</w:t>
            </w:r>
          </w:p>
          <w:p>
            <w:pPr>
              <w:pStyle w:val="10"/>
              <w:rPr>
                <w:rFonts w:hint="default" w:ascii="Times New Roman" w:hAnsi="Times New Roman" w:eastAsia="宋体" w:cs="Times New Roman"/>
                <w:b/>
                <w:bCs/>
                <w:lang w:val="en-US" w:eastAsia="zh-CN"/>
              </w:rPr>
            </w:pPr>
            <w:r>
              <w:rPr>
                <w:rFonts w:hint="default" w:ascii="Times New Roman" w:hAnsi="Times New Roman" w:eastAsia="微软雅黑" w:cs="Times New Roman"/>
                <w:b/>
                <w:bCs/>
                <w:lang w:val="en-US" w:eastAsia="zh-CN"/>
              </w:rPr>
              <w:t>Ⅳ</w:t>
            </w:r>
            <w:r>
              <w:rPr>
                <w:rFonts w:hint="default" w:ascii="Times New Roman" w:hAnsi="Times New Roman" w:eastAsia="宋体" w:cs="Times New Roman"/>
                <w:b/>
                <w:bCs/>
                <w:lang w:val="en-US" w:eastAsia="zh-CN"/>
              </w:rPr>
              <w:t>危险废物贮存设施的安全防护与监测</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a.安全防护：危险废物贮存设施都必须按GB15562.2的规定设置警示标志。危险废物贮存设施周围应设置围墙</w:t>
            </w:r>
            <w:r>
              <w:rPr>
                <w:rFonts w:hint="default" w:ascii="Times New Roman" w:hAnsi="Times New Roman" w:cs="Times New Roman"/>
                <w:lang w:val="en-US" w:eastAsia="zh-CN"/>
              </w:rPr>
              <w:t>或其他</w:t>
            </w:r>
            <w:r>
              <w:rPr>
                <w:rFonts w:hint="default" w:ascii="Times New Roman" w:hAnsi="Times New Roman" w:eastAsia="宋体" w:cs="Times New Roman"/>
                <w:lang w:val="en-US" w:eastAsia="zh-CN"/>
              </w:rPr>
              <w:t>防护栅栏。危险废物贮存设施应配备通讯设备、照明设施、安全防护服装及工具，并设有应急防护设施。危险废物贮存设施内清理出来的泄漏物，一律按危险废物处理；</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b.按国家污染源管理要求对危险废物贮存设施进行监测。环评要求，本项目产生的所有危险固体废物都应交由有资质的单位清运处置。</w:t>
            </w:r>
          </w:p>
          <w:p>
            <w:pPr>
              <w:pStyle w:val="1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综合上述分析，本项目对各类固废采取了安全、合理、卫生的处理和处置方法，可有效防止二次污染，本项目固体废物对环境的基本无影响。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4"/>
                <w:lang w:val="en-US" w:eastAsia="zh-CN"/>
              </w:rPr>
            </w:pPr>
            <w:r>
              <w:rPr>
                <w:rFonts w:hint="default" w:ascii="Times New Roman" w:hAnsi="Times New Roman" w:cs="Times New Roman"/>
                <w:b/>
                <w:sz w:val="24"/>
                <w:lang w:val="en-US" w:eastAsia="zh-CN"/>
              </w:rPr>
              <w:t>5、地下水和土壤环境影响和保护措施</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污染途径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结合项目特点，本项目在运行期间可能造成地下水及污染的因素主要表现在：危废暂存间机油泄漏及防渗层破损，污染物通过垂直入渗进入土壤环境，</w:t>
            </w:r>
            <w:r>
              <w:rPr>
                <w:rFonts w:hint="default" w:ascii="Times New Roman" w:hAnsi="Times New Roman" w:cs="Times New Roman"/>
                <w:sz w:val="24"/>
                <w:szCs w:val="24"/>
                <w:lang w:eastAsia="zh-CN"/>
              </w:rPr>
              <w:t>再</w:t>
            </w:r>
            <w:r>
              <w:rPr>
                <w:rFonts w:hint="default" w:ascii="Times New Roman" w:hAnsi="Times New Roman" w:cs="Times New Roman"/>
                <w:sz w:val="24"/>
                <w:szCs w:val="24"/>
              </w:rPr>
              <w:t>经由土壤环境迁移至地下水环境，从而引起土壤及地下水污染。</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污染防治原则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根据土壤和地下水污水防治对策，坚持</w:t>
            </w:r>
            <w:r>
              <w:rPr>
                <w:rFonts w:hint="default" w:ascii="Times New Roman" w:hAnsi="Times New Roman" w:cs="Times New Roman"/>
                <w:sz w:val="24"/>
                <w:szCs w:val="24"/>
                <w:lang w:eastAsia="zh-CN"/>
              </w:rPr>
              <w:t>“</w:t>
            </w:r>
            <w:r>
              <w:rPr>
                <w:rFonts w:hint="default" w:ascii="Times New Roman" w:hAnsi="Times New Roman" w:cs="Times New Roman"/>
                <w:sz w:val="24"/>
                <w:szCs w:val="24"/>
              </w:rPr>
              <w:t>源头控制、分区防治</w:t>
            </w:r>
            <w:r>
              <w:rPr>
                <w:rFonts w:hint="default" w:ascii="Times New Roman" w:hAnsi="Times New Roman" w:cs="Times New Roman"/>
                <w:sz w:val="24"/>
                <w:szCs w:val="24"/>
                <w:lang w:eastAsia="zh-CN"/>
              </w:rPr>
              <w:t>”</w:t>
            </w:r>
            <w:r>
              <w:rPr>
                <w:rFonts w:hint="default" w:ascii="Times New Roman" w:hAnsi="Times New Roman" w:cs="Times New Roman"/>
                <w:sz w:val="24"/>
                <w:szCs w:val="24"/>
              </w:rPr>
              <w:t>的原则。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1</w:t>
            </w: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rPr>
              <w:t>源头控制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a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b对工艺、设备采取控制措施，防止污染物的跑、冒、滴、漏，将污染物泄漏的环境风险事故降到最低限度。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2</w:t>
            </w: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rPr>
              <w:t>分区防治措施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rPr>
              <w:t>根据各生产单元可能泄漏至地面区域的污染物性质和生产单元的构筑方式，将厂区划分为重点防渗区、一般防渗区及简单防渗区，并采取对应的措施和污染物渗漏收集措施，详见下表：</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sz w:val="24"/>
                <w:szCs w:val="24"/>
                <w:u w:val="none"/>
                <w:lang w:val="en-US" w:eastAsia="zh-CN"/>
              </w:rPr>
            </w:pPr>
            <w:r>
              <w:rPr>
                <w:rFonts w:hint="default" w:ascii="Times New Roman" w:hAnsi="Times New Roman" w:eastAsia="宋体" w:cs="Times New Roman"/>
                <w:b/>
                <w:bCs/>
                <w:color w:val="auto"/>
                <w:spacing w:val="0"/>
                <w:sz w:val="24"/>
                <w:szCs w:val="24"/>
                <w:u w:val="none"/>
                <w:lang w:val="en-US" w:eastAsia="zh-CN"/>
              </w:rPr>
              <w:t>表4-</w:t>
            </w:r>
            <w:r>
              <w:rPr>
                <w:rFonts w:hint="eastAsia" w:cs="Times New Roman"/>
                <w:b/>
                <w:bCs/>
                <w:color w:val="auto"/>
                <w:spacing w:val="0"/>
                <w:sz w:val="24"/>
                <w:szCs w:val="24"/>
                <w:u w:val="none"/>
                <w:lang w:val="en-US" w:eastAsia="zh-CN"/>
              </w:rPr>
              <w:t>17</w:t>
            </w:r>
            <w:r>
              <w:rPr>
                <w:rFonts w:hint="default" w:ascii="Times New Roman" w:hAnsi="Times New Roman" w:eastAsia="宋体" w:cs="Times New Roman"/>
                <w:b/>
                <w:bCs/>
                <w:color w:val="auto"/>
                <w:spacing w:val="0"/>
                <w:sz w:val="24"/>
                <w:szCs w:val="24"/>
                <w:u w:val="none"/>
                <w:lang w:val="en-US" w:eastAsia="zh-CN"/>
              </w:rPr>
              <w:t>项目地下水</w:t>
            </w:r>
            <w:r>
              <w:rPr>
                <w:rFonts w:hint="default" w:ascii="Times New Roman" w:hAnsi="Times New Roman" w:cs="Times New Roman"/>
                <w:b/>
                <w:bCs/>
                <w:color w:val="auto"/>
                <w:spacing w:val="0"/>
                <w:sz w:val="24"/>
                <w:szCs w:val="24"/>
                <w:u w:val="none"/>
                <w:lang w:val="en-US" w:eastAsia="zh-CN"/>
              </w:rPr>
              <w:t>、土壤</w:t>
            </w:r>
            <w:r>
              <w:rPr>
                <w:rFonts w:hint="default" w:ascii="Times New Roman" w:hAnsi="Times New Roman" w:eastAsia="宋体" w:cs="Times New Roman"/>
                <w:b/>
                <w:bCs/>
                <w:color w:val="auto"/>
                <w:spacing w:val="0"/>
                <w:sz w:val="24"/>
                <w:szCs w:val="24"/>
                <w:u w:val="none"/>
                <w:lang w:val="en-US" w:eastAsia="zh-CN"/>
              </w:rPr>
              <w:t>污染防治区划分表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146"/>
              <w:gridCol w:w="2396"/>
              <w:gridCol w:w="5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序号</w:t>
                  </w:r>
                </w:p>
              </w:tc>
              <w:tc>
                <w:tcPr>
                  <w:tcW w:w="61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防渗分区</w:t>
                  </w:r>
                </w:p>
              </w:tc>
              <w:tc>
                <w:tcPr>
                  <w:tcW w:w="128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具体范围</w:t>
                  </w:r>
                </w:p>
              </w:tc>
              <w:tc>
                <w:tcPr>
                  <w:tcW w:w="267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1</w:t>
                  </w:r>
                </w:p>
              </w:tc>
              <w:tc>
                <w:tcPr>
                  <w:tcW w:w="61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rPr>
                    <w:t>重点防渗区</w:t>
                  </w:r>
                </w:p>
              </w:tc>
              <w:tc>
                <w:tcPr>
                  <w:tcW w:w="128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危废暂存间</w:t>
                  </w:r>
                </w:p>
              </w:tc>
              <w:tc>
                <w:tcPr>
                  <w:tcW w:w="267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rPr>
                    <w:t>危废暂存间使用2.0mm土工膜，防渗系数达到等效黏土防渗层Mb≥6.0m，K≤1×10</w:t>
                  </w:r>
                  <w:r>
                    <w:rPr>
                      <w:rFonts w:hint="eastAsia" w:cs="Times New Roman"/>
                      <w:b w:val="0"/>
                      <w:bCs w:val="0"/>
                      <w:color w:val="auto"/>
                      <w:sz w:val="21"/>
                      <w:szCs w:val="21"/>
                      <w:highlight w:val="none"/>
                      <w:u w:val="none"/>
                      <w:vertAlign w:val="baseline"/>
                      <w:lang w:eastAsia="zh-CN"/>
                    </w:rPr>
                    <w:t>—</w:t>
                  </w:r>
                  <w:r>
                    <w:rPr>
                      <w:rFonts w:hint="eastAsia" w:cs="Times New Roman"/>
                      <w:b w:val="0"/>
                      <w:bCs w:val="0"/>
                      <w:color w:val="auto"/>
                      <w:sz w:val="21"/>
                      <w:szCs w:val="21"/>
                      <w:highlight w:val="none"/>
                      <w:u w:val="none"/>
                      <w:vertAlign w:val="superscript"/>
                      <w:lang w:val="en-US" w:eastAsia="zh-CN"/>
                    </w:rPr>
                    <w:t>10</w:t>
                  </w:r>
                  <w:r>
                    <w:rPr>
                      <w:rFonts w:hint="default" w:ascii="Times New Roman" w:hAnsi="Times New Roman" w:cs="Times New Roman"/>
                      <w:b w:val="0"/>
                      <w:bCs w:val="0"/>
                      <w:color w:val="auto"/>
                      <w:sz w:val="21"/>
                      <w:szCs w:val="21"/>
                      <w:highlight w:val="none"/>
                      <w:u w:val="none"/>
                      <w:vertAlign w:val="baseline"/>
                    </w:rPr>
                    <w:t>cm/s；同时废机油收集容器设置防漏托盘，托盘容积应不小于收集容器容积的三分之一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2</w:t>
                  </w:r>
                </w:p>
              </w:tc>
              <w:tc>
                <w:tcPr>
                  <w:tcW w:w="61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一般防渗区</w:t>
                  </w:r>
                </w:p>
              </w:tc>
              <w:tc>
                <w:tcPr>
                  <w:tcW w:w="128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生产车间</w:t>
                  </w:r>
                </w:p>
              </w:tc>
              <w:tc>
                <w:tcPr>
                  <w:tcW w:w="267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rPr>
                    <w:t>使用抗渗混凝土；等效黏土防渗层</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rPr>
                    <w:t>Mb≥1.5m，K≤1×10</w:t>
                  </w:r>
                  <w:r>
                    <w:rPr>
                      <w:rFonts w:hint="eastAsia" w:cs="Times New Roman"/>
                      <w:b w:val="0"/>
                      <w:bCs w:val="0"/>
                      <w:color w:val="auto"/>
                      <w:sz w:val="21"/>
                      <w:szCs w:val="21"/>
                      <w:highlight w:val="none"/>
                      <w:u w:val="none"/>
                      <w:vertAlign w:val="baseline"/>
                      <w:lang w:eastAsia="zh-CN"/>
                    </w:rPr>
                    <w:t>—</w:t>
                  </w:r>
                  <w:r>
                    <w:rPr>
                      <w:rFonts w:hint="eastAsia" w:cs="Times New Roman"/>
                      <w:b w:val="0"/>
                      <w:bCs w:val="0"/>
                      <w:color w:val="auto"/>
                      <w:sz w:val="21"/>
                      <w:szCs w:val="21"/>
                      <w:highlight w:val="none"/>
                      <w:u w:val="none"/>
                      <w:vertAlign w:val="superscript"/>
                      <w:lang w:val="en-US" w:eastAsia="zh-CN"/>
                    </w:rPr>
                    <w:t>7</w:t>
                  </w:r>
                  <w:r>
                    <w:rPr>
                      <w:rFonts w:hint="default" w:ascii="Times New Roman" w:hAnsi="Times New Roman" w:cs="Times New Roman"/>
                      <w:b w:val="0"/>
                      <w:bCs w:val="0"/>
                      <w:color w:val="auto"/>
                      <w:sz w:val="21"/>
                      <w:szCs w:val="21"/>
                      <w:highlight w:val="none"/>
                      <w:u w:val="none"/>
                      <w:vertAlign w:val="baseli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3</w:t>
                  </w:r>
                </w:p>
              </w:tc>
              <w:tc>
                <w:tcPr>
                  <w:tcW w:w="61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简单防渗区</w:t>
                  </w:r>
                </w:p>
              </w:tc>
              <w:tc>
                <w:tcPr>
                  <w:tcW w:w="128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rPr>
                    <w:t>除重点防渗区及一般防渗区以外的区域</w:t>
                  </w:r>
                </w:p>
              </w:tc>
              <w:tc>
                <w:tcPr>
                  <w:tcW w:w="267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rPr>
                    <w:t>一般地面硬化</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项目在按照本评价提出的做好防渗措施、定期检查、</w:t>
            </w:r>
            <w:r>
              <w:rPr>
                <w:rFonts w:hint="default" w:ascii="Times New Roman" w:hAnsi="Times New Roman" w:cs="Times New Roman"/>
                <w:sz w:val="24"/>
                <w:szCs w:val="24"/>
              </w:rPr>
              <w:t>强化厂区绿化</w:t>
            </w:r>
            <w:r>
              <w:rPr>
                <w:rFonts w:hint="default" w:ascii="Times New Roman" w:hAnsi="Times New Roman" w:cs="Times New Roman"/>
                <w:sz w:val="24"/>
                <w:szCs w:val="24"/>
                <w:lang w:val="en-US" w:eastAsia="zh-CN"/>
              </w:rPr>
              <w:t>等要求的前提下</w:t>
            </w:r>
            <w:r>
              <w:rPr>
                <w:rFonts w:hint="default" w:ascii="Times New Roman" w:hAnsi="Times New Roman" w:cs="Times New Roman"/>
                <w:sz w:val="24"/>
                <w:szCs w:val="24"/>
              </w:rPr>
              <w:t>，项目建设对土壤</w:t>
            </w:r>
            <w:r>
              <w:rPr>
                <w:rFonts w:hint="default" w:ascii="Times New Roman" w:hAnsi="Times New Roman" w:cs="Times New Roman"/>
                <w:sz w:val="24"/>
                <w:szCs w:val="24"/>
                <w:lang w:eastAsia="zh-CN"/>
              </w:rPr>
              <w:t>、地下水</w:t>
            </w:r>
            <w:r>
              <w:rPr>
                <w:rFonts w:hint="default" w:ascii="Times New Roman" w:hAnsi="Times New Roman" w:cs="Times New Roman"/>
                <w:sz w:val="24"/>
                <w:szCs w:val="24"/>
              </w:rPr>
              <w:t>的影响可降至最低，不</w:t>
            </w:r>
            <w:r>
              <w:rPr>
                <w:rFonts w:hint="default" w:ascii="Times New Roman" w:hAnsi="Times New Roman" w:cs="Times New Roman"/>
                <w:sz w:val="24"/>
                <w:szCs w:val="24"/>
                <w:lang w:eastAsia="zh-CN"/>
              </w:rPr>
              <w:t>会</w:t>
            </w:r>
            <w:r>
              <w:rPr>
                <w:rFonts w:hint="default" w:ascii="Times New Roman" w:hAnsi="Times New Roman" w:cs="Times New Roman"/>
                <w:sz w:val="24"/>
                <w:szCs w:val="24"/>
              </w:rPr>
              <w:t>改变区域土壤</w:t>
            </w:r>
            <w:r>
              <w:rPr>
                <w:rFonts w:hint="default" w:ascii="Times New Roman" w:hAnsi="Times New Roman" w:cs="Times New Roman"/>
                <w:sz w:val="24"/>
                <w:szCs w:val="24"/>
                <w:lang w:eastAsia="zh-CN"/>
              </w:rPr>
              <w:t>和地下水</w:t>
            </w:r>
            <w:r>
              <w:rPr>
                <w:rFonts w:hint="default" w:ascii="Times New Roman" w:hAnsi="Times New Roman" w:cs="Times New Roman"/>
                <w:sz w:val="24"/>
                <w:szCs w:val="24"/>
              </w:rPr>
              <w:t>环境质量现状。</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sz w:val="24"/>
                <w:u w:val="none"/>
                <w:lang w:val="en-US" w:eastAsia="zh-CN"/>
              </w:rPr>
            </w:pPr>
            <w:r>
              <w:rPr>
                <w:rFonts w:hint="default" w:ascii="Times New Roman" w:hAnsi="Times New Roman" w:cs="Times New Roman"/>
                <w:b/>
                <w:sz w:val="24"/>
                <w:u w:val="none"/>
                <w:lang w:val="en-US" w:eastAsia="zh-CN"/>
              </w:rPr>
              <w:t>6</w:t>
            </w:r>
            <w:r>
              <w:rPr>
                <w:rFonts w:hint="default" w:ascii="Times New Roman" w:hAnsi="Times New Roman" w:eastAsia="宋体" w:cs="Times New Roman"/>
                <w:b/>
                <w:sz w:val="24"/>
                <w:u w:val="none"/>
                <w:lang w:val="en-US" w:eastAsia="zh-CN"/>
              </w:rPr>
              <w:t>、环境风险分析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环境风险评价的目的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环境风险评价的工作重点是预测事故发生引起厂界外人群的伤害、环境质量的恶化，并提出相应的防护措施。风险识别范围包括生产设施风险识别和生产过程所涉及的物质风险识别。生产设施风险识别范围为：主要生产装置、贮运系统、公用工程系统、工程环保设施及辅助生产设施等；物质风险识别是指主要原辅材料、燃料、产品、副产品运输以及生产过程中排放的污染物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（1）风险源调查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color w:val="000000"/>
                <w:kern w:val="0"/>
                <w:sz w:val="24"/>
                <w:szCs w:val="24"/>
                <w:lang w:val="en-US" w:eastAsia="zh-CN" w:bidi="ar"/>
              </w:rPr>
              <w:t>按照《建设项目环境风险评价技术导则》（HJ169-2018）规定，在进行风险评价时，首先要调查建设项目危险物质数量和分布情况、生产工艺特点，本项目不涉及有毒有害及危险生产工艺。</w:t>
            </w:r>
            <w:r>
              <w:rPr>
                <w:rFonts w:hint="default" w:ascii="Times New Roman" w:hAnsi="Times New Roman" w:eastAsia="宋体" w:cs="Times New Roman"/>
                <w:b w:val="0"/>
                <w:bCs w:val="0"/>
                <w:color w:val="auto"/>
                <w:sz w:val="24"/>
                <w:szCs w:val="24"/>
                <w:u w:val="none"/>
                <w:lang w:val="en-US" w:eastAsia="zh-CN"/>
              </w:rPr>
              <w:t>本项目涉及危险物质主要为</w:t>
            </w:r>
            <w:r>
              <w:rPr>
                <w:rFonts w:hint="default" w:ascii="Times New Roman" w:hAnsi="Times New Roman" w:cs="Times New Roman"/>
                <w:b w:val="0"/>
                <w:bCs w:val="0"/>
                <w:color w:val="auto"/>
                <w:sz w:val="24"/>
                <w:szCs w:val="24"/>
                <w:u w:val="none"/>
                <w:lang w:val="en-US" w:eastAsia="zh-CN"/>
              </w:rPr>
              <w:t>废机油</w:t>
            </w:r>
            <w:r>
              <w:rPr>
                <w:rFonts w:hint="eastAsia" w:cs="Times New Roman"/>
                <w:b w:val="0"/>
                <w:bCs w:val="0"/>
                <w:color w:val="auto"/>
                <w:sz w:val="24"/>
                <w:szCs w:val="24"/>
                <w:u w:val="none"/>
                <w:lang w:val="en-US" w:eastAsia="zh-CN"/>
              </w:rPr>
              <w:t>、废润滑油、天然气</w:t>
            </w:r>
            <w:r>
              <w:rPr>
                <w:rFonts w:hint="default" w:ascii="Times New Roman" w:hAnsi="Times New Roman" w:cs="Times New Roman"/>
                <w:b w:val="0"/>
                <w:bCs w:val="0"/>
                <w:color w:val="auto"/>
                <w:sz w:val="24"/>
                <w:szCs w:val="24"/>
                <w:u w:val="none"/>
                <w:lang w:val="en-US" w:eastAsia="zh-CN"/>
              </w:rPr>
              <w:t>和废活性炭</w:t>
            </w:r>
            <w:r>
              <w:rPr>
                <w:rFonts w:hint="default" w:ascii="Times New Roman" w:hAnsi="Times New Roman" w:eastAsia="宋体" w:cs="Times New Roman"/>
                <w:b w:val="0"/>
                <w:bCs w:val="0"/>
                <w:color w:val="auto"/>
                <w:sz w:val="24"/>
                <w:szCs w:val="24"/>
                <w:u w:val="none"/>
                <w:lang w:val="en-US" w:eastAsia="zh-CN"/>
              </w:rPr>
              <w:t>，项目危险物质的分布情况及用途情况见表4-</w:t>
            </w:r>
            <w:r>
              <w:rPr>
                <w:rFonts w:hint="eastAsia" w:cs="Times New Roman"/>
                <w:b w:val="0"/>
                <w:bCs w:val="0"/>
                <w:color w:val="auto"/>
                <w:sz w:val="24"/>
                <w:szCs w:val="24"/>
                <w:u w:val="none"/>
                <w:lang w:val="en-US" w:eastAsia="zh-CN"/>
              </w:rPr>
              <w:t>18</w:t>
            </w:r>
            <w:r>
              <w:rPr>
                <w:rFonts w:hint="default" w:ascii="Times New Roman" w:hAnsi="Times New Roman" w:eastAsia="宋体" w:cs="Times New Roman"/>
                <w:b w:val="0"/>
                <w:bCs w:val="0"/>
                <w:color w:val="auto"/>
                <w:sz w:val="24"/>
                <w:szCs w:val="24"/>
                <w:u w:val="none"/>
                <w:lang w:val="en-US" w:eastAsia="zh-CN"/>
              </w:rPr>
              <w:t>，其理化性质见表4-</w:t>
            </w:r>
            <w:r>
              <w:rPr>
                <w:rFonts w:hint="eastAsia" w:cs="Times New Roman"/>
                <w:b w:val="0"/>
                <w:bCs w:val="0"/>
                <w:color w:val="auto"/>
                <w:sz w:val="24"/>
                <w:szCs w:val="24"/>
                <w:u w:val="none"/>
                <w:lang w:val="en-US" w:eastAsia="zh-CN"/>
              </w:rPr>
              <w:t>19和表4-20</w:t>
            </w:r>
            <w:r>
              <w:rPr>
                <w:rFonts w:hint="default" w:ascii="Times New Roman" w:hAnsi="Times New Roman" w:eastAsia="宋体" w:cs="Times New Roman"/>
                <w:b w:val="0"/>
                <w:bCs w:val="0"/>
                <w:color w:val="auto"/>
                <w:sz w:val="24"/>
                <w:szCs w:val="24"/>
                <w:u w:val="none"/>
                <w:lang w:val="en-US" w:eastAsia="zh-CN"/>
              </w:rPr>
              <w:t>。</w:t>
            </w:r>
          </w:p>
          <w:p>
            <w:pPr>
              <w:pStyle w:val="44"/>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w:t>
            </w:r>
            <w:r>
              <w:rPr>
                <w:rFonts w:hint="default" w:ascii="Times New Roman" w:hAnsi="Times New Roman" w:cs="Times New Roman"/>
                <w:b/>
                <w:bCs/>
                <w:color w:val="auto"/>
                <w:u w:val="none"/>
                <w:lang w:val="en-US" w:eastAsia="zh-CN"/>
              </w:rPr>
              <w:t>4</w:t>
            </w:r>
            <w:r>
              <w:rPr>
                <w:rFonts w:hint="default" w:ascii="Times New Roman" w:hAnsi="Times New Roman" w:cs="Times New Roman"/>
                <w:b/>
                <w:bCs/>
                <w:color w:val="auto"/>
                <w:u w:val="none"/>
              </w:rPr>
              <w:t>-</w:t>
            </w:r>
            <w:r>
              <w:rPr>
                <w:rFonts w:hint="eastAsia" w:ascii="Times New Roman" w:cs="Times New Roman"/>
                <w:b/>
                <w:bCs/>
                <w:color w:val="auto"/>
                <w:u w:val="none"/>
                <w:lang w:val="en-US" w:eastAsia="zh-CN"/>
              </w:rPr>
              <w:t>18</w:t>
            </w:r>
            <w:r>
              <w:rPr>
                <w:rFonts w:hint="default" w:ascii="Times New Roman" w:hAnsi="Times New Roman" w:cs="Times New Roman"/>
                <w:b/>
                <w:bCs/>
                <w:color w:val="auto"/>
                <w:u w:val="none"/>
              </w:rPr>
              <w:t>项目危险物质数量、产生及分布情况一览表</w:t>
            </w:r>
          </w:p>
          <w:tbl>
            <w:tblPr>
              <w:tblStyle w:val="24"/>
              <w:tblW w:w="4997"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28" w:type="dxa"/>
                <w:bottom w:w="0" w:type="dxa"/>
                <w:right w:w="28" w:type="dxa"/>
              </w:tblCellMar>
            </w:tblPr>
            <w:tblGrid>
              <w:gridCol w:w="596"/>
              <w:gridCol w:w="1194"/>
              <w:gridCol w:w="1586"/>
              <w:gridCol w:w="1439"/>
              <w:gridCol w:w="1845"/>
              <w:gridCol w:w="1363"/>
              <w:gridCol w:w="1323"/>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28" w:type="dxa"/>
                  <w:bottom w:w="0" w:type="dxa"/>
                  <w:right w:w="28" w:type="dxa"/>
                </w:tblCellMar>
              </w:tblPrEx>
              <w:trPr>
                <w:trHeight w:val="365" w:hRule="atLeast"/>
                <w:jc w:val="center"/>
              </w:trPr>
              <w:tc>
                <w:tcPr>
                  <w:tcW w:w="5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序号</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名称</w:t>
                  </w:r>
                </w:p>
              </w:tc>
              <w:tc>
                <w:tcPr>
                  <w:tcW w:w="15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CAS号</w:t>
                  </w:r>
                </w:p>
              </w:tc>
              <w:tc>
                <w:tcPr>
                  <w:tcW w:w="14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分布位置</w:t>
                  </w:r>
                </w:p>
              </w:tc>
              <w:tc>
                <w:tcPr>
                  <w:tcW w:w="1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最大贮存量（t）</w:t>
                  </w:r>
                </w:p>
              </w:tc>
              <w:tc>
                <w:tcPr>
                  <w:tcW w:w="1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临界量（t）</w:t>
                  </w:r>
                </w:p>
              </w:tc>
              <w:tc>
                <w:tcPr>
                  <w:tcW w:w="13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临界量来源</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5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1</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pacing w:val="4"/>
                      <w:kern w:val="0"/>
                      <w:sz w:val="21"/>
                      <w:szCs w:val="21"/>
                      <w:u w:val="none"/>
                      <w:lang w:val="en-US" w:eastAsia="zh-CN"/>
                    </w:rPr>
                  </w:pPr>
                  <w:r>
                    <w:rPr>
                      <w:rFonts w:hint="default" w:ascii="Times New Roman" w:hAnsi="Times New Roman" w:cs="Times New Roman"/>
                      <w:b w:val="0"/>
                      <w:bCs w:val="0"/>
                      <w:color w:val="auto"/>
                      <w:spacing w:val="4"/>
                      <w:kern w:val="0"/>
                      <w:sz w:val="21"/>
                      <w:szCs w:val="21"/>
                      <w:u w:val="none"/>
                      <w:lang w:val="en-US" w:eastAsia="zh-CN"/>
                    </w:rPr>
                    <w:t>废机油</w:t>
                  </w:r>
                  <w:r>
                    <w:rPr>
                      <w:rFonts w:hint="eastAsia" w:cs="Times New Roman"/>
                      <w:b w:val="0"/>
                      <w:bCs w:val="0"/>
                      <w:color w:val="auto"/>
                      <w:spacing w:val="4"/>
                      <w:kern w:val="0"/>
                      <w:sz w:val="21"/>
                      <w:szCs w:val="21"/>
                      <w:u w:val="none"/>
                      <w:lang w:val="en-US" w:eastAsia="zh-CN"/>
                    </w:rPr>
                    <w:t>、废润滑油</w:t>
                  </w:r>
                </w:p>
              </w:tc>
              <w:tc>
                <w:tcPr>
                  <w:tcW w:w="15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u w:val="none"/>
                    </w:rPr>
                    <w:t>900-214-08</w:t>
                  </w:r>
                </w:p>
              </w:tc>
              <w:tc>
                <w:tcPr>
                  <w:tcW w:w="143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cs="Times New Roman"/>
                      <w:b w:val="0"/>
                      <w:bCs w:val="0"/>
                      <w:u w:val="none"/>
                      <w:lang w:val="en-US" w:eastAsia="zh-CN"/>
                    </w:rPr>
                    <w:t>危废暂存间</w:t>
                  </w:r>
                </w:p>
              </w:tc>
              <w:tc>
                <w:tcPr>
                  <w:tcW w:w="1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0.0</w:t>
                  </w:r>
                  <w:r>
                    <w:rPr>
                      <w:rFonts w:hint="eastAsia" w:cs="Times New Roman"/>
                      <w:b w:val="0"/>
                      <w:bCs w:val="0"/>
                      <w:color w:val="auto"/>
                      <w:kern w:val="0"/>
                      <w:sz w:val="21"/>
                      <w:szCs w:val="21"/>
                      <w:u w:val="none"/>
                      <w:lang w:val="en-US" w:eastAsia="zh-CN"/>
                    </w:rPr>
                    <w:t>5</w:t>
                  </w:r>
                </w:p>
              </w:tc>
              <w:tc>
                <w:tcPr>
                  <w:tcW w:w="1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2500</w:t>
                  </w:r>
                </w:p>
              </w:tc>
              <w:tc>
                <w:tcPr>
                  <w:tcW w:w="13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rPr>
                    <w:t>附录</w:t>
                  </w:r>
                  <w:r>
                    <w:rPr>
                      <w:rFonts w:hint="default" w:ascii="Times New Roman" w:hAnsi="Times New Roman" w:cs="Times New Roman"/>
                      <w:b w:val="0"/>
                      <w:bCs w:val="0"/>
                      <w:color w:val="auto"/>
                      <w:kern w:val="0"/>
                      <w:sz w:val="21"/>
                      <w:szCs w:val="21"/>
                      <w:u w:val="none"/>
                      <w:lang w:val="en-US" w:eastAsia="zh-CN"/>
                    </w:rPr>
                    <w:t>A</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5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2</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pacing w:val="4"/>
                      <w:kern w:val="0"/>
                      <w:sz w:val="21"/>
                      <w:szCs w:val="21"/>
                      <w:u w:val="none"/>
                      <w:lang w:val="en-US" w:eastAsia="zh-CN"/>
                    </w:rPr>
                  </w:pPr>
                  <w:r>
                    <w:rPr>
                      <w:rFonts w:hint="default" w:ascii="Times New Roman" w:hAnsi="Times New Roman" w:cs="Times New Roman"/>
                      <w:b w:val="0"/>
                      <w:bCs w:val="0"/>
                      <w:color w:val="auto"/>
                      <w:spacing w:val="4"/>
                      <w:kern w:val="0"/>
                      <w:sz w:val="21"/>
                      <w:szCs w:val="21"/>
                      <w:u w:val="none"/>
                      <w:lang w:val="en-US" w:eastAsia="zh-CN"/>
                    </w:rPr>
                    <w:t>废活性炭</w:t>
                  </w:r>
                </w:p>
              </w:tc>
              <w:tc>
                <w:tcPr>
                  <w:tcW w:w="15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color w:val="auto"/>
                      <w:sz w:val="21"/>
                      <w:szCs w:val="21"/>
                      <w:u w:val="none"/>
                      <w:lang w:val="en-US" w:eastAsia="zh-CN"/>
                    </w:rPr>
                    <w:t>900-039-49</w:t>
                  </w:r>
                </w:p>
              </w:tc>
              <w:tc>
                <w:tcPr>
                  <w:tcW w:w="143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1"/>
                      <w:u w:val="none"/>
                      <w:lang w:val="en-US" w:eastAsia="zh-CN" w:bidi="ar-SA"/>
                    </w:rPr>
                  </w:pPr>
                </w:p>
              </w:tc>
              <w:tc>
                <w:tcPr>
                  <w:tcW w:w="1845" w:type="dxa"/>
                  <w:tcBorders>
                    <w:tl2br w:val="nil"/>
                    <w:tr2bl w:val="nil"/>
                  </w:tcBorders>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kern w:val="2"/>
                      <w:sz w:val="21"/>
                      <w:szCs w:val="24"/>
                      <w:u w:val="none"/>
                      <w:lang w:val="en-US" w:eastAsia="zh-CN" w:bidi="ar-SA"/>
                    </w:rPr>
                  </w:pPr>
                  <w:r>
                    <w:rPr>
                      <w:rFonts w:hint="eastAsia" w:cs="Times New Roman"/>
                      <w:u w:val="none"/>
                      <w:lang w:val="en-US" w:eastAsia="zh-CN"/>
                    </w:rPr>
                    <w:t>0.1292</w:t>
                  </w:r>
                </w:p>
              </w:tc>
              <w:tc>
                <w:tcPr>
                  <w:tcW w:w="1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100</w:t>
                  </w:r>
                </w:p>
              </w:tc>
              <w:tc>
                <w:tcPr>
                  <w:tcW w:w="13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附录</w:t>
                  </w:r>
                  <w:r>
                    <w:rPr>
                      <w:rFonts w:hint="default" w:ascii="Times New Roman" w:hAnsi="Times New Roman" w:cs="Times New Roman"/>
                      <w:b w:val="0"/>
                      <w:bCs w:val="0"/>
                      <w:color w:val="auto"/>
                      <w:kern w:val="0"/>
                      <w:sz w:val="21"/>
                      <w:szCs w:val="21"/>
                      <w:u w:val="none"/>
                      <w:lang w:val="en-US" w:eastAsia="zh-CN"/>
                    </w:rPr>
                    <w:t>A</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5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3</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pacing w:val="4"/>
                      <w:kern w:val="0"/>
                      <w:sz w:val="21"/>
                      <w:szCs w:val="21"/>
                      <w:u w:val="none"/>
                      <w:lang w:val="en-US" w:eastAsia="zh-CN"/>
                    </w:rPr>
                  </w:pPr>
                  <w:r>
                    <w:rPr>
                      <w:rFonts w:hint="eastAsia" w:cs="Times New Roman"/>
                      <w:b w:val="0"/>
                      <w:bCs w:val="0"/>
                      <w:color w:val="auto"/>
                      <w:spacing w:val="4"/>
                      <w:kern w:val="0"/>
                      <w:sz w:val="21"/>
                      <w:szCs w:val="21"/>
                      <w:u w:val="none"/>
                      <w:lang w:val="en-US" w:eastAsia="zh-CN"/>
                    </w:rPr>
                    <w:t>天然气</w:t>
                  </w:r>
                </w:p>
              </w:tc>
              <w:tc>
                <w:tcPr>
                  <w:tcW w:w="15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68476-85-7</w:t>
                  </w:r>
                </w:p>
              </w:tc>
              <w:tc>
                <w:tcPr>
                  <w:tcW w:w="14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kern w:val="2"/>
                      <w:sz w:val="21"/>
                      <w:szCs w:val="21"/>
                      <w:u w:val="none"/>
                      <w:lang w:val="en-US" w:eastAsia="zh-CN" w:bidi="ar-SA"/>
                    </w:rPr>
                    <w:t>储罐</w:t>
                  </w:r>
                </w:p>
              </w:tc>
              <w:tc>
                <w:tcPr>
                  <w:tcW w:w="1845" w:type="dxa"/>
                  <w:tcBorders>
                    <w:tl2br w:val="nil"/>
                    <w:tr2bl w:val="nil"/>
                  </w:tcBorders>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color w:val="auto"/>
                      <w:u w:val="none"/>
                      <w:lang w:val="en-US" w:eastAsia="zh-CN"/>
                    </w:rPr>
                  </w:pPr>
                  <w:r>
                    <w:rPr>
                      <w:rFonts w:hint="eastAsia" w:cs="Times New Roman"/>
                      <w:color w:val="auto"/>
                      <w:u w:val="none"/>
                      <w:lang w:val="en-US" w:eastAsia="zh-CN"/>
                    </w:rPr>
                    <w:t>1.0</w:t>
                  </w:r>
                </w:p>
              </w:tc>
              <w:tc>
                <w:tcPr>
                  <w:tcW w:w="1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10</w:t>
                  </w:r>
                </w:p>
              </w:tc>
              <w:tc>
                <w:tcPr>
                  <w:tcW w:w="13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附录</w:t>
                  </w:r>
                  <w:r>
                    <w:rPr>
                      <w:rFonts w:hint="default" w:ascii="Times New Roman" w:hAnsi="Times New Roman" w:cs="Times New Roman"/>
                      <w:b w:val="0"/>
                      <w:bCs w:val="0"/>
                      <w:color w:val="auto"/>
                      <w:kern w:val="0"/>
                      <w:sz w:val="21"/>
                      <w:szCs w:val="21"/>
                      <w:u w:val="none"/>
                      <w:lang w:val="en-US" w:eastAsia="zh-CN"/>
                    </w:rPr>
                    <w:t>A</w:t>
                  </w:r>
                </w:p>
              </w:tc>
            </w:tr>
          </w:tbl>
          <w:p>
            <w:pPr>
              <w:pStyle w:val="44"/>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bCs/>
                <w:color w:val="auto"/>
                <w:u w:val="none"/>
                <w:lang w:val="en-US" w:eastAsia="zh-CN"/>
              </w:rPr>
            </w:pPr>
          </w:p>
          <w:p>
            <w:pPr>
              <w:pStyle w:val="44"/>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none"/>
                <w:lang w:val="en-US" w:eastAsia="zh-CN"/>
              </w:rPr>
              <w:t>表4-</w:t>
            </w:r>
            <w:r>
              <w:rPr>
                <w:rFonts w:hint="eastAsia" w:ascii="Times New Roman" w:cs="Times New Roman"/>
                <w:b/>
                <w:bCs/>
                <w:color w:val="auto"/>
                <w:u w:val="none"/>
                <w:lang w:val="en-US" w:eastAsia="zh-CN"/>
              </w:rPr>
              <w:t>19</w:t>
            </w:r>
            <w:r>
              <w:rPr>
                <w:rFonts w:hint="default" w:ascii="Times New Roman" w:hAnsi="Times New Roman" w:eastAsia="宋体" w:cs="Times New Roman"/>
                <w:b/>
                <w:bCs/>
                <w:color w:val="auto"/>
                <w:u w:val="none"/>
              </w:rPr>
              <w:t>机油</w:t>
            </w:r>
            <w:r>
              <w:rPr>
                <w:rFonts w:hint="eastAsia" w:ascii="Times New Roman" w:cs="Times New Roman"/>
                <w:b/>
                <w:bCs/>
                <w:color w:val="auto"/>
                <w:u w:val="none"/>
                <w:lang w:eastAsia="zh-CN"/>
              </w:rPr>
              <w:t>、</w:t>
            </w:r>
            <w:r>
              <w:rPr>
                <w:rFonts w:hint="eastAsia" w:ascii="Times New Roman" w:cs="Times New Roman"/>
                <w:b/>
                <w:bCs/>
                <w:color w:val="auto"/>
                <w:u w:val="none"/>
                <w:lang w:val="en-US" w:eastAsia="zh-CN"/>
              </w:rPr>
              <w:t>润滑油</w:t>
            </w:r>
            <w:r>
              <w:rPr>
                <w:rFonts w:hint="default" w:ascii="Times New Roman" w:hAnsi="Times New Roman" w:eastAsia="宋体" w:cs="Times New Roman"/>
                <w:b/>
                <w:bCs/>
                <w:color w:val="auto"/>
                <w:u w:val="none"/>
              </w:rPr>
              <w:t>的理化性质及危险特性表</w:t>
            </w:r>
          </w:p>
          <w:tbl>
            <w:tblPr>
              <w:tblStyle w:val="24"/>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319"/>
              <w:gridCol w:w="376"/>
              <w:gridCol w:w="634"/>
              <w:gridCol w:w="1145"/>
              <w:gridCol w:w="806"/>
              <w:gridCol w:w="322"/>
              <w:gridCol w:w="671"/>
              <w:gridCol w:w="269"/>
              <w:gridCol w:w="776"/>
              <w:gridCol w:w="851"/>
              <w:gridCol w:w="329"/>
              <w:gridCol w:w="13"/>
              <w:gridCol w:w="135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59" w:type="pct"/>
                  <w:vMerge w:val="restar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标</w:t>
                  </w:r>
                </w:p>
                <w:p>
                  <w:pPr>
                    <w:rPr>
                      <w:rFonts w:hint="default" w:ascii="Times New Roman" w:hAnsi="Times New Roman" w:cs="Times New Roman"/>
                      <w:b w:val="0"/>
                      <w:bCs w:val="0"/>
                      <w:u w:val="none"/>
                    </w:rPr>
                  </w:pPr>
                  <w:r>
                    <w:rPr>
                      <w:rFonts w:hint="default" w:ascii="Times New Roman" w:hAnsi="Times New Roman" w:cs="Times New Roman"/>
                      <w:b w:val="0"/>
                      <w:bCs w:val="0"/>
                      <w:u w:val="none"/>
                    </w:rPr>
                    <w:t>识</w:t>
                  </w:r>
                </w:p>
              </w:tc>
              <w:tc>
                <w:tcPr>
                  <w:tcW w:w="705" w:type="pct"/>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中文名</w:t>
                  </w:r>
                </w:p>
              </w:tc>
              <w:tc>
                <w:tcPr>
                  <w:tcW w:w="540" w:type="pct"/>
                  <w:gridSpan w:val="2"/>
                  <w:tcBorders>
                    <w:tl2br w:val="nil"/>
                    <w:tr2bl w:val="nil"/>
                  </w:tcBorders>
                  <w:noWrap w:val="0"/>
                  <w:vAlign w:val="center"/>
                </w:tcPr>
                <w:p>
                  <w:pPr>
                    <w:jc w:val="cente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rPr>
                    <w:t>机油</w:t>
                  </w:r>
                  <w:r>
                    <w:rPr>
                      <w:rFonts w:hint="eastAsia" w:cs="Times New Roman"/>
                      <w:b w:val="0"/>
                      <w:bCs w:val="0"/>
                      <w:u w:val="none"/>
                      <w:lang w:eastAsia="zh-CN"/>
                    </w:rPr>
                    <w:t>、</w:t>
                  </w:r>
                  <w:r>
                    <w:rPr>
                      <w:rFonts w:hint="eastAsia" w:cs="Times New Roman"/>
                      <w:b w:val="0"/>
                      <w:bCs w:val="0"/>
                      <w:u w:val="none"/>
                      <w:lang w:val="en-US" w:eastAsia="zh-CN"/>
                    </w:rPr>
                    <w:t>润滑油</w:t>
                  </w:r>
                </w:p>
              </w:tc>
              <w:tc>
                <w:tcPr>
                  <w:tcW w:w="612" w:type="pct"/>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英文名</w:t>
                  </w:r>
                </w:p>
              </w:tc>
              <w:tc>
                <w:tcPr>
                  <w:tcW w:w="1106" w:type="pct"/>
                  <w:gridSpan w:val="4"/>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lubricatingoil ；Lubeoil</w:t>
                  </w:r>
                </w:p>
              </w:tc>
              <w:tc>
                <w:tcPr>
                  <w:tcW w:w="1046" w:type="pct"/>
                  <w:gridSpan w:val="3"/>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危险货物编号</w:t>
                  </w:r>
                </w:p>
              </w:tc>
              <w:tc>
                <w:tcPr>
                  <w:tcW w:w="730" w:type="pct"/>
                  <w:gridSpan w:val="2"/>
                  <w:tcBorders>
                    <w:tl2br w:val="nil"/>
                    <w:tr2bl w:val="nil"/>
                  </w:tcBorders>
                  <w:noWrap w:val="0"/>
                  <w:vAlign w:val="center"/>
                </w:tcPr>
                <w:p>
                  <w:pPr>
                    <w:jc w:val="center"/>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noWrap w:val="0"/>
                  <w:vAlign w:val="center"/>
                </w:tcPr>
                <w:p>
                  <w:pPr>
                    <w:rPr>
                      <w:rFonts w:hint="default" w:ascii="Times New Roman" w:hAnsi="Times New Roman" w:cs="Times New Roman"/>
                      <w:b w:val="0"/>
                      <w:bCs w:val="0"/>
                      <w:u w:val="none"/>
                    </w:rPr>
                  </w:pPr>
                </w:p>
              </w:tc>
              <w:tc>
                <w:tcPr>
                  <w:tcW w:w="705" w:type="pct"/>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分子式</w:t>
                  </w:r>
                </w:p>
              </w:tc>
              <w:tc>
                <w:tcPr>
                  <w:tcW w:w="540" w:type="pct"/>
                  <w:gridSpan w:val="2"/>
                  <w:tcBorders>
                    <w:tl2br w:val="nil"/>
                    <w:tr2bl w:val="nil"/>
                  </w:tcBorders>
                  <w:noWrap w:val="0"/>
                  <w:vAlign w:val="center"/>
                </w:tcPr>
                <w:p>
                  <w:pPr>
                    <w:jc w:val="center"/>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w:t>
                  </w:r>
                </w:p>
              </w:tc>
              <w:tc>
                <w:tcPr>
                  <w:tcW w:w="612" w:type="pct"/>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分子量</w:t>
                  </w:r>
                </w:p>
              </w:tc>
              <w:tc>
                <w:tcPr>
                  <w:tcW w:w="603" w:type="pct"/>
                  <w:gridSpan w:val="2"/>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230～500</w:t>
                  </w:r>
                </w:p>
              </w:tc>
              <w:tc>
                <w:tcPr>
                  <w:tcW w:w="502" w:type="pct"/>
                  <w:gridSpan w:val="2"/>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UN编号</w:t>
                  </w:r>
                </w:p>
              </w:tc>
              <w:tc>
                <w:tcPr>
                  <w:tcW w:w="415" w:type="pct"/>
                  <w:tcBorders>
                    <w:tl2br w:val="nil"/>
                    <w:tr2bl w:val="nil"/>
                  </w:tcBorders>
                  <w:noWrap w:val="0"/>
                  <w:vAlign w:val="center"/>
                </w:tcPr>
                <w:p>
                  <w:pPr>
                    <w:jc w:val="center"/>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w:t>
                  </w:r>
                </w:p>
              </w:tc>
              <w:tc>
                <w:tcPr>
                  <w:tcW w:w="630" w:type="pct"/>
                  <w:gridSpan w:val="2"/>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CAS编号</w:t>
                  </w:r>
                </w:p>
              </w:tc>
              <w:tc>
                <w:tcPr>
                  <w:tcW w:w="730" w:type="pct"/>
                  <w:gridSpan w:val="2"/>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900-214-08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危险类别</w:t>
                  </w:r>
                </w:p>
              </w:tc>
              <w:tc>
                <w:tcPr>
                  <w:tcW w:w="4035" w:type="pct"/>
                  <w:gridSpan w:val="12"/>
                  <w:tcBorders>
                    <w:tl2br w:val="nil"/>
                    <w:tr2bl w:val="nil"/>
                  </w:tcBorders>
                  <w:noWrap w:val="0"/>
                  <w:vAlign w:val="top"/>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restar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理</w:t>
                  </w:r>
                </w:p>
                <w:p>
                  <w:pPr>
                    <w:rPr>
                      <w:rFonts w:hint="default" w:ascii="Times New Roman" w:hAnsi="Times New Roman" w:cs="Times New Roman"/>
                      <w:b w:val="0"/>
                      <w:bCs w:val="0"/>
                      <w:u w:val="none"/>
                    </w:rPr>
                  </w:pPr>
                  <w:r>
                    <w:rPr>
                      <w:rFonts w:hint="default" w:ascii="Times New Roman" w:hAnsi="Times New Roman" w:cs="Times New Roman"/>
                      <w:b w:val="0"/>
                      <w:bCs w:val="0"/>
                      <w:u w:val="none"/>
                    </w:rPr>
                    <w:t>化</w:t>
                  </w:r>
                </w:p>
                <w:p>
                  <w:pPr>
                    <w:rPr>
                      <w:rFonts w:hint="default" w:ascii="Times New Roman" w:hAnsi="Times New Roman" w:cs="Times New Roman"/>
                      <w:b w:val="0"/>
                      <w:bCs w:val="0"/>
                      <w:u w:val="none"/>
                    </w:rPr>
                  </w:pPr>
                  <w:r>
                    <w:rPr>
                      <w:rFonts w:hint="default" w:ascii="Times New Roman" w:hAnsi="Times New Roman" w:cs="Times New Roman"/>
                      <w:b w:val="0"/>
                      <w:bCs w:val="0"/>
                      <w:u w:val="none"/>
                    </w:rPr>
                    <w:t>性</w:t>
                  </w:r>
                </w:p>
                <w:p>
                  <w:pPr>
                    <w:rPr>
                      <w:rFonts w:hint="default" w:ascii="Times New Roman" w:hAnsi="Times New Roman" w:cs="Times New Roman"/>
                      <w:b w:val="0"/>
                      <w:bCs w:val="0"/>
                      <w:u w:val="none"/>
                    </w:rPr>
                  </w:pPr>
                  <w:r>
                    <w:rPr>
                      <w:rFonts w:hint="default" w:ascii="Times New Roman" w:hAnsi="Times New Roman" w:cs="Times New Roman"/>
                      <w:b w:val="0"/>
                      <w:bCs w:val="0"/>
                      <w:u w:val="none"/>
                    </w:rPr>
                    <w:t>质</w:t>
                  </w: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性状</w:t>
                  </w:r>
                </w:p>
              </w:tc>
              <w:tc>
                <w:tcPr>
                  <w:tcW w:w="4035" w:type="pct"/>
                  <w:gridSpan w:val="12"/>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油状液体</w:t>
                  </w:r>
                  <w:r>
                    <w:rPr>
                      <w:rFonts w:hint="default" w:ascii="Times New Roman" w:hAnsi="Times New Roman" w:cs="Times New Roman"/>
                      <w:b w:val="0"/>
                      <w:bCs w:val="0"/>
                      <w:u w:val="none"/>
                      <w:lang w:eastAsia="zh-CN"/>
                    </w:rPr>
                    <w:t>，</w:t>
                  </w:r>
                  <w:r>
                    <w:rPr>
                      <w:rFonts w:hint="default" w:ascii="Times New Roman" w:hAnsi="Times New Roman" w:cs="Times New Roman"/>
                      <w:b w:val="0"/>
                      <w:bCs w:val="0"/>
                      <w:u w:val="none"/>
                    </w:rPr>
                    <w:t>淡黄色至褐色</w:t>
                  </w:r>
                  <w:r>
                    <w:rPr>
                      <w:rFonts w:hint="default" w:ascii="Times New Roman" w:hAnsi="Times New Roman" w:cs="Times New Roman"/>
                      <w:b w:val="0"/>
                      <w:bCs w:val="0"/>
                      <w:u w:val="none"/>
                      <w:lang w:eastAsia="zh-CN"/>
                    </w:rPr>
                    <w:t>，</w:t>
                  </w:r>
                  <w:r>
                    <w:rPr>
                      <w:rFonts w:hint="default" w:ascii="Times New Roman" w:hAnsi="Times New Roman" w:cs="Times New Roman"/>
                      <w:b w:val="0"/>
                      <w:bCs w:val="0"/>
                      <w:u w:val="none"/>
                    </w:rPr>
                    <w:t>无气味或略带异味。</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熔点（℃）</w:t>
                  </w:r>
                </w:p>
              </w:tc>
              <w:tc>
                <w:tcPr>
                  <w:tcW w:w="1554" w:type="pct"/>
                  <w:gridSpan w:val="4"/>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临界压力（Mpa）</w:t>
                  </w:r>
                </w:p>
              </w:tc>
              <w:tc>
                <w:tcPr>
                  <w:tcW w:w="907" w:type="pct"/>
                  <w:gridSpan w:val="3"/>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沸点（℃）</w:t>
                  </w:r>
                </w:p>
              </w:tc>
              <w:tc>
                <w:tcPr>
                  <w:tcW w:w="1554" w:type="pct"/>
                  <w:gridSpan w:val="4"/>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相对密度（水＝1）</w:t>
                  </w:r>
                </w:p>
              </w:tc>
              <w:tc>
                <w:tcPr>
                  <w:tcW w:w="907" w:type="pct"/>
                  <w:gridSpan w:val="3"/>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饱和蒸汽压（kpa）</w:t>
                  </w:r>
                </w:p>
              </w:tc>
              <w:tc>
                <w:tcPr>
                  <w:tcW w:w="1554" w:type="pct"/>
                  <w:gridSpan w:val="4"/>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相对密度（空气＝1）</w:t>
                  </w:r>
                </w:p>
              </w:tc>
              <w:tc>
                <w:tcPr>
                  <w:tcW w:w="907" w:type="pct"/>
                  <w:gridSpan w:val="3"/>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临界温度（℃）</w:t>
                  </w:r>
                </w:p>
              </w:tc>
              <w:tc>
                <w:tcPr>
                  <w:tcW w:w="1554" w:type="pct"/>
                  <w:gridSpan w:val="4"/>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燃烧热（KJ·mol-1）</w:t>
                  </w:r>
                </w:p>
              </w:tc>
              <w:tc>
                <w:tcPr>
                  <w:tcW w:w="907" w:type="pct"/>
                  <w:gridSpan w:val="3"/>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溶解性</w:t>
                  </w:r>
                </w:p>
              </w:tc>
              <w:tc>
                <w:tcPr>
                  <w:tcW w:w="3834" w:type="pct"/>
                  <w:gridSpan w:val="11"/>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不溶于水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restar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燃</w:t>
                  </w:r>
                </w:p>
                <w:p>
                  <w:pPr>
                    <w:rPr>
                      <w:rFonts w:hint="default" w:ascii="Times New Roman" w:hAnsi="Times New Roman" w:cs="Times New Roman"/>
                      <w:b w:val="0"/>
                      <w:bCs w:val="0"/>
                      <w:u w:val="none"/>
                    </w:rPr>
                  </w:pPr>
                  <w:r>
                    <w:rPr>
                      <w:rFonts w:hint="default" w:ascii="Times New Roman" w:hAnsi="Times New Roman" w:cs="Times New Roman"/>
                      <w:b w:val="0"/>
                      <w:bCs w:val="0"/>
                      <w:u w:val="none"/>
                    </w:rPr>
                    <w:t>烧</w:t>
                  </w:r>
                </w:p>
                <w:p>
                  <w:pPr>
                    <w:rPr>
                      <w:rFonts w:hint="default" w:ascii="Times New Roman" w:hAnsi="Times New Roman" w:cs="Times New Roman"/>
                      <w:b w:val="0"/>
                      <w:bCs w:val="0"/>
                      <w:u w:val="none"/>
                    </w:rPr>
                  </w:pPr>
                  <w:r>
                    <w:rPr>
                      <w:rFonts w:hint="default" w:ascii="Times New Roman" w:hAnsi="Times New Roman" w:cs="Times New Roman"/>
                      <w:b w:val="0"/>
                      <w:bCs w:val="0"/>
                      <w:u w:val="none"/>
                    </w:rPr>
                    <w:t>爆</w:t>
                  </w:r>
                </w:p>
                <w:p>
                  <w:pPr>
                    <w:rPr>
                      <w:rFonts w:hint="default" w:ascii="Times New Roman" w:hAnsi="Times New Roman" w:cs="Times New Roman"/>
                      <w:b w:val="0"/>
                      <w:bCs w:val="0"/>
                      <w:u w:val="none"/>
                    </w:rPr>
                  </w:pPr>
                  <w:r>
                    <w:rPr>
                      <w:rFonts w:hint="default" w:ascii="Times New Roman" w:hAnsi="Times New Roman" w:cs="Times New Roman"/>
                      <w:b w:val="0"/>
                      <w:bCs w:val="0"/>
                      <w:u w:val="none"/>
                    </w:rPr>
                    <w:t>炸</w:t>
                  </w:r>
                </w:p>
                <w:p>
                  <w:pPr>
                    <w:rPr>
                      <w:rFonts w:hint="default" w:ascii="Times New Roman" w:hAnsi="Times New Roman" w:cs="Times New Roman"/>
                      <w:b w:val="0"/>
                      <w:bCs w:val="0"/>
                      <w:u w:val="none"/>
                    </w:rPr>
                  </w:pPr>
                  <w:r>
                    <w:rPr>
                      <w:rFonts w:hint="default" w:ascii="Times New Roman" w:hAnsi="Times New Roman" w:cs="Times New Roman"/>
                      <w:b w:val="0"/>
                      <w:bCs w:val="0"/>
                      <w:u w:val="none"/>
                    </w:rPr>
                    <w:t>危</w:t>
                  </w:r>
                </w:p>
                <w:p>
                  <w:pPr>
                    <w:rPr>
                      <w:rFonts w:hint="default" w:ascii="Times New Roman" w:hAnsi="Times New Roman" w:cs="Times New Roman"/>
                      <w:b w:val="0"/>
                      <w:bCs w:val="0"/>
                      <w:u w:val="none"/>
                    </w:rPr>
                  </w:pPr>
                  <w:r>
                    <w:rPr>
                      <w:rFonts w:hint="default" w:ascii="Times New Roman" w:hAnsi="Times New Roman" w:cs="Times New Roman"/>
                      <w:b w:val="0"/>
                      <w:bCs w:val="0"/>
                      <w:u w:val="none"/>
                    </w:rPr>
                    <w:t>险</w:t>
                  </w:r>
                </w:p>
                <w:p>
                  <w:pPr>
                    <w:rPr>
                      <w:rFonts w:hint="default" w:ascii="Times New Roman" w:hAnsi="Times New Roman" w:cs="Times New Roman"/>
                      <w:b w:val="0"/>
                      <w:bCs w:val="0"/>
                      <w:u w:val="none"/>
                    </w:rPr>
                  </w:pPr>
                  <w:r>
                    <w:rPr>
                      <w:rFonts w:hint="default" w:ascii="Times New Roman" w:hAnsi="Times New Roman" w:cs="Times New Roman"/>
                      <w:b w:val="0"/>
                      <w:bCs w:val="0"/>
                      <w:u w:val="none"/>
                    </w:rPr>
                    <w:t>性</w:t>
                  </w: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燃烧性</w:t>
                  </w:r>
                </w:p>
              </w:tc>
              <w:tc>
                <w:tcPr>
                  <w:tcW w:w="1554"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可燃</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闪点（℃）</w:t>
                  </w:r>
                </w:p>
              </w:tc>
              <w:tc>
                <w:tcPr>
                  <w:tcW w:w="907" w:type="pct"/>
                  <w:gridSpan w:val="3"/>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76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爆炸极限（％）</w:t>
                  </w:r>
                </w:p>
              </w:tc>
              <w:tc>
                <w:tcPr>
                  <w:tcW w:w="1554"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无资料</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最小点火能（MJ）</w:t>
                  </w:r>
                </w:p>
              </w:tc>
              <w:tc>
                <w:tcPr>
                  <w:tcW w:w="907" w:type="pct"/>
                  <w:gridSpan w:val="3"/>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引燃温度（℃）</w:t>
                  </w:r>
                </w:p>
              </w:tc>
              <w:tc>
                <w:tcPr>
                  <w:tcW w:w="1554"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248</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最大爆炸压力（Mpa）</w:t>
                  </w:r>
                </w:p>
              </w:tc>
              <w:tc>
                <w:tcPr>
                  <w:tcW w:w="907" w:type="pct"/>
                  <w:gridSpan w:val="3"/>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危险特性</w:t>
                  </w:r>
                </w:p>
              </w:tc>
              <w:tc>
                <w:tcPr>
                  <w:tcW w:w="4035" w:type="pct"/>
                  <w:gridSpan w:val="12"/>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遇明火、高热可燃。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灭火方法</w:t>
                  </w:r>
                </w:p>
              </w:tc>
              <w:tc>
                <w:tcPr>
                  <w:tcW w:w="4035" w:type="pct"/>
                  <w:gridSpan w:val="12"/>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禁忌物</w:t>
                  </w:r>
                </w:p>
              </w:tc>
              <w:tc>
                <w:tcPr>
                  <w:tcW w:w="2258" w:type="pct"/>
                  <w:gridSpan w:val="7"/>
                  <w:tcBorders>
                    <w:tl2br w:val="nil"/>
                    <w:tr2bl w:val="nil"/>
                  </w:tcBorders>
                  <w:noWrap w:val="0"/>
                  <w:vAlign w:val="center"/>
                </w:tcPr>
                <w:p>
                  <w:pPr>
                    <w:rPr>
                      <w:rFonts w:hint="default" w:ascii="Times New Roman" w:hAnsi="Times New Roman" w:cs="Times New Roman"/>
                      <w:b w:val="0"/>
                      <w:bCs w:val="0"/>
                      <w:u w:val="none"/>
                    </w:rPr>
                  </w:pPr>
                </w:p>
              </w:tc>
              <w:tc>
                <w:tcPr>
                  <w:tcW w:w="105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稳定性</w:t>
                  </w:r>
                </w:p>
              </w:tc>
              <w:tc>
                <w:tcPr>
                  <w:tcW w:w="724"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稳定</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燃烧产物</w:t>
                  </w:r>
                </w:p>
              </w:tc>
              <w:tc>
                <w:tcPr>
                  <w:tcW w:w="2258" w:type="pct"/>
                  <w:gridSpan w:val="7"/>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一氧化碳、二氧化碳</w:t>
                  </w:r>
                </w:p>
              </w:tc>
              <w:tc>
                <w:tcPr>
                  <w:tcW w:w="105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聚合危害</w:t>
                  </w:r>
                </w:p>
              </w:tc>
              <w:tc>
                <w:tcPr>
                  <w:tcW w:w="724"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不聚合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restar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毒性及健康危害</w:t>
                  </w: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急性毒性</w:t>
                  </w:r>
                </w:p>
              </w:tc>
              <w:tc>
                <w:tcPr>
                  <w:tcW w:w="1583"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LD50（mg/kg，大鼠经口）</w:t>
                  </w:r>
                </w:p>
              </w:tc>
              <w:tc>
                <w:tcPr>
                  <w:tcW w:w="530" w:type="pct"/>
                  <w:gridSpan w:val="2"/>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无资料</w:t>
                  </w:r>
                </w:p>
              </w:tc>
              <w:tc>
                <w:tcPr>
                  <w:tcW w:w="1197" w:type="pct"/>
                  <w:gridSpan w:val="5"/>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LC50（mg/kg）</w:t>
                  </w:r>
                </w:p>
              </w:tc>
              <w:tc>
                <w:tcPr>
                  <w:tcW w:w="724"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无资料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vMerge w:val="restar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健康危害</w:t>
                  </w:r>
                </w:p>
              </w:tc>
              <w:tc>
                <w:tcPr>
                  <w:tcW w:w="2114" w:type="pct"/>
                  <w:gridSpan w:val="6"/>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车间卫生标准</w:t>
                  </w:r>
                </w:p>
              </w:tc>
              <w:tc>
                <w:tcPr>
                  <w:tcW w:w="1921" w:type="pct"/>
                  <w:gridSpan w:val="6"/>
                  <w:tcBorders>
                    <w:tl2br w:val="nil"/>
                    <w:tr2bl w:val="nil"/>
                  </w:tcBorders>
                  <w:noWrap w:val="0"/>
                  <w:vAlign w:val="top"/>
                </w:tcPr>
                <w:p>
                  <w:pPr>
                    <w:rPr>
                      <w:rFonts w:hint="default" w:ascii="Times New Roman" w:hAnsi="Times New Roman" w:cs="Times New Roman"/>
                      <w:b w:val="0"/>
                      <w:bCs w:val="0"/>
                      <w:u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vMerge w:val="continue"/>
                  <w:tcBorders>
                    <w:tl2br w:val="nil"/>
                    <w:tr2bl w:val="nil"/>
                  </w:tcBorders>
                  <w:noWrap w:val="0"/>
                  <w:vAlign w:val="center"/>
                </w:tcPr>
                <w:p>
                  <w:pPr>
                    <w:rPr>
                      <w:rFonts w:hint="default" w:ascii="Times New Roman" w:hAnsi="Times New Roman" w:cs="Times New Roman"/>
                      <w:b w:val="0"/>
                      <w:bCs w:val="0"/>
                      <w:u w:val="none"/>
                    </w:rPr>
                  </w:pPr>
                </w:p>
              </w:tc>
              <w:tc>
                <w:tcPr>
                  <w:tcW w:w="4035" w:type="pct"/>
                  <w:gridSpan w:val="1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侵入途径：</w:t>
                  </w:r>
                  <w:r>
                    <w:rPr>
                      <w:rFonts w:hint="default" w:ascii="Times New Roman" w:hAnsi="Times New Roman" w:cs="Times New Roman"/>
                      <w:b w:val="0"/>
                      <w:bCs w:val="0"/>
                      <w:u w:val="none"/>
                      <w:lang w:eastAsia="zh-CN"/>
                    </w:rPr>
                    <w:t>吸入</w:t>
                  </w:r>
                  <w:r>
                    <w:rPr>
                      <w:rFonts w:hint="default" w:ascii="Times New Roman" w:hAnsi="Times New Roman" w:cs="Times New Roman"/>
                      <w:b w:val="0"/>
                      <w:bCs w:val="0"/>
                      <w:u w:val="none"/>
                    </w:rPr>
                    <w:t>、食入；</w:t>
                  </w:r>
                </w:p>
                <w:p>
                  <w:pPr>
                    <w:rPr>
                      <w:rFonts w:hint="default" w:ascii="Times New Roman" w:hAnsi="Times New Roman" w:cs="Times New Roman"/>
                      <w:b w:val="0"/>
                      <w:bCs w:val="0"/>
                      <w:u w:val="none"/>
                    </w:rPr>
                  </w:pPr>
                  <w:r>
                    <w:rPr>
                      <w:rFonts w:hint="default" w:ascii="Times New Roman" w:hAnsi="Times New Roman" w:cs="Times New Roman"/>
                      <w:b w:val="0"/>
                      <w:bCs w:val="0"/>
                      <w:u w:val="none"/>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急</w:t>
                  </w:r>
                </w:p>
                <w:p>
                  <w:pPr>
                    <w:rPr>
                      <w:rFonts w:hint="default" w:ascii="Times New Roman" w:hAnsi="Times New Roman" w:cs="Times New Roman"/>
                      <w:b w:val="0"/>
                      <w:bCs w:val="0"/>
                      <w:u w:val="none"/>
                    </w:rPr>
                  </w:pPr>
                </w:p>
                <w:p>
                  <w:pPr>
                    <w:rPr>
                      <w:rFonts w:hint="default" w:ascii="Times New Roman" w:hAnsi="Times New Roman" w:cs="Times New Roman"/>
                      <w:b w:val="0"/>
                      <w:bCs w:val="0"/>
                      <w:u w:val="none"/>
                    </w:rPr>
                  </w:pPr>
                  <w:r>
                    <w:rPr>
                      <w:rFonts w:hint="default" w:ascii="Times New Roman" w:hAnsi="Times New Roman" w:cs="Times New Roman"/>
                      <w:b w:val="0"/>
                      <w:bCs w:val="0"/>
                      <w:u w:val="none"/>
                    </w:rPr>
                    <w:t>救</w:t>
                  </w:r>
                </w:p>
              </w:tc>
              <w:tc>
                <w:tcPr>
                  <w:tcW w:w="4740" w:type="pct"/>
                  <w:gridSpan w:val="13"/>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皮肤接触：立即脱去被污染的衣着，用大量清水冲洗；</w:t>
                  </w:r>
                </w:p>
                <w:p>
                  <w:pPr>
                    <w:rPr>
                      <w:rFonts w:hint="default" w:ascii="Times New Roman" w:hAnsi="Times New Roman" w:cs="Times New Roman"/>
                      <w:b w:val="0"/>
                      <w:bCs w:val="0"/>
                      <w:u w:val="none"/>
                    </w:rPr>
                  </w:pPr>
                  <w:r>
                    <w:rPr>
                      <w:rFonts w:hint="default" w:ascii="Times New Roman" w:hAnsi="Times New Roman" w:cs="Times New Roman"/>
                      <w:b w:val="0"/>
                      <w:bCs w:val="0"/>
                      <w:u w:val="none"/>
                    </w:rPr>
                    <w:t>眼睛接触：立即提起眼睑，用大量流动清水或生理盐水冲洗，就医；</w:t>
                  </w:r>
                </w:p>
                <w:p>
                  <w:pPr>
                    <w:rPr>
                      <w:rFonts w:hint="default" w:ascii="Times New Roman" w:hAnsi="Times New Roman" w:cs="Times New Roman"/>
                      <w:b w:val="0"/>
                      <w:bCs w:val="0"/>
                      <w:u w:val="none"/>
                    </w:rPr>
                  </w:pPr>
                  <w:r>
                    <w:rPr>
                      <w:rFonts w:hint="default" w:ascii="Times New Roman" w:hAnsi="Times New Roman" w:cs="Times New Roman"/>
                      <w:b w:val="0"/>
                      <w:bCs w:val="0"/>
                      <w:u w:val="none"/>
                    </w:rPr>
                    <w:t>吸入：迅速脱离现场至空气新鲜处，保持呼吸道通畅，如呼吸困难，给输氧；如呼吸停止，立即进行人工呼吸，就医；</w:t>
                  </w:r>
                </w:p>
                <w:p>
                  <w:pPr>
                    <w:rPr>
                      <w:rFonts w:hint="default" w:ascii="Times New Roman" w:hAnsi="Times New Roman" w:cs="Times New Roman"/>
                      <w:b w:val="0"/>
                      <w:bCs w:val="0"/>
                      <w:u w:val="none"/>
                    </w:rPr>
                  </w:pPr>
                  <w:r>
                    <w:rPr>
                      <w:rFonts w:hint="default" w:ascii="Times New Roman" w:hAnsi="Times New Roman" w:cs="Times New Roman"/>
                      <w:b w:val="0"/>
                      <w:bCs w:val="0"/>
                      <w:u w:val="none"/>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防</w:t>
                  </w:r>
                </w:p>
                <w:p>
                  <w:pPr>
                    <w:rPr>
                      <w:rFonts w:hint="default" w:ascii="Times New Roman" w:hAnsi="Times New Roman" w:cs="Times New Roman"/>
                      <w:b w:val="0"/>
                      <w:bCs w:val="0"/>
                      <w:u w:val="none"/>
                    </w:rPr>
                  </w:pPr>
                  <w:r>
                    <w:rPr>
                      <w:rFonts w:hint="default" w:ascii="Times New Roman" w:hAnsi="Times New Roman" w:cs="Times New Roman"/>
                      <w:b w:val="0"/>
                      <w:bCs w:val="0"/>
                      <w:u w:val="none"/>
                    </w:rPr>
                    <w:t>护</w:t>
                  </w:r>
                </w:p>
              </w:tc>
              <w:tc>
                <w:tcPr>
                  <w:tcW w:w="4740" w:type="pct"/>
                  <w:gridSpan w:val="13"/>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工程控制：密闭操作，注意通风；</w:t>
                  </w:r>
                </w:p>
                <w:p>
                  <w:pPr>
                    <w:rPr>
                      <w:rFonts w:hint="default" w:ascii="Times New Roman" w:hAnsi="Times New Roman" w:eastAsia="宋体" w:cs="Times New Roman"/>
                      <w:b w:val="0"/>
                      <w:bCs w:val="0"/>
                      <w:u w:val="none"/>
                      <w:lang w:eastAsia="zh-CN"/>
                    </w:rPr>
                  </w:pPr>
                  <w:r>
                    <w:rPr>
                      <w:rFonts w:hint="default" w:ascii="Times New Roman" w:hAnsi="Times New Roman" w:cs="Times New Roman"/>
                      <w:b w:val="0"/>
                      <w:bCs w:val="0"/>
                      <w:u w:val="none"/>
                    </w:rPr>
                    <w:t>呼吸系统防护：空气中浓度超标时，建议佩戴自吸过滤式防毒面具（半面罩）。紧急事态抢救或撤离时，应该佩戴空气呼吸器。</w:t>
                  </w:r>
                </w:p>
                <w:p>
                  <w:pPr>
                    <w:rPr>
                      <w:rFonts w:hint="default" w:ascii="Times New Roman" w:hAnsi="Times New Roman" w:cs="Times New Roman"/>
                      <w:b w:val="0"/>
                      <w:bCs w:val="0"/>
                      <w:u w:val="none"/>
                    </w:rPr>
                  </w:pPr>
                  <w:r>
                    <w:rPr>
                      <w:rFonts w:hint="default" w:ascii="Times New Roman" w:hAnsi="Times New Roman" w:cs="Times New Roman"/>
                      <w:b w:val="0"/>
                      <w:bCs w:val="0"/>
                      <w:u w:val="none"/>
                    </w:rPr>
                    <w:t>眼睛防护：戴化学安全防护眼镜。</w:t>
                  </w:r>
                </w:p>
                <w:p>
                  <w:pPr>
                    <w:rPr>
                      <w:rFonts w:hint="default" w:ascii="Times New Roman" w:hAnsi="Times New Roman" w:cs="Times New Roman"/>
                      <w:b w:val="0"/>
                      <w:bCs w:val="0"/>
                      <w:u w:val="none"/>
                    </w:rPr>
                  </w:pPr>
                  <w:r>
                    <w:rPr>
                      <w:rFonts w:hint="default" w:ascii="Times New Roman" w:hAnsi="Times New Roman" w:cs="Times New Roman"/>
                      <w:b w:val="0"/>
                      <w:bCs w:val="0"/>
                      <w:u w:val="none"/>
                    </w:rPr>
                    <w:t>身体防护：穿防毒物渗透工作服；</w:t>
                  </w:r>
                </w:p>
                <w:p>
                  <w:pPr>
                    <w:rPr>
                      <w:rFonts w:hint="default" w:ascii="Times New Roman" w:hAnsi="Times New Roman" w:cs="Times New Roman"/>
                      <w:b w:val="0"/>
                      <w:bCs w:val="0"/>
                      <w:u w:val="none"/>
                    </w:rPr>
                  </w:pPr>
                  <w:r>
                    <w:rPr>
                      <w:rFonts w:hint="default" w:ascii="Times New Roman" w:hAnsi="Times New Roman" w:cs="Times New Roman"/>
                      <w:b w:val="0"/>
                      <w:bCs w:val="0"/>
                      <w:u w:val="none"/>
                    </w:rPr>
                    <w:t>手防护：戴橡胶耐油手套；</w:t>
                  </w:r>
                </w:p>
                <w:p>
                  <w:pPr>
                    <w:rPr>
                      <w:rFonts w:hint="default" w:ascii="Times New Roman" w:hAnsi="Times New Roman" w:cs="Times New Roman"/>
                      <w:b w:val="0"/>
                      <w:bCs w:val="0"/>
                      <w:u w:val="none"/>
                    </w:rPr>
                  </w:pPr>
                  <w:r>
                    <w:rPr>
                      <w:rFonts w:hint="default" w:ascii="Times New Roman" w:hAnsi="Times New Roman" w:cs="Times New Roman"/>
                      <w:b w:val="0"/>
                      <w:bCs w:val="0"/>
                      <w:u w:val="none"/>
                    </w:rPr>
                    <w:t>其他：工作现场严禁吸烟。避免长期反复接触。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泄漏处理</w:t>
                  </w:r>
                </w:p>
              </w:tc>
              <w:tc>
                <w:tcPr>
                  <w:tcW w:w="4740" w:type="pct"/>
                  <w:gridSpan w:val="13"/>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迅速撤离泄漏污染区人员至安全区，并进行隔离，严格限制出入。切断火源。建议应急处理人员戴自给正压式呼吸器，穿防毒服。尽可能切断泄漏源。防止流入下水道、排洪沟等限制性空间。</w:t>
                  </w:r>
                </w:p>
                <w:p>
                  <w:pPr>
                    <w:rPr>
                      <w:rFonts w:hint="default" w:ascii="Times New Roman" w:hAnsi="Times New Roman" w:cs="Times New Roman"/>
                      <w:b w:val="0"/>
                      <w:bCs w:val="0"/>
                      <w:u w:val="none"/>
                    </w:rPr>
                  </w:pPr>
                  <w:r>
                    <w:rPr>
                      <w:rFonts w:hint="default" w:ascii="Times New Roman" w:hAnsi="Times New Roman" w:cs="Times New Roman"/>
                      <w:b w:val="0"/>
                      <w:bCs w:val="0"/>
                      <w:u w:val="none"/>
                    </w:rPr>
                    <w:t>小量泄漏：用砂土</w:t>
                  </w:r>
                  <w:r>
                    <w:rPr>
                      <w:rFonts w:hint="default" w:ascii="Times New Roman" w:hAnsi="Times New Roman" w:cs="Times New Roman"/>
                      <w:b w:val="0"/>
                      <w:bCs w:val="0"/>
                      <w:u w:val="none"/>
                      <w:lang w:eastAsia="zh-CN"/>
                    </w:rPr>
                    <w:t>或其他</w:t>
                  </w:r>
                  <w:r>
                    <w:rPr>
                      <w:rFonts w:hint="default" w:ascii="Times New Roman" w:hAnsi="Times New Roman" w:cs="Times New Roman"/>
                      <w:b w:val="0"/>
                      <w:bCs w:val="0"/>
                      <w:u w:val="none"/>
                    </w:rPr>
                    <w:t>不燃材料吸附或吸收。</w:t>
                  </w:r>
                </w:p>
                <w:p>
                  <w:pPr>
                    <w:rPr>
                      <w:rFonts w:hint="default" w:ascii="Times New Roman" w:hAnsi="Times New Roman" w:cs="Times New Roman"/>
                      <w:b w:val="0"/>
                      <w:bCs w:val="0"/>
                      <w:u w:val="none"/>
                    </w:rPr>
                  </w:pPr>
                  <w:r>
                    <w:rPr>
                      <w:rFonts w:hint="default" w:ascii="Times New Roman" w:hAnsi="Times New Roman" w:cs="Times New Roman"/>
                      <w:b w:val="0"/>
                      <w:bCs w:val="0"/>
                      <w:u w:val="none"/>
                    </w:rPr>
                    <w:t>大量泄漏：构筑围堤或挖坑收容。用泵转移至槽车或专用收集器内，回收或运至废物处理场所处置。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储运</w:t>
                  </w:r>
                </w:p>
              </w:tc>
              <w:tc>
                <w:tcPr>
                  <w:tcW w:w="4740" w:type="pct"/>
                  <w:gridSpan w:val="13"/>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储存于阴凉、通风的库房。远离火种、热源。应与氧化剂分开存放，切忌混储。配备相应品种和数量的消防器材。储区应备有泄漏应急处理设备和合适的收容材料。</w:t>
                  </w:r>
                </w:p>
                <w:p>
                  <w:pPr>
                    <w:rPr>
                      <w:rFonts w:hint="default" w:ascii="Times New Roman" w:hAnsi="Times New Roman" w:cs="Times New Roman"/>
                      <w:b w:val="0"/>
                      <w:bCs w:val="0"/>
                      <w:u w:val="none"/>
                    </w:rPr>
                  </w:pPr>
                  <w:r>
                    <w:rPr>
                      <w:rFonts w:hint="default" w:ascii="Times New Roman" w:hAnsi="Times New Roman" w:cs="Times New Roman"/>
                      <w:b w:val="0"/>
                      <w:bCs w:val="0"/>
                      <w:u w:val="none"/>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pPr>
              <w:pStyle w:val="44"/>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none"/>
                <w:lang w:val="en-US" w:eastAsia="zh-CN"/>
              </w:rPr>
              <w:t>表4-</w:t>
            </w:r>
            <w:r>
              <w:rPr>
                <w:rFonts w:hint="eastAsia" w:ascii="Times New Roman" w:cs="Times New Roman"/>
                <w:b/>
                <w:bCs/>
                <w:color w:val="auto"/>
                <w:u w:val="none"/>
                <w:lang w:val="en-US" w:eastAsia="zh-CN"/>
              </w:rPr>
              <w:t>20天然气</w:t>
            </w:r>
            <w:r>
              <w:rPr>
                <w:rFonts w:hint="default" w:ascii="Times New Roman" w:hAnsi="Times New Roman" w:eastAsia="宋体" w:cs="Times New Roman"/>
                <w:b/>
                <w:bCs/>
                <w:color w:val="auto"/>
                <w:u w:val="none"/>
              </w:rPr>
              <w:t>的理化性质及危险特性表</w:t>
            </w:r>
          </w:p>
          <w:tbl>
            <w:tblPr>
              <w:tblStyle w:val="24"/>
              <w:tblW w:w="499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046"/>
              <w:gridCol w:w="2494"/>
              <w:gridCol w:w="558"/>
              <w:gridCol w:w="355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379" w:type="pct"/>
                  <w:vMerge w:val="restart"/>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sz w:val="21"/>
                      <w:szCs w:val="21"/>
                    </w:rPr>
                    <w:t>标识</w:t>
                  </w:r>
                </w:p>
              </w:tc>
              <w:tc>
                <w:tcPr>
                  <w:tcW w:w="1093" w:type="pct"/>
                  <w:tcBorders>
                    <w:tl2br w:val="nil"/>
                    <w:tr2bl w:val="nil"/>
                  </w:tcBorders>
                  <w:noWrap w:val="0"/>
                  <w:vAlign w:val="center"/>
                </w:tcPr>
                <w:p>
                  <w:pPr>
                    <w:keepLines w:val="0"/>
                    <w:pageBreakBefore w:val="0"/>
                    <w:tabs>
                      <w:tab w:val="left" w:pos="4155"/>
                    </w:tabs>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中文名： 甲烷</w:t>
                  </w:r>
                </w:p>
              </w:tc>
              <w:tc>
                <w:tcPr>
                  <w:tcW w:w="1629" w:type="pct"/>
                  <w:gridSpan w:val="2"/>
                  <w:tcBorders>
                    <w:tl2br w:val="nil"/>
                    <w:tr2bl w:val="nil"/>
                  </w:tcBorders>
                  <w:noWrap w:val="0"/>
                  <w:vAlign w:val="center"/>
                </w:tcPr>
                <w:p>
                  <w:pPr>
                    <w:keepLines w:val="0"/>
                    <w:pageBreakBefore w:val="0"/>
                    <w:tabs>
                      <w:tab w:val="left" w:pos="4155"/>
                    </w:tabs>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英文名：methane </w:t>
                  </w:r>
                </w:p>
              </w:tc>
              <w:tc>
                <w:tcPr>
                  <w:tcW w:w="1897" w:type="pct"/>
                  <w:tcBorders>
                    <w:tl2br w:val="nil"/>
                    <w:tr2bl w:val="nil"/>
                  </w:tcBorders>
                  <w:noWrap w:val="0"/>
                  <w:vAlign w:val="center"/>
                </w:tcPr>
                <w:p>
                  <w:pPr>
                    <w:keepLines w:val="0"/>
                    <w:pageBreakBefore w:val="0"/>
                    <w:tabs>
                      <w:tab w:val="left" w:pos="4155"/>
                    </w:tabs>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目录序号：2123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379" w:type="pct"/>
                  <w:vMerge w:val="continue"/>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color w:val="FF6600"/>
                      <w:sz w:val="21"/>
                      <w:szCs w:val="21"/>
                    </w:rPr>
                  </w:pPr>
                </w:p>
              </w:tc>
              <w:tc>
                <w:tcPr>
                  <w:tcW w:w="1093" w:type="pct"/>
                  <w:tcBorders>
                    <w:tl2br w:val="nil"/>
                    <w:tr2bl w:val="nil"/>
                  </w:tcBorders>
                  <w:noWrap w:val="0"/>
                  <w:vAlign w:val="center"/>
                </w:tcPr>
                <w:p>
                  <w:pPr>
                    <w:keepLines w:val="0"/>
                    <w:pageBreakBefore w:val="0"/>
                    <w:tabs>
                      <w:tab w:val="left" w:pos="2325"/>
                    </w:tabs>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CAS号： 8006-14-2 </w:t>
                  </w:r>
                </w:p>
              </w:tc>
              <w:tc>
                <w:tcPr>
                  <w:tcW w:w="3527" w:type="pct"/>
                  <w:gridSpan w:val="3"/>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color w:val="000000"/>
                      <w:kern w:val="0"/>
                      <w:sz w:val="21"/>
                      <w:szCs w:val="21"/>
                    </w:rPr>
                  </w:pPr>
                  <w:r>
                    <w:rPr>
                      <w:sz w:val="21"/>
                      <w:szCs w:val="21"/>
                    </w:rPr>
                    <w:t>危险性类别：易燃气体,类别1； 加压气体。</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379" w:type="pct"/>
                  <w:vMerge w:val="restart"/>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sz w:val="21"/>
                      <w:szCs w:val="21"/>
                    </w:rPr>
                    <w:t>理化</w:t>
                  </w:r>
                </w:p>
                <w:p>
                  <w:pPr>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sz w:val="21"/>
                      <w:szCs w:val="21"/>
                    </w:rPr>
                    <w:t>性质</w:t>
                  </w:r>
                </w:p>
              </w:tc>
              <w:tc>
                <w:tcPr>
                  <w:tcW w:w="4620" w:type="pct"/>
                  <w:gridSpan w:val="4"/>
                  <w:tcBorders>
                    <w:tl2br w:val="nil"/>
                    <w:tr2bl w:val="nil"/>
                  </w:tcBorders>
                  <w:noWrap w:val="0"/>
                  <w:vAlign w:val="center"/>
                </w:tcPr>
                <w:p>
                  <w:pPr>
                    <w:pStyle w:val="12"/>
                    <w:keepLines w:val="0"/>
                    <w:pageBreakBefore w:val="0"/>
                    <w:kinsoku/>
                    <w:wordWrap/>
                    <w:overflowPunct/>
                    <w:topLinePunct w:val="0"/>
                    <w:autoSpaceDE/>
                    <w:autoSpaceDN/>
                    <w:bidi w:val="0"/>
                    <w:adjustRightInd/>
                    <w:snapToGrid/>
                    <w:spacing w:after="0" w:line="360" w:lineRule="exact"/>
                    <w:ind w:left="0" w:leftChars="0" w:firstLine="0" w:firstLineChars="0"/>
                    <w:textAlignment w:val="auto"/>
                    <w:rPr>
                      <w:rFonts w:ascii="Times New Roman" w:hAnsi="Times New Roman"/>
                      <w:sz w:val="21"/>
                      <w:szCs w:val="21"/>
                    </w:rPr>
                  </w:pPr>
                  <w:r>
                    <w:rPr>
                      <w:rFonts w:ascii="Times New Roman" w:hAnsi="Times New Roman"/>
                      <w:sz w:val="21"/>
                      <w:szCs w:val="21"/>
                    </w:rPr>
                    <w:t>外观与性状：无色无臭气体。</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199" w:hRule="atLeast"/>
                <w:jc w:val="center"/>
              </w:trPr>
              <w:tc>
                <w:tcPr>
                  <w:tcW w:w="379" w:type="pct"/>
                  <w:vMerge w:val="continue"/>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p>
              </w:tc>
              <w:tc>
                <w:tcPr>
                  <w:tcW w:w="2723" w:type="pct"/>
                  <w:gridSpan w:val="3"/>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熔点（℃）：-182.6</w:t>
                  </w:r>
                </w:p>
              </w:tc>
              <w:tc>
                <w:tcPr>
                  <w:tcW w:w="1897" w:type="pct"/>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沸点（℃）：-161.4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379" w:type="pct"/>
                  <w:vMerge w:val="continue"/>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p>
              </w:tc>
              <w:tc>
                <w:tcPr>
                  <w:tcW w:w="2723" w:type="pct"/>
                  <w:gridSpan w:val="3"/>
                  <w:tcBorders>
                    <w:tl2br w:val="nil"/>
                    <w:tr2bl w:val="nil"/>
                  </w:tcBorders>
                  <w:noWrap w:val="0"/>
                  <w:vAlign w:val="center"/>
                </w:tcPr>
                <w:p>
                  <w:pPr>
                    <w:keepLines w:val="0"/>
                    <w:pageBreakBefore w:val="0"/>
                    <w:tabs>
                      <w:tab w:val="left" w:pos="3090"/>
                      <w:tab w:val="left" w:pos="3360"/>
                      <w:tab w:val="left" w:pos="3780"/>
                      <w:tab w:val="left" w:pos="4200"/>
                      <w:tab w:val="left" w:pos="4620"/>
                      <w:tab w:val="left" w:pos="5760"/>
                    </w:tabs>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临界温度（℃）：-82.6</w:t>
                  </w:r>
                </w:p>
              </w:tc>
              <w:tc>
                <w:tcPr>
                  <w:tcW w:w="1897" w:type="pct"/>
                  <w:tcBorders>
                    <w:tl2br w:val="nil"/>
                    <w:tr2bl w:val="nil"/>
                  </w:tcBorders>
                  <w:noWrap w:val="0"/>
                  <w:vAlign w:val="center"/>
                </w:tcPr>
                <w:p>
                  <w:pPr>
                    <w:keepLines w:val="0"/>
                    <w:pageBreakBefore w:val="0"/>
                    <w:tabs>
                      <w:tab w:val="left" w:pos="3900"/>
                      <w:tab w:val="left" w:pos="5700"/>
                      <w:tab w:val="left" w:pos="6465"/>
                    </w:tabs>
                    <w:kinsoku/>
                    <w:wordWrap/>
                    <w:overflowPunct/>
                    <w:topLinePunct w:val="0"/>
                    <w:autoSpaceDE/>
                    <w:autoSpaceDN/>
                    <w:bidi w:val="0"/>
                    <w:adjustRightInd/>
                    <w:snapToGrid/>
                    <w:spacing w:line="360" w:lineRule="exact"/>
                    <w:ind w:left="0" w:leftChars="0" w:firstLine="0" w:firstLineChars="0"/>
                    <w:textAlignment w:val="auto"/>
                    <w:rPr>
                      <w:color w:val="FF6600"/>
                      <w:sz w:val="21"/>
                      <w:szCs w:val="21"/>
                    </w:rPr>
                  </w:pPr>
                  <w:r>
                    <w:rPr>
                      <w:sz w:val="21"/>
                      <w:szCs w:val="21"/>
                    </w:rPr>
                    <w:t>临界压力（MPa）：4.59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379" w:type="pct"/>
                  <w:vMerge w:val="continue"/>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p>
              </w:tc>
              <w:tc>
                <w:tcPr>
                  <w:tcW w:w="2723" w:type="pct"/>
                  <w:gridSpan w:val="3"/>
                  <w:tcBorders>
                    <w:tl2br w:val="nil"/>
                    <w:tr2bl w:val="nil"/>
                  </w:tcBorders>
                  <w:noWrap w:val="0"/>
                  <w:vAlign w:val="center"/>
                </w:tcPr>
                <w:p>
                  <w:pPr>
                    <w:keepLines w:val="0"/>
                    <w:pageBreakBefore w:val="0"/>
                    <w:tabs>
                      <w:tab w:val="center" w:pos="3905"/>
                    </w:tabs>
                    <w:kinsoku/>
                    <w:wordWrap/>
                    <w:overflowPunct/>
                    <w:topLinePunct w:val="0"/>
                    <w:autoSpaceDE/>
                    <w:autoSpaceDN/>
                    <w:bidi w:val="0"/>
                    <w:adjustRightInd/>
                    <w:snapToGrid/>
                    <w:spacing w:line="360" w:lineRule="exact"/>
                    <w:ind w:left="0" w:leftChars="0" w:firstLine="0" w:firstLineChars="0"/>
                    <w:textAlignment w:val="auto"/>
                    <w:rPr>
                      <w:color w:val="FF6600"/>
                      <w:sz w:val="21"/>
                      <w:szCs w:val="21"/>
                    </w:rPr>
                  </w:pPr>
                  <w:r>
                    <w:rPr>
                      <w:rFonts w:hint="eastAsia"/>
                      <w:sz w:val="21"/>
                      <w:szCs w:val="21"/>
                      <w:lang w:eastAsia="zh-CN"/>
                    </w:rPr>
                    <w:t>饱和蒸汽</w:t>
                  </w:r>
                  <w:r>
                    <w:rPr>
                      <w:sz w:val="21"/>
                      <w:szCs w:val="21"/>
                    </w:rPr>
                    <w:t>压（KPa）：53.32(-168.8℃)</w:t>
                  </w:r>
                </w:p>
              </w:tc>
              <w:tc>
                <w:tcPr>
                  <w:tcW w:w="1897" w:type="pct"/>
                  <w:tcBorders>
                    <w:tl2br w:val="nil"/>
                    <w:tr2bl w:val="nil"/>
                  </w:tcBorders>
                  <w:noWrap w:val="0"/>
                  <w:vAlign w:val="center"/>
                </w:tcPr>
                <w:p>
                  <w:pPr>
                    <w:keepLines w:val="0"/>
                    <w:pageBreakBefore w:val="0"/>
                    <w:tabs>
                      <w:tab w:val="center" w:pos="3905"/>
                    </w:tabs>
                    <w:kinsoku/>
                    <w:wordWrap/>
                    <w:overflowPunct/>
                    <w:topLinePunct w:val="0"/>
                    <w:autoSpaceDE/>
                    <w:autoSpaceDN/>
                    <w:bidi w:val="0"/>
                    <w:adjustRightInd/>
                    <w:snapToGrid/>
                    <w:spacing w:line="360" w:lineRule="exact"/>
                    <w:ind w:left="0" w:leftChars="0" w:firstLine="0" w:firstLineChars="0"/>
                    <w:textAlignment w:val="auto"/>
                    <w:rPr>
                      <w:color w:val="FF6600"/>
                      <w:sz w:val="21"/>
                      <w:szCs w:val="21"/>
                    </w:rPr>
                  </w:pPr>
                  <w:r>
                    <w:rPr>
                      <w:sz w:val="21"/>
                      <w:szCs w:val="21"/>
                    </w:rPr>
                    <w:t>燃烧热 （KJ／mol）：890.8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79" w:type="pct"/>
                  <w:vMerge w:val="continue"/>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p>
              </w:tc>
              <w:tc>
                <w:tcPr>
                  <w:tcW w:w="2723" w:type="pct"/>
                  <w:gridSpan w:val="3"/>
                  <w:tcBorders>
                    <w:tl2br w:val="nil"/>
                    <w:tr2bl w:val="nil"/>
                  </w:tcBorders>
                  <w:noWrap w:val="0"/>
                  <w:vAlign w:val="center"/>
                </w:tcPr>
                <w:p>
                  <w:pPr>
                    <w:keepLines w:val="0"/>
                    <w:pageBreakBefore w:val="0"/>
                    <w:tabs>
                      <w:tab w:val="left" w:pos="4305"/>
                      <w:tab w:val="left" w:pos="5970"/>
                    </w:tabs>
                    <w:kinsoku/>
                    <w:wordWrap/>
                    <w:overflowPunct/>
                    <w:topLinePunct w:val="0"/>
                    <w:autoSpaceDE/>
                    <w:autoSpaceDN/>
                    <w:bidi w:val="0"/>
                    <w:adjustRightInd/>
                    <w:snapToGrid/>
                    <w:spacing w:line="360" w:lineRule="exact"/>
                    <w:ind w:left="0" w:leftChars="0" w:firstLine="0" w:firstLineChars="0"/>
                    <w:textAlignment w:val="auto"/>
                    <w:rPr>
                      <w:color w:val="FF6600"/>
                      <w:sz w:val="21"/>
                      <w:szCs w:val="21"/>
                    </w:rPr>
                  </w:pPr>
                  <w:r>
                    <w:rPr>
                      <w:sz w:val="21"/>
                      <w:szCs w:val="21"/>
                    </w:rPr>
                    <w:t>相对密度（水＝1）：0.42(-164℃) （空气＝1）：0.55</w:t>
                  </w:r>
                </w:p>
              </w:tc>
              <w:tc>
                <w:tcPr>
                  <w:tcW w:w="1897" w:type="pct"/>
                  <w:tcBorders>
                    <w:tl2br w:val="nil"/>
                    <w:tr2bl w:val="nil"/>
                  </w:tcBorders>
                  <w:noWrap w:val="0"/>
                  <w:vAlign w:val="center"/>
                </w:tcPr>
                <w:p>
                  <w:pPr>
                    <w:keepLines w:val="0"/>
                    <w:pageBreakBefore w:val="0"/>
                    <w:tabs>
                      <w:tab w:val="left" w:pos="4305"/>
                      <w:tab w:val="left" w:pos="5970"/>
                    </w:tabs>
                    <w:kinsoku/>
                    <w:wordWrap/>
                    <w:overflowPunct/>
                    <w:topLinePunct w:val="0"/>
                    <w:autoSpaceDE/>
                    <w:autoSpaceDN/>
                    <w:bidi w:val="0"/>
                    <w:adjustRightInd/>
                    <w:snapToGrid/>
                    <w:spacing w:line="360" w:lineRule="exact"/>
                    <w:ind w:left="0" w:leftChars="0" w:firstLine="0" w:firstLineChars="0"/>
                    <w:textAlignment w:val="auto"/>
                    <w:rPr>
                      <w:color w:val="FF6600"/>
                      <w:sz w:val="21"/>
                      <w:szCs w:val="21"/>
                    </w:rPr>
                  </w:pPr>
                  <w:r>
                    <w:rPr>
                      <w:sz w:val="21"/>
                      <w:szCs w:val="21"/>
                    </w:rPr>
                    <w:t>引燃温度（℃）：537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379" w:type="pct"/>
                  <w:vMerge w:val="continue"/>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p>
              </w:tc>
              <w:tc>
                <w:tcPr>
                  <w:tcW w:w="2723" w:type="pct"/>
                  <w:gridSpan w:val="3"/>
                  <w:tcBorders>
                    <w:tl2br w:val="nil"/>
                    <w:tr2bl w:val="nil"/>
                  </w:tcBorders>
                  <w:noWrap w:val="0"/>
                  <w:vAlign w:val="center"/>
                </w:tcPr>
                <w:p>
                  <w:pPr>
                    <w:keepLines w:val="0"/>
                    <w:pageBreakBefore w:val="0"/>
                    <w:tabs>
                      <w:tab w:val="center" w:pos="3905"/>
                    </w:tabs>
                    <w:kinsoku/>
                    <w:wordWrap/>
                    <w:overflowPunct/>
                    <w:topLinePunct w:val="0"/>
                    <w:autoSpaceDE/>
                    <w:autoSpaceDN/>
                    <w:bidi w:val="0"/>
                    <w:adjustRightInd/>
                    <w:snapToGrid/>
                    <w:spacing w:line="360" w:lineRule="exact"/>
                    <w:ind w:left="0" w:leftChars="0" w:firstLine="0" w:firstLineChars="0"/>
                    <w:textAlignment w:val="auto"/>
                    <w:rPr>
                      <w:color w:val="FF6600"/>
                      <w:sz w:val="21"/>
                      <w:szCs w:val="21"/>
                    </w:rPr>
                  </w:pPr>
                  <w:r>
                    <w:rPr>
                      <w:sz w:val="21"/>
                      <w:szCs w:val="21"/>
                    </w:rPr>
                    <w:t>溶解性：微溶于水，溶于醇、乙醚。</w:t>
                  </w:r>
                </w:p>
              </w:tc>
              <w:tc>
                <w:tcPr>
                  <w:tcW w:w="1897" w:type="pct"/>
                  <w:tcBorders>
                    <w:tl2br w:val="nil"/>
                    <w:tr2bl w:val="nil"/>
                  </w:tcBorders>
                  <w:noWrap w:val="0"/>
                  <w:vAlign w:val="center"/>
                </w:tcPr>
                <w:p>
                  <w:pPr>
                    <w:keepLines w:val="0"/>
                    <w:pageBreakBefore w:val="0"/>
                    <w:tabs>
                      <w:tab w:val="left" w:pos="5835"/>
                    </w:tabs>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闪点（℃）：-218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379" w:type="pct"/>
                  <w:vMerge w:val="restart"/>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sz w:val="21"/>
                      <w:szCs w:val="21"/>
                    </w:rPr>
                    <w:t>燃烧爆炸危险性</w:t>
                  </w:r>
                </w:p>
              </w:tc>
              <w:tc>
                <w:tcPr>
                  <w:tcW w:w="2723" w:type="pct"/>
                  <w:gridSpan w:val="3"/>
                  <w:tcBorders>
                    <w:tl2br w:val="nil"/>
                    <w:tr2bl w:val="nil"/>
                  </w:tcBorders>
                  <w:noWrap w:val="0"/>
                  <w:vAlign w:val="center"/>
                </w:tcPr>
                <w:p>
                  <w:pPr>
                    <w:keepLines w:val="0"/>
                    <w:pageBreakBefore w:val="0"/>
                    <w:tabs>
                      <w:tab w:val="left" w:pos="5835"/>
                    </w:tabs>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 xml:space="preserve">燃烧性：本品极易燃，具窒息性 </w:t>
                  </w:r>
                </w:p>
              </w:tc>
              <w:tc>
                <w:tcPr>
                  <w:tcW w:w="1897" w:type="pct"/>
                  <w:tcBorders>
                    <w:tl2br w:val="nil"/>
                    <w:tr2bl w:val="nil"/>
                  </w:tcBorders>
                  <w:noWrap w:val="0"/>
                  <w:vAlign w:val="center"/>
                </w:tcPr>
                <w:p>
                  <w:pPr>
                    <w:keepLines w:val="0"/>
                    <w:pageBreakBefore w:val="0"/>
                    <w:tabs>
                      <w:tab w:val="left" w:pos="5835"/>
                    </w:tabs>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 xml:space="preserve">最小点火能（mj）：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379" w:type="pct"/>
                  <w:vMerge w:val="continue"/>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color w:val="FF6600"/>
                      <w:sz w:val="21"/>
                      <w:szCs w:val="21"/>
                    </w:rPr>
                  </w:pPr>
                </w:p>
              </w:tc>
              <w:tc>
                <w:tcPr>
                  <w:tcW w:w="2723" w:type="pct"/>
                  <w:gridSpan w:val="3"/>
                  <w:tcBorders>
                    <w:tl2br w:val="nil"/>
                    <w:tr2bl w:val="nil"/>
                  </w:tcBorders>
                  <w:noWrap w:val="0"/>
                  <w:vAlign w:val="center"/>
                </w:tcPr>
                <w:p>
                  <w:pPr>
                    <w:keepLines w:val="0"/>
                    <w:pageBreakBefore w:val="0"/>
                    <w:tabs>
                      <w:tab w:val="center" w:pos="3905"/>
                    </w:tabs>
                    <w:kinsoku/>
                    <w:wordWrap/>
                    <w:overflowPunct/>
                    <w:topLinePunct w:val="0"/>
                    <w:autoSpaceDE/>
                    <w:autoSpaceDN/>
                    <w:bidi w:val="0"/>
                    <w:adjustRightInd/>
                    <w:snapToGrid/>
                    <w:spacing w:line="360" w:lineRule="exact"/>
                    <w:ind w:left="0" w:leftChars="0" w:firstLine="0" w:firstLineChars="0"/>
                    <w:textAlignment w:val="auto"/>
                    <w:rPr>
                      <w:color w:val="FF6600"/>
                      <w:sz w:val="21"/>
                      <w:szCs w:val="21"/>
                    </w:rPr>
                  </w:pPr>
                  <w:r>
                    <w:rPr>
                      <w:sz w:val="21"/>
                      <w:szCs w:val="21"/>
                    </w:rPr>
                    <w:t>爆炸下限（%）：5.0</w:t>
                  </w:r>
                </w:p>
              </w:tc>
              <w:tc>
                <w:tcPr>
                  <w:tcW w:w="1897" w:type="pct"/>
                  <w:tcBorders>
                    <w:tl2br w:val="nil"/>
                    <w:tr2bl w:val="nil"/>
                  </w:tcBorders>
                  <w:noWrap w:val="0"/>
                  <w:vAlign w:val="center"/>
                </w:tcPr>
                <w:p>
                  <w:pPr>
                    <w:keepLines w:val="0"/>
                    <w:pageBreakBefore w:val="0"/>
                    <w:tabs>
                      <w:tab w:val="center" w:pos="3905"/>
                    </w:tabs>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 xml:space="preserve">爆炸上限（%）：15.0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79" w:type="pct"/>
                  <w:vMerge w:val="continue"/>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color w:val="FF6600"/>
                      <w:sz w:val="21"/>
                      <w:szCs w:val="21"/>
                    </w:rPr>
                  </w:pPr>
                </w:p>
              </w:tc>
              <w:tc>
                <w:tcPr>
                  <w:tcW w:w="4620" w:type="pct"/>
                  <w:gridSpan w:val="4"/>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危险特性：易燃，与空气混合能形成爆炸性混合物，遇热源和明火有燃烧爆炸的危险。与五氧化溴、氯气、次氯酸、三氟化氮、二氟化氧</w:t>
                  </w:r>
                  <w:r>
                    <w:rPr>
                      <w:rFonts w:hint="eastAsia"/>
                      <w:sz w:val="21"/>
                      <w:szCs w:val="21"/>
                      <w:lang w:eastAsia="zh-CN"/>
                    </w:rPr>
                    <w:t>及其他</w:t>
                  </w:r>
                  <w:r>
                    <w:rPr>
                      <w:sz w:val="21"/>
                      <w:szCs w:val="21"/>
                    </w:rPr>
                    <w:t xml:space="preserve">强氧化剂接触剧烈反应。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79" w:type="pct"/>
                  <w:vMerge w:val="continue"/>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color w:val="FF6600"/>
                      <w:sz w:val="21"/>
                      <w:szCs w:val="21"/>
                    </w:rPr>
                  </w:pPr>
                </w:p>
              </w:tc>
              <w:tc>
                <w:tcPr>
                  <w:tcW w:w="4620" w:type="pct"/>
                  <w:gridSpan w:val="4"/>
                  <w:tcBorders>
                    <w:tl2br w:val="nil"/>
                    <w:tr2bl w:val="nil"/>
                  </w:tcBorders>
                  <w:noWrap w:val="0"/>
                  <w:vAlign w:val="center"/>
                </w:tcPr>
                <w:p>
                  <w:pPr>
                    <w:keepLines w:val="0"/>
                    <w:pageBreakBefore w:val="0"/>
                    <w:tabs>
                      <w:tab w:val="left" w:pos="4155"/>
                    </w:tabs>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 xml:space="preserve">禁配物：强氧化剂、强酸、强碱、卤素。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vMerge w:val="continue"/>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color w:val="FF6600"/>
                      <w:sz w:val="21"/>
                      <w:szCs w:val="21"/>
                    </w:rPr>
                  </w:pPr>
                </w:p>
              </w:tc>
              <w:tc>
                <w:tcPr>
                  <w:tcW w:w="4620" w:type="pct"/>
                  <w:gridSpan w:val="4"/>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 xml:space="preserve">消防措施：切断气源。若不能切断气源，则不允许熄灭泄漏处的火焰。喷水冷却容器，可能的话将容器从火场移至空旷处。灭火剂：雾状水、泡沫、二氧化碳、干粉。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379" w:type="pct"/>
                  <w:vMerge w:val="restart"/>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毒性</w:t>
                  </w:r>
                </w:p>
              </w:tc>
              <w:tc>
                <w:tcPr>
                  <w:tcW w:w="4620" w:type="pct"/>
                  <w:gridSpan w:val="4"/>
                  <w:tcBorders>
                    <w:tl2br w:val="nil"/>
                    <w:tr2bl w:val="nil"/>
                  </w:tcBorders>
                  <w:noWrap w:val="0"/>
                  <w:vAlign w:val="center"/>
                </w:tcPr>
                <w:p>
                  <w:pPr>
                    <w:keepLines w:val="0"/>
                    <w:pageBreakBefore w:val="0"/>
                    <w:tabs>
                      <w:tab w:val="left" w:pos="4155"/>
                    </w:tabs>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急性毒性： LD</w:t>
                  </w:r>
                  <w:r>
                    <w:rPr>
                      <w:sz w:val="21"/>
                      <w:szCs w:val="21"/>
                      <w:vertAlign w:val="subscript"/>
                    </w:rPr>
                    <w:t xml:space="preserve">50 </w:t>
                  </w:r>
                  <w:r>
                    <w:rPr>
                      <w:sz w:val="21"/>
                      <w:szCs w:val="21"/>
                    </w:rPr>
                    <w:t>：无资料       LC</w:t>
                  </w:r>
                  <w:r>
                    <w:rPr>
                      <w:sz w:val="21"/>
                      <w:szCs w:val="21"/>
                      <w:vertAlign w:val="subscript"/>
                    </w:rPr>
                    <w:t xml:space="preserve">50 </w:t>
                  </w:r>
                  <w:r>
                    <w:rPr>
                      <w:sz w:val="21"/>
                      <w:szCs w:val="21"/>
                    </w:rPr>
                    <w:t>：无资料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79" w:type="pct"/>
                  <w:vMerge w:val="continue"/>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textAlignment w:val="auto"/>
                    <w:rPr>
                      <w:sz w:val="21"/>
                      <w:szCs w:val="21"/>
                    </w:rPr>
                  </w:pPr>
                </w:p>
              </w:tc>
              <w:tc>
                <w:tcPr>
                  <w:tcW w:w="4620" w:type="pct"/>
                  <w:gridSpan w:val="4"/>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 xml:space="preserve">毒理性：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379" w:type="pct"/>
                  <w:vMerge w:val="continue"/>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textAlignment w:val="auto"/>
                    <w:rPr>
                      <w:sz w:val="21"/>
                      <w:szCs w:val="21"/>
                    </w:rPr>
                  </w:pPr>
                </w:p>
              </w:tc>
              <w:tc>
                <w:tcPr>
                  <w:tcW w:w="4620" w:type="pct"/>
                  <w:gridSpan w:val="4"/>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 xml:space="preserve">健康危害：甲烷对人基本无毒，但浓度过高时，使空气中氧含量明显降低，使人窒息。当空气中甲烷达25％～30％时，可引起头痛、头晕、乏力、注意力不集中、呼吸和心跳加速、共济失调。若不及时脱离，可致窒息死亡。皮肤接触液化本品，可致冻伤。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379" w:type="pct"/>
                  <w:vMerge w:val="restart"/>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sz w:val="21"/>
                      <w:szCs w:val="21"/>
                    </w:rPr>
                    <w:t>贮运条件</w:t>
                  </w:r>
                </w:p>
              </w:tc>
              <w:tc>
                <w:tcPr>
                  <w:tcW w:w="1093" w:type="pct"/>
                  <w:tcBorders>
                    <w:tl2br w:val="nil"/>
                    <w:tr2bl w:val="nil"/>
                  </w:tcBorders>
                  <w:noWrap w:val="0"/>
                  <w:vAlign w:val="center"/>
                </w:tcPr>
                <w:p>
                  <w:pPr>
                    <w:keepLines w:val="0"/>
                    <w:pageBreakBefore w:val="0"/>
                    <w:tabs>
                      <w:tab w:val="left" w:pos="4155"/>
                    </w:tabs>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sz w:val="21"/>
                      <w:szCs w:val="21"/>
                    </w:rPr>
                    <w:t>危规号：21008</w:t>
                  </w:r>
                </w:p>
              </w:tc>
              <w:tc>
                <w:tcPr>
                  <w:tcW w:w="1332" w:type="pct"/>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sz w:val="21"/>
                      <w:szCs w:val="21"/>
                    </w:rPr>
                    <w:t>包装标志：易燃气体</w:t>
                  </w:r>
                </w:p>
              </w:tc>
              <w:tc>
                <w:tcPr>
                  <w:tcW w:w="2194" w:type="pct"/>
                  <w:gridSpan w:val="2"/>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sz w:val="21"/>
                      <w:szCs w:val="21"/>
                    </w:rPr>
                    <w:t>包装方法：钢质气瓶。</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379" w:type="pct"/>
                  <w:vMerge w:val="continue"/>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p>
              </w:tc>
              <w:tc>
                <w:tcPr>
                  <w:tcW w:w="1093" w:type="pct"/>
                  <w:tcBorders>
                    <w:tl2br w:val="nil"/>
                    <w:tr2bl w:val="nil"/>
                  </w:tcBorders>
                  <w:noWrap w:val="0"/>
                  <w:vAlign w:val="center"/>
                </w:tcPr>
                <w:p>
                  <w:pPr>
                    <w:keepLines w:val="0"/>
                    <w:pageBreakBefore w:val="0"/>
                    <w:tabs>
                      <w:tab w:val="left" w:pos="4155"/>
                    </w:tabs>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sz w:val="21"/>
                      <w:szCs w:val="21"/>
                    </w:rPr>
                    <w:t>UN编号：1972</w:t>
                  </w:r>
                </w:p>
              </w:tc>
              <w:tc>
                <w:tcPr>
                  <w:tcW w:w="1332" w:type="pct"/>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sz w:val="21"/>
                      <w:szCs w:val="21"/>
                    </w:rPr>
                    <w:t>包装类别：Ⅱ类</w:t>
                  </w:r>
                </w:p>
              </w:tc>
              <w:tc>
                <w:tcPr>
                  <w:tcW w:w="2194" w:type="pct"/>
                  <w:gridSpan w:val="2"/>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002" w:hRule="atLeast"/>
                <w:jc w:val="center"/>
              </w:trPr>
              <w:tc>
                <w:tcPr>
                  <w:tcW w:w="379" w:type="pct"/>
                  <w:vMerge w:val="continue"/>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color w:val="FF6600"/>
                      <w:sz w:val="21"/>
                      <w:szCs w:val="21"/>
                    </w:rPr>
                  </w:pPr>
                </w:p>
              </w:tc>
              <w:tc>
                <w:tcPr>
                  <w:tcW w:w="4620" w:type="pct"/>
                  <w:gridSpan w:val="4"/>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采用</w:t>
                  </w:r>
                  <w:r>
                    <w:rPr>
                      <w:rFonts w:hint="eastAsia"/>
                      <w:sz w:val="21"/>
                      <w:szCs w:val="21"/>
                      <w:lang w:eastAsia="zh-CN"/>
                    </w:rPr>
                    <w:t>钢瓶</w:t>
                  </w:r>
                  <w:r>
                    <w:rPr>
                      <w:sz w:val="21"/>
                      <w:szCs w:val="21"/>
                    </w:rPr>
                    <w:t>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等混装混运。夏季应早晚运输，防止日光曝晒。中途停留时应远离火种、热源。公路运输时要按规定路线行驶，勿在居民区和人口稠密区停留。铁路运输时要禁止溜放。 </w:t>
                  </w:r>
                </w:p>
                <w:p>
                  <w:pPr>
                    <w:keepLines w:val="0"/>
                    <w:pageBreakBefore w:val="0"/>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储存于阴凉、通风的库房。远离火种、热源。库温不宜超过30℃。应与氧化剂等分开存放，切忌混储。采用防爆型照明、通风设施。禁止使用易产生火花的机械设备和工具。储区应备有泄漏应急处理设备。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953" w:hRule="atLeast"/>
                <w:jc w:val="center"/>
              </w:trPr>
              <w:tc>
                <w:tcPr>
                  <w:tcW w:w="379" w:type="pct"/>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sz w:val="21"/>
                      <w:szCs w:val="21"/>
                    </w:rPr>
                    <w:t>操作注意事项</w:t>
                  </w:r>
                </w:p>
              </w:tc>
              <w:tc>
                <w:tcPr>
                  <w:tcW w:w="4620" w:type="pct"/>
                  <w:gridSpan w:val="4"/>
                  <w:tcBorders>
                    <w:tl2br w:val="nil"/>
                    <w:tr2bl w:val="nil"/>
                  </w:tcBorders>
                  <w:noWrap w:val="0"/>
                  <w:vAlign w:val="center"/>
                </w:tcPr>
                <w:p>
                  <w:pPr>
                    <w:keepLines w:val="0"/>
                    <w:pageBreakBefore w:val="0"/>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密闭操作，全面通风。操作人员必须经过专门培训，严格遵守操作规程。远离火种、热源，工作场所严禁吸烟。使用防爆型的通风系统和设备。防止气体泄漏到工作场所空气中。避免与氧化剂接触。在传送过程中，钢瓶和容器必须接地和跨接，防止产生静电。搬运时轻装轻卸，防止钢瓶及附件破损。配备相应品种和数量的消防器材及泄漏应急处理设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379" w:type="pct"/>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sz w:val="21"/>
                      <w:szCs w:val="21"/>
                    </w:rPr>
                    <w:t>泄漏应急处理</w:t>
                  </w:r>
                </w:p>
              </w:tc>
              <w:tc>
                <w:tcPr>
                  <w:tcW w:w="4620" w:type="pct"/>
                  <w:gridSpan w:val="4"/>
                  <w:tcBorders>
                    <w:tl2br w:val="nil"/>
                    <w:tr2bl w:val="nil"/>
                  </w:tcBorders>
                  <w:noWrap w:val="0"/>
                  <w:vAlign w:val="center"/>
                </w:tcPr>
                <w:p>
                  <w:pPr>
                    <w:keepNext/>
                    <w:keepLines w:val="0"/>
                    <w:pageBreakBefore w:val="0"/>
                    <w:tabs>
                      <w:tab w:val="left" w:pos="6165"/>
                    </w:tabs>
                    <w:kinsoku/>
                    <w:wordWrap/>
                    <w:overflowPunct/>
                    <w:topLinePunct w:val="0"/>
                    <w:autoSpaceDE/>
                    <w:autoSpaceDN/>
                    <w:bidi w:val="0"/>
                    <w:adjustRightInd/>
                    <w:snapToGrid/>
                    <w:spacing w:line="360" w:lineRule="exact"/>
                    <w:ind w:left="0" w:leftChars="0" w:firstLine="0" w:firstLineChars="0"/>
                    <w:textAlignment w:val="auto"/>
                    <w:rPr>
                      <w:sz w:val="21"/>
                      <w:szCs w:val="21"/>
                    </w:rPr>
                  </w:pPr>
                  <w:r>
                    <w:rPr>
                      <w:sz w:val="21"/>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（2）环境风险潜势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根据《建设项目环境风险评价技术导则》（HJ/T169-2018），建设项目环境风险潜势划分为</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1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2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II</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3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III</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4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IV</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4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IV</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vertAlign w:val="superscript"/>
              </w:rPr>
              <w:t>+</w:t>
            </w:r>
            <w:r>
              <w:rPr>
                <w:rFonts w:hint="default" w:ascii="Times New Roman" w:hAnsi="Times New Roman" w:cs="Times New Roman"/>
                <w:b w:val="0"/>
                <w:bCs w:val="0"/>
                <w:color w:val="auto"/>
                <w:sz w:val="24"/>
                <w:szCs w:val="24"/>
                <w:u w:val="none"/>
              </w:rPr>
              <w:t>级。根据建设项目涉及的物质和工艺系统的危险性及其所在地的环境敏感程度，结合事故情形下环境影响途径，对建设项目潜在环境危害程度进行</w:t>
            </w:r>
            <w:r>
              <w:rPr>
                <w:rFonts w:hint="default" w:ascii="Times New Roman" w:hAnsi="Times New Roman" w:cs="Times New Roman"/>
                <w:b w:val="0"/>
                <w:bCs w:val="0"/>
                <w:color w:val="auto"/>
                <w:sz w:val="24"/>
                <w:szCs w:val="24"/>
                <w:u w:val="none"/>
                <w:lang w:eastAsia="zh-CN"/>
              </w:rPr>
              <w:t>概括</w:t>
            </w:r>
            <w:r>
              <w:rPr>
                <w:rFonts w:hint="default" w:ascii="Times New Roman" w:hAnsi="Times New Roman" w:cs="Times New Roman"/>
                <w:b w:val="0"/>
                <w:bCs w:val="0"/>
                <w:color w:val="auto"/>
                <w:sz w:val="24"/>
                <w:szCs w:val="24"/>
                <w:u w:val="none"/>
              </w:rPr>
              <w:t>化分析，按照表</w:t>
            </w:r>
            <w:r>
              <w:rPr>
                <w:rFonts w:hint="default" w:ascii="Times New Roman" w:hAnsi="Times New Roman" w:cs="Times New Roman"/>
                <w:b w:val="0"/>
                <w:bCs w:val="0"/>
                <w:color w:val="auto"/>
                <w:sz w:val="24"/>
                <w:szCs w:val="24"/>
                <w:u w:val="none"/>
                <w:lang w:val="en-US" w:eastAsia="zh-CN"/>
              </w:rPr>
              <w:t>4-</w:t>
            </w:r>
            <w:r>
              <w:rPr>
                <w:rFonts w:hint="eastAsia" w:cs="Times New Roman"/>
                <w:b w:val="0"/>
                <w:bCs w:val="0"/>
                <w:color w:val="auto"/>
                <w:sz w:val="24"/>
                <w:szCs w:val="24"/>
                <w:u w:val="none"/>
                <w:lang w:val="en-US" w:eastAsia="zh-CN"/>
              </w:rPr>
              <w:t>21</w:t>
            </w:r>
            <w:r>
              <w:rPr>
                <w:rFonts w:hint="default" w:ascii="Times New Roman" w:hAnsi="Times New Roman" w:cs="Times New Roman"/>
                <w:b w:val="0"/>
                <w:bCs w:val="0"/>
                <w:color w:val="auto"/>
                <w:sz w:val="24"/>
                <w:szCs w:val="24"/>
                <w:u w:val="none"/>
              </w:rPr>
              <w:t>确定环境风险潜势。</w:t>
            </w:r>
          </w:p>
          <w:p>
            <w:pPr>
              <w:pStyle w:val="44"/>
              <w:keepNext w:val="0"/>
              <w:keepLines w:val="0"/>
              <w:pageBreakBefore w:val="0"/>
              <w:widowControl w:val="0"/>
              <w:kinsoku/>
              <w:wordWrap/>
              <w:overflowPunct/>
              <w:topLinePunct w:val="0"/>
              <w:autoSpaceDE w:val="0"/>
              <w:autoSpaceDN w:val="0"/>
              <w:bidi w:val="0"/>
              <w:adjustRightInd w:val="0"/>
              <w:snapToGrid/>
              <w:spacing w:before="0" w:after="0"/>
              <w:jc w:val="center"/>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w:t>
            </w:r>
            <w:r>
              <w:rPr>
                <w:rFonts w:hint="default" w:ascii="Times New Roman" w:hAnsi="Times New Roman" w:cs="Times New Roman"/>
                <w:b/>
                <w:bCs/>
                <w:color w:val="auto"/>
                <w:u w:val="none"/>
                <w:lang w:val="en-US" w:eastAsia="zh-CN"/>
              </w:rPr>
              <w:t>4-</w:t>
            </w:r>
            <w:r>
              <w:rPr>
                <w:rFonts w:hint="eastAsia" w:ascii="Times New Roman" w:cs="Times New Roman"/>
                <w:b/>
                <w:bCs/>
                <w:color w:val="auto"/>
                <w:u w:val="none"/>
                <w:lang w:val="en-US" w:eastAsia="zh-CN"/>
              </w:rPr>
              <w:t>21</w:t>
            </w:r>
            <w:r>
              <w:rPr>
                <w:rFonts w:hint="default" w:ascii="Times New Roman" w:hAnsi="Times New Roman" w:cs="Times New Roman"/>
                <w:b/>
                <w:bCs/>
                <w:color w:val="auto"/>
                <w:u w:val="none"/>
              </w:rPr>
              <w:t>建设项目环境风险潜势划分</w:t>
            </w:r>
          </w:p>
          <w:tbl>
            <w:tblPr>
              <w:tblStyle w:val="24"/>
              <w:tblW w:w="4999"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2212"/>
              <w:gridCol w:w="1784"/>
              <w:gridCol w:w="1784"/>
              <w:gridCol w:w="1784"/>
              <w:gridCol w:w="1786"/>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18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环境敏感程度（E）</w:t>
                  </w:r>
                </w:p>
              </w:tc>
              <w:tc>
                <w:tcPr>
                  <w:tcW w:w="3816"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危险物质及工艺系统危险性（P）</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18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极高危害（P1）</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高度危害（P2）</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中毒危害（P3）</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轻度危害（P4）</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环境高度敏感（E1）</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4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IV</w:t>
                  </w:r>
                  <w:r>
                    <w:rPr>
                      <w:rFonts w:hint="default" w:ascii="Times New Roman" w:hAnsi="Times New Roman" w:cs="Times New Roman"/>
                      <w:b w:val="0"/>
                      <w:bCs w:val="0"/>
                      <w:color w:val="auto"/>
                      <w:kern w:val="0"/>
                      <w:sz w:val="21"/>
                      <w:szCs w:val="21"/>
                      <w:u w:val="none"/>
                    </w:rPr>
                    <w:fldChar w:fldCharType="end"/>
                  </w:r>
                  <w:r>
                    <w:rPr>
                      <w:rFonts w:hint="default" w:ascii="Times New Roman" w:hAnsi="Times New Roman" w:cs="Times New Roman"/>
                      <w:b w:val="0"/>
                      <w:bCs w:val="0"/>
                      <w:color w:val="auto"/>
                      <w:kern w:val="0"/>
                      <w:sz w:val="21"/>
                      <w:szCs w:val="21"/>
                      <w:u w:val="none"/>
                      <w:vertAlign w:val="superscript"/>
                    </w:rPr>
                    <w:t>+</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4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IV</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3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III</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3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III</w:t>
                  </w:r>
                  <w:r>
                    <w:rPr>
                      <w:rFonts w:hint="default" w:ascii="Times New Roman" w:hAnsi="Times New Roman" w:cs="Times New Roman"/>
                      <w:b w:val="0"/>
                      <w:bCs w:val="0"/>
                      <w:color w:val="auto"/>
                      <w:kern w:val="0"/>
                      <w:sz w:val="21"/>
                      <w:szCs w:val="21"/>
                      <w:u w:val="no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环境中度敏感（E2）</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4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IV</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3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III</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3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III</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2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w:t>
                  </w:r>
                  <w:r>
                    <w:rPr>
                      <w:rFonts w:hint="default" w:ascii="Times New Roman" w:hAnsi="Times New Roman" w:cs="Times New Roman"/>
                      <w:b w:val="0"/>
                      <w:bCs w:val="0"/>
                      <w:color w:val="auto"/>
                      <w:kern w:val="0"/>
                      <w:sz w:val="21"/>
                      <w:szCs w:val="21"/>
                      <w:u w:val="no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环境低度敏感（E3）</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3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III</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3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III</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2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1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w:t>
                  </w:r>
                  <w:r>
                    <w:rPr>
                      <w:rFonts w:hint="default" w:ascii="Times New Roman" w:hAnsi="Times New Roman" w:cs="Times New Roman"/>
                      <w:b w:val="0"/>
                      <w:bCs w:val="0"/>
                      <w:color w:val="auto"/>
                      <w:kern w:val="0"/>
                      <w:sz w:val="21"/>
                      <w:szCs w:val="21"/>
                      <w:u w:val="no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注：</w:t>
                  </w: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4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IV</w:t>
                  </w:r>
                  <w:r>
                    <w:rPr>
                      <w:rFonts w:hint="default" w:ascii="Times New Roman" w:hAnsi="Times New Roman" w:cs="Times New Roman"/>
                      <w:b w:val="0"/>
                      <w:bCs w:val="0"/>
                      <w:color w:val="auto"/>
                      <w:kern w:val="0"/>
                      <w:sz w:val="21"/>
                      <w:szCs w:val="21"/>
                      <w:u w:val="none"/>
                    </w:rPr>
                    <w:fldChar w:fldCharType="end"/>
                  </w:r>
                  <w:r>
                    <w:rPr>
                      <w:rFonts w:hint="default" w:ascii="Times New Roman" w:hAnsi="Times New Roman" w:cs="Times New Roman"/>
                      <w:b w:val="0"/>
                      <w:bCs w:val="0"/>
                      <w:color w:val="auto"/>
                      <w:kern w:val="0"/>
                      <w:sz w:val="21"/>
                      <w:szCs w:val="21"/>
                      <w:u w:val="none"/>
                      <w:vertAlign w:val="superscript"/>
                    </w:rPr>
                    <w:t>+</w:t>
                  </w:r>
                  <w:r>
                    <w:rPr>
                      <w:rFonts w:hint="default" w:ascii="Times New Roman" w:hAnsi="Times New Roman" w:cs="Times New Roman"/>
                      <w:b w:val="0"/>
                      <w:bCs w:val="0"/>
                      <w:color w:val="auto"/>
                      <w:kern w:val="0"/>
                      <w:sz w:val="21"/>
                      <w:szCs w:val="21"/>
                      <w:u w:val="none"/>
                    </w:rPr>
                    <w:t>为极高环境风险。</w:t>
                  </w:r>
                </w:p>
              </w:tc>
            </w:tr>
          </w:tbl>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由上表可知建设项目环境风险潜势的判定由危险物质及工艺系统危险性（P）及环境敏感程度（E）共同判定。</w:t>
            </w:r>
          </w:p>
          <w:p>
            <w:pPr>
              <w:pStyle w:val="44"/>
              <w:keepNext w:val="0"/>
              <w:keepLines w:val="0"/>
              <w:pageBreakBefore w:val="0"/>
              <w:widowControl w:val="0"/>
              <w:kinsoku/>
              <w:wordWrap/>
              <w:overflowPunct/>
              <w:topLinePunct w:val="0"/>
              <w:autoSpaceDE w:val="0"/>
              <w:autoSpaceDN w:val="0"/>
              <w:bidi w:val="0"/>
              <w:adjustRightInd w:val="0"/>
              <w:snapToGrid/>
              <w:spacing w:before="0" w:after="0" w:line="360" w:lineRule="auto"/>
              <w:ind w:firstLine="482" w:firstLineChars="200"/>
              <w:jc w:val="both"/>
              <w:textAlignment w:val="auto"/>
              <w:rPr>
                <w:rFonts w:hint="default" w:ascii="Times New Roman" w:hAnsi="Times New Roman" w:cs="Times New Roman"/>
                <w:b/>
                <w:bCs/>
                <w:i w:val="0"/>
                <w:iCs w:val="0"/>
                <w:color w:val="auto"/>
                <w:sz w:val="24"/>
                <w:szCs w:val="24"/>
                <w:u w:val="none"/>
              </w:rPr>
            </w:pPr>
            <w:r>
              <w:rPr>
                <w:rFonts w:hint="default" w:ascii="Times New Roman" w:hAnsi="Times New Roman" w:cs="Times New Roman"/>
                <w:b/>
                <w:bCs/>
                <w:i w:val="0"/>
                <w:iCs w:val="0"/>
                <w:color w:val="auto"/>
                <w:sz w:val="24"/>
                <w:szCs w:val="24"/>
                <w:u w:val="none"/>
                <w:lang w:eastAsia="zh-CN"/>
              </w:rPr>
              <w:t>（</w:t>
            </w:r>
            <w:r>
              <w:rPr>
                <w:rFonts w:hint="default" w:ascii="Times New Roman" w:hAnsi="Times New Roman" w:cs="Times New Roman"/>
                <w:b/>
                <w:bCs/>
                <w:i w:val="0"/>
                <w:iCs w:val="0"/>
                <w:color w:val="auto"/>
                <w:sz w:val="24"/>
                <w:szCs w:val="24"/>
                <w:u w:val="none"/>
                <w:lang w:val="en-US" w:eastAsia="zh-CN"/>
              </w:rPr>
              <w:t>3</w:t>
            </w:r>
            <w:r>
              <w:rPr>
                <w:rFonts w:hint="default" w:ascii="Times New Roman" w:hAnsi="Times New Roman" w:cs="Times New Roman"/>
                <w:b/>
                <w:bCs/>
                <w:i w:val="0"/>
                <w:iCs w:val="0"/>
                <w:color w:val="auto"/>
                <w:sz w:val="24"/>
                <w:szCs w:val="24"/>
                <w:u w:val="none"/>
                <w:lang w:eastAsia="zh-CN"/>
              </w:rPr>
              <w:t>）</w:t>
            </w:r>
            <w:r>
              <w:rPr>
                <w:rFonts w:hint="default" w:ascii="Times New Roman" w:hAnsi="Times New Roman" w:cs="Times New Roman"/>
                <w:b/>
                <w:bCs/>
                <w:i w:val="0"/>
                <w:iCs w:val="0"/>
                <w:color w:val="auto"/>
                <w:sz w:val="24"/>
                <w:szCs w:val="24"/>
                <w:u w:val="none"/>
              </w:rPr>
              <w:t>危险物质及工艺系统危险性（P）的分级确定</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危险物质及工艺系统危险性（P）等级的判定由建设项目生产、使用、储存过程中涉及的有毒有害、易燃易爆物质数量与临界量的比值（Q）和所属行业及生产工艺特点（M）共同确定，分别以P</w:t>
            </w:r>
            <w:r>
              <w:rPr>
                <w:rFonts w:hint="default" w:ascii="Times New Roman" w:hAnsi="Times New Roman" w:cs="Times New Roman"/>
                <w:b w:val="0"/>
                <w:bCs w:val="0"/>
                <w:color w:val="auto"/>
                <w:sz w:val="24"/>
                <w:szCs w:val="24"/>
                <w:u w:val="none"/>
                <w:vertAlign w:val="subscript"/>
              </w:rPr>
              <w:t>1</w:t>
            </w:r>
            <w:r>
              <w:rPr>
                <w:rFonts w:hint="default" w:ascii="Times New Roman" w:hAnsi="Times New Roman" w:cs="Times New Roman"/>
                <w:b w:val="0"/>
                <w:bCs w:val="0"/>
                <w:color w:val="auto"/>
                <w:sz w:val="24"/>
                <w:szCs w:val="24"/>
                <w:u w:val="none"/>
              </w:rPr>
              <w:t>、P</w:t>
            </w:r>
            <w:r>
              <w:rPr>
                <w:rFonts w:hint="default" w:ascii="Times New Roman" w:hAnsi="Times New Roman" w:cs="Times New Roman"/>
                <w:b w:val="0"/>
                <w:bCs w:val="0"/>
                <w:color w:val="auto"/>
                <w:sz w:val="24"/>
                <w:szCs w:val="24"/>
                <w:u w:val="none"/>
                <w:vertAlign w:val="subscript"/>
              </w:rPr>
              <w:t>2</w:t>
            </w:r>
            <w:r>
              <w:rPr>
                <w:rFonts w:hint="default" w:ascii="Times New Roman" w:hAnsi="Times New Roman" w:cs="Times New Roman"/>
                <w:b w:val="0"/>
                <w:bCs w:val="0"/>
                <w:color w:val="auto"/>
                <w:sz w:val="24"/>
                <w:szCs w:val="24"/>
                <w:u w:val="none"/>
              </w:rPr>
              <w:t>、P</w:t>
            </w:r>
            <w:r>
              <w:rPr>
                <w:rFonts w:hint="default" w:ascii="Times New Roman" w:hAnsi="Times New Roman" w:cs="Times New Roman"/>
                <w:b w:val="0"/>
                <w:bCs w:val="0"/>
                <w:color w:val="auto"/>
                <w:sz w:val="24"/>
                <w:szCs w:val="24"/>
                <w:u w:val="none"/>
                <w:vertAlign w:val="subscript"/>
              </w:rPr>
              <w:t>3</w:t>
            </w:r>
            <w:r>
              <w:rPr>
                <w:rFonts w:hint="default" w:ascii="Times New Roman" w:hAnsi="Times New Roman" w:cs="Times New Roman"/>
                <w:b w:val="0"/>
                <w:bCs w:val="0"/>
                <w:color w:val="auto"/>
                <w:sz w:val="24"/>
                <w:szCs w:val="24"/>
                <w:u w:val="none"/>
              </w:rPr>
              <w:t>、P</w:t>
            </w:r>
            <w:r>
              <w:rPr>
                <w:rFonts w:hint="default" w:ascii="Times New Roman" w:hAnsi="Times New Roman" w:cs="Times New Roman"/>
                <w:b w:val="0"/>
                <w:bCs w:val="0"/>
                <w:color w:val="auto"/>
                <w:sz w:val="24"/>
                <w:szCs w:val="24"/>
                <w:u w:val="none"/>
                <w:vertAlign w:val="subscript"/>
              </w:rPr>
              <w:t>4</w:t>
            </w:r>
            <w:r>
              <w:rPr>
                <w:rFonts w:hint="default" w:ascii="Times New Roman" w:hAnsi="Times New Roman" w:cs="Times New Roman"/>
                <w:b w:val="0"/>
                <w:bCs w:val="0"/>
                <w:color w:val="auto"/>
                <w:sz w:val="24"/>
                <w:szCs w:val="24"/>
                <w:u w:val="none"/>
              </w:rPr>
              <w:t>表示。</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建设项目Q值的确定见表</w:t>
            </w:r>
            <w:r>
              <w:rPr>
                <w:rFonts w:hint="default" w:ascii="Times New Roman" w:hAnsi="Times New Roman" w:cs="Times New Roman"/>
                <w:b w:val="0"/>
                <w:bCs w:val="0"/>
                <w:color w:val="auto"/>
                <w:sz w:val="24"/>
                <w:szCs w:val="24"/>
                <w:u w:val="none"/>
                <w:lang w:val="en-US" w:eastAsia="zh-CN"/>
              </w:rPr>
              <w:t>4-18</w:t>
            </w:r>
            <w:r>
              <w:rPr>
                <w:rFonts w:hint="default" w:ascii="Times New Roman" w:hAnsi="Times New Roman" w:cs="Times New Roman"/>
                <w:b w:val="0"/>
                <w:bCs w:val="0"/>
                <w:color w:val="auto"/>
                <w:sz w:val="24"/>
                <w:szCs w:val="24"/>
                <w:u w:val="none"/>
              </w:rPr>
              <w:t>。</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建设项目存在多种危险物质时，按下式计算物质总量与其临界量比值（Q）：</w:t>
            </w:r>
          </w:p>
          <w:p>
            <w:pPr>
              <w:keepNext w:val="0"/>
              <w:keepLines w:val="0"/>
              <w:pageBreakBefore w:val="0"/>
              <w:widowControl w:val="0"/>
              <w:kinsoku/>
              <w:wordWrap/>
              <w:overflowPunct/>
              <w:topLinePunct w:val="0"/>
              <w:autoSpaceDE/>
              <w:autoSpaceDN/>
              <w:bidi w:val="0"/>
              <w:adjustRightInd/>
              <w:snapToGrid/>
              <w:spacing w:before="158" w:beforeLines="50" w:after="158" w:afterLines="50" w:line="360" w:lineRule="auto"/>
              <w:ind w:firstLine="0" w:firstLineChars="0"/>
              <w:jc w:val="center"/>
              <w:textAlignment w:val="auto"/>
              <w:rPr>
                <w:rFonts w:hint="default" w:ascii="Times New Roman" w:hAnsi="Times New Roman" w:cs="Times New Roman"/>
                <w:b w:val="0"/>
                <w:bCs w:val="0"/>
                <w:snapToGrid w:val="0"/>
                <w:color w:val="auto"/>
                <w:sz w:val="24"/>
                <w:szCs w:val="24"/>
                <w:u w:val="none"/>
              </w:rPr>
            </w:pPr>
            <w:r>
              <w:rPr>
                <w:rFonts w:hint="default" w:ascii="Times New Roman" w:hAnsi="Times New Roman" w:cs="Times New Roman"/>
                <w:b w:val="0"/>
                <w:bCs w:val="0"/>
                <w:snapToGrid w:val="0"/>
                <w:color w:val="auto"/>
                <w:sz w:val="24"/>
                <w:szCs w:val="24"/>
                <w:u w:val="none"/>
              </w:rPr>
              <w:fldChar w:fldCharType="begin"/>
            </w:r>
            <w:r>
              <w:rPr>
                <w:rFonts w:hint="default" w:ascii="Times New Roman" w:hAnsi="Times New Roman" w:cs="Times New Roman"/>
                <w:b w:val="0"/>
                <w:bCs w:val="0"/>
                <w:snapToGrid w:val="0"/>
                <w:color w:val="auto"/>
                <w:sz w:val="24"/>
                <w:szCs w:val="24"/>
                <w:u w:val="none"/>
              </w:rPr>
              <w:instrText xml:space="preserve"> eq \f(</w:instrText>
            </w:r>
            <w:r>
              <w:rPr>
                <w:rFonts w:hint="default" w:ascii="Times New Roman" w:hAnsi="Times New Roman" w:cs="Times New Roman"/>
                <w:b w:val="0"/>
                <w:bCs w:val="0"/>
                <w:i/>
                <w:snapToGrid w:val="0"/>
                <w:color w:val="auto"/>
                <w:sz w:val="24"/>
                <w:szCs w:val="24"/>
                <w:u w:val="none"/>
              </w:rPr>
              <w:instrText xml:space="preserve">q</w:instrText>
            </w:r>
            <w:r>
              <w:rPr>
                <w:rFonts w:hint="default" w:ascii="Times New Roman" w:hAnsi="Times New Roman" w:cs="Times New Roman"/>
                <w:b w:val="0"/>
                <w:bCs w:val="0"/>
                <w:snapToGrid w:val="0"/>
                <w:color w:val="auto"/>
                <w:sz w:val="24"/>
                <w:szCs w:val="24"/>
                <w:u w:val="none"/>
                <w:vertAlign w:val="subscript"/>
              </w:rPr>
              <w:instrText xml:space="preserve">1</w:instrText>
            </w:r>
            <w:r>
              <w:rPr>
                <w:rFonts w:hint="default" w:ascii="Times New Roman" w:hAnsi="Times New Roman" w:cs="Times New Roman"/>
                <w:b w:val="0"/>
                <w:bCs w:val="0"/>
                <w:snapToGrid w:val="0"/>
                <w:color w:val="auto"/>
                <w:sz w:val="24"/>
                <w:szCs w:val="24"/>
                <w:u w:val="none"/>
              </w:rPr>
              <w:instrText xml:space="preserve">,</w:instrText>
            </w:r>
            <w:r>
              <w:rPr>
                <w:rFonts w:hint="default" w:ascii="Times New Roman" w:hAnsi="Times New Roman" w:cs="Times New Roman"/>
                <w:b w:val="0"/>
                <w:bCs w:val="0"/>
                <w:i/>
                <w:snapToGrid w:val="0"/>
                <w:color w:val="auto"/>
                <w:sz w:val="24"/>
                <w:szCs w:val="24"/>
                <w:u w:val="none"/>
              </w:rPr>
              <w:instrText xml:space="preserve">Q</w:instrText>
            </w:r>
            <w:r>
              <w:rPr>
                <w:rFonts w:hint="default" w:ascii="Times New Roman" w:hAnsi="Times New Roman" w:cs="Times New Roman"/>
                <w:b w:val="0"/>
                <w:bCs w:val="0"/>
                <w:snapToGrid w:val="0"/>
                <w:color w:val="auto"/>
                <w:sz w:val="24"/>
                <w:szCs w:val="24"/>
                <w:u w:val="none"/>
                <w:vertAlign w:val="subscript"/>
              </w:rPr>
              <w:instrText xml:space="preserve">1</w:instrText>
            </w:r>
            <w:r>
              <w:rPr>
                <w:rFonts w:hint="default" w:ascii="Times New Roman" w:hAnsi="Times New Roman" w:cs="Times New Roman"/>
                <w:b w:val="0"/>
                <w:bCs w:val="0"/>
                <w:snapToGrid w:val="0"/>
                <w:color w:val="auto"/>
                <w:sz w:val="24"/>
                <w:szCs w:val="24"/>
                <w:u w:val="none"/>
              </w:rPr>
              <w:instrText xml:space="preserve">)</w:instrText>
            </w:r>
            <w:r>
              <w:rPr>
                <w:rFonts w:hint="default" w:ascii="Times New Roman" w:hAnsi="Times New Roman" w:cs="Times New Roman"/>
                <w:b w:val="0"/>
                <w:bCs w:val="0"/>
                <w:snapToGrid w:val="0"/>
                <w:color w:val="auto"/>
                <w:sz w:val="24"/>
                <w:szCs w:val="24"/>
                <w:u w:val="none"/>
              </w:rPr>
              <w:fldChar w:fldCharType="end"/>
            </w:r>
            <w:r>
              <w:rPr>
                <w:rFonts w:hint="default" w:ascii="Times New Roman" w:hAnsi="Times New Roman" w:cs="Times New Roman"/>
                <w:b w:val="0"/>
                <w:bCs w:val="0"/>
                <w:snapToGrid w:val="0"/>
                <w:color w:val="auto"/>
                <w:sz w:val="24"/>
                <w:szCs w:val="24"/>
                <w:u w:val="none"/>
              </w:rPr>
              <w:t>+</w:t>
            </w:r>
            <w:r>
              <w:rPr>
                <w:rFonts w:hint="default" w:ascii="Times New Roman" w:hAnsi="Times New Roman" w:cs="Times New Roman"/>
                <w:b w:val="0"/>
                <w:bCs w:val="0"/>
                <w:snapToGrid w:val="0"/>
                <w:color w:val="auto"/>
                <w:sz w:val="24"/>
                <w:szCs w:val="24"/>
                <w:u w:val="none"/>
              </w:rPr>
              <w:fldChar w:fldCharType="begin"/>
            </w:r>
            <w:r>
              <w:rPr>
                <w:rFonts w:hint="default" w:ascii="Times New Roman" w:hAnsi="Times New Roman" w:cs="Times New Roman"/>
                <w:b w:val="0"/>
                <w:bCs w:val="0"/>
                <w:snapToGrid w:val="0"/>
                <w:color w:val="auto"/>
                <w:sz w:val="24"/>
                <w:szCs w:val="24"/>
                <w:u w:val="none"/>
              </w:rPr>
              <w:instrText xml:space="preserve"> eq \f(</w:instrText>
            </w:r>
            <w:r>
              <w:rPr>
                <w:rFonts w:hint="default" w:ascii="Times New Roman" w:hAnsi="Times New Roman" w:cs="Times New Roman"/>
                <w:b w:val="0"/>
                <w:bCs w:val="0"/>
                <w:i/>
                <w:snapToGrid w:val="0"/>
                <w:color w:val="auto"/>
                <w:sz w:val="24"/>
                <w:szCs w:val="24"/>
                <w:u w:val="none"/>
              </w:rPr>
              <w:instrText xml:space="preserve">q</w:instrText>
            </w:r>
            <w:r>
              <w:rPr>
                <w:rFonts w:hint="default" w:ascii="Times New Roman" w:hAnsi="Times New Roman" w:cs="Times New Roman"/>
                <w:b w:val="0"/>
                <w:bCs w:val="0"/>
                <w:snapToGrid w:val="0"/>
                <w:color w:val="auto"/>
                <w:sz w:val="24"/>
                <w:szCs w:val="24"/>
                <w:u w:val="none"/>
                <w:vertAlign w:val="subscript"/>
              </w:rPr>
              <w:instrText xml:space="preserve">2</w:instrText>
            </w:r>
            <w:r>
              <w:rPr>
                <w:rFonts w:hint="default" w:ascii="Times New Roman" w:hAnsi="Times New Roman" w:cs="Times New Roman"/>
                <w:b w:val="0"/>
                <w:bCs w:val="0"/>
                <w:snapToGrid w:val="0"/>
                <w:color w:val="auto"/>
                <w:sz w:val="24"/>
                <w:szCs w:val="24"/>
                <w:u w:val="none"/>
              </w:rPr>
              <w:instrText xml:space="preserve">,</w:instrText>
            </w:r>
            <w:r>
              <w:rPr>
                <w:rFonts w:hint="default" w:ascii="Times New Roman" w:hAnsi="Times New Roman" w:cs="Times New Roman"/>
                <w:b w:val="0"/>
                <w:bCs w:val="0"/>
                <w:i/>
                <w:snapToGrid w:val="0"/>
                <w:color w:val="auto"/>
                <w:sz w:val="24"/>
                <w:szCs w:val="24"/>
                <w:u w:val="none"/>
              </w:rPr>
              <w:instrText xml:space="preserve">Q</w:instrText>
            </w:r>
            <w:r>
              <w:rPr>
                <w:rFonts w:hint="default" w:ascii="Times New Roman" w:hAnsi="Times New Roman" w:cs="Times New Roman"/>
                <w:b w:val="0"/>
                <w:bCs w:val="0"/>
                <w:snapToGrid w:val="0"/>
                <w:color w:val="auto"/>
                <w:sz w:val="24"/>
                <w:szCs w:val="24"/>
                <w:u w:val="none"/>
                <w:vertAlign w:val="subscript"/>
              </w:rPr>
              <w:instrText xml:space="preserve">2</w:instrText>
            </w:r>
            <w:r>
              <w:rPr>
                <w:rFonts w:hint="default" w:ascii="Times New Roman" w:hAnsi="Times New Roman" w:cs="Times New Roman"/>
                <w:b w:val="0"/>
                <w:bCs w:val="0"/>
                <w:snapToGrid w:val="0"/>
                <w:color w:val="auto"/>
                <w:sz w:val="24"/>
                <w:szCs w:val="24"/>
                <w:u w:val="none"/>
              </w:rPr>
              <w:instrText xml:space="preserve">)</w:instrText>
            </w:r>
            <w:r>
              <w:rPr>
                <w:rFonts w:hint="default" w:ascii="Times New Roman" w:hAnsi="Times New Roman" w:cs="Times New Roman"/>
                <w:b w:val="0"/>
                <w:bCs w:val="0"/>
                <w:snapToGrid w:val="0"/>
                <w:color w:val="auto"/>
                <w:sz w:val="24"/>
                <w:szCs w:val="24"/>
                <w:u w:val="none"/>
              </w:rPr>
              <w:fldChar w:fldCharType="end"/>
            </w:r>
            <w:r>
              <w:rPr>
                <w:rFonts w:hint="default" w:ascii="Times New Roman" w:hAnsi="Times New Roman" w:cs="Times New Roman"/>
                <w:b w:val="0"/>
                <w:bCs w:val="0"/>
                <w:snapToGrid w:val="0"/>
                <w:color w:val="auto"/>
                <w:sz w:val="24"/>
                <w:szCs w:val="24"/>
                <w:u w:val="none"/>
              </w:rPr>
              <w:t>+……+</w:t>
            </w:r>
            <w:r>
              <w:rPr>
                <w:rFonts w:hint="default" w:ascii="Times New Roman" w:hAnsi="Times New Roman" w:cs="Times New Roman"/>
                <w:b w:val="0"/>
                <w:bCs w:val="0"/>
                <w:snapToGrid w:val="0"/>
                <w:color w:val="auto"/>
                <w:sz w:val="24"/>
                <w:szCs w:val="24"/>
                <w:u w:val="none"/>
              </w:rPr>
              <w:fldChar w:fldCharType="begin"/>
            </w:r>
            <w:r>
              <w:rPr>
                <w:rFonts w:hint="default" w:ascii="Times New Roman" w:hAnsi="Times New Roman" w:cs="Times New Roman"/>
                <w:b w:val="0"/>
                <w:bCs w:val="0"/>
                <w:snapToGrid w:val="0"/>
                <w:color w:val="auto"/>
                <w:sz w:val="24"/>
                <w:szCs w:val="24"/>
                <w:u w:val="none"/>
              </w:rPr>
              <w:instrText xml:space="preserve"> eq \f(</w:instrText>
            </w:r>
            <w:r>
              <w:rPr>
                <w:rFonts w:hint="default" w:ascii="Times New Roman" w:hAnsi="Times New Roman" w:cs="Times New Roman"/>
                <w:b w:val="0"/>
                <w:bCs w:val="0"/>
                <w:i/>
                <w:snapToGrid w:val="0"/>
                <w:color w:val="auto"/>
                <w:sz w:val="24"/>
                <w:szCs w:val="24"/>
                <w:u w:val="none"/>
              </w:rPr>
              <w:instrText xml:space="preserve">q</w:instrText>
            </w:r>
            <w:r>
              <w:rPr>
                <w:rFonts w:hint="default" w:ascii="Times New Roman" w:hAnsi="Times New Roman" w:cs="Times New Roman"/>
                <w:b w:val="0"/>
                <w:bCs w:val="0"/>
                <w:snapToGrid w:val="0"/>
                <w:color w:val="auto"/>
                <w:sz w:val="24"/>
                <w:szCs w:val="24"/>
                <w:u w:val="none"/>
                <w:vertAlign w:val="subscript"/>
              </w:rPr>
              <w:instrText xml:space="preserve">n</w:instrText>
            </w:r>
            <w:r>
              <w:rPr>
                <w:rFonts w:hint="default" w:ascii="Times New Roman" w:hAnsi="Times New Roman" w:cs="Times New Roman"/>
                <w:b w:val="0"/>
                <w:bCs w:val="0"/>
                <w:snapToGrid w:val="0"/>
                <w:color w:val="auto"/>
                <w:sz w:val="24"/>
                <w:szCs w:val="24"/>
                <w:u w:val="none"/>
              </w:rPr>
              <w:instrText xml:space="preserve">,</w:instrText>
            </w:r>
            <w:r>
              <w:rPr>
                <w:rFonts w:hint="default" w:ascii="Times New Roman" w:hAnsi="Times New Roman" w:cs="Times New Roman"/>
                <w:b w:val="0"/>
                <w:bCs w:val="0"/>
                <w:i/>
                <w:snapToGrid w:val="0"/>
                <w:color w:val="auto"/>
                <w:sz w:val="24"/>
                <w:szCs w:val="24"/>
                <w:u w:val="none"/>
              </w:rPr>
              <w:instrText xml:space="preserve">Q</w:instrText>
            </w:r>
            <w:r>
              <w:rPr>
                <w:rFonts w:hint="default" w:ascii="Times New Roman" w:hAnsi="Times New Roman" w:cs="Times New Roman"/>
                <w:b w:val="0"/>
                <w:bCs w:val="0"/>
                <w:snapToGrid w:val="0"/>
                <w:color w:val="auto"/>
                <w:sz w:val="24"/>
                <w:szCs w:val="24"/>
                <w:u w:val="none"/>
                <w:vertAlign w:val="subscript"/>
              </w:rPr>
              <w:instrText xml:space="preserve">n</w:instrText>
            </w:r>
            <w:r>
              <w:rPr>
                <w:rFonts w:hint="default" w:ascii="Times New Roman" w:hAnsi="Times New Roman" w:cs="Times New Roman"/>
                <w:b w:val="0"/>
                <w:bCs w:val="0"/>
                <w:snapToGrid w:val="0"/>
                <w:color w:val="auto"/>
                <w:sz w:val="24"/>
                <w:szCs w:val="24"/>
                <w:u w:val="none"/>
              </w:rPr>
              <w:instrText xml:space="preserve">)</w:instrText>
            </w:r>
            <w:r>
              <w:rPr>
                <w:rFonts w:hint="default" w:ascii="Times New Roman" w:hAnsi="Times New Roman" w:cs="Times New Roman"/>
                <w:b w:val="0"/>
                <w:bCs w:val="0"/>
                <w:snapToGrid w:val="0"/>
                <w:color w:val="auto"/>
                <w:sz w:val="24"/>
                <w:szCs w:val="24"/>
                <w:u w:val="none"/>
              </w:rPr>
              <w:fldChar w:fldCharType="end"/>
            </w:r>
            <w:r>
              <w:rPr>
                <w:rFonts w:hint="default" w:ascii="Times New Roman" w:hAnsi="Times New Roman" w:cs="Times New Roman"/>
                <w:b w:val="0"/>
                <w:bCs w:val="0"/>
                <w:snapToGrid w:val="0"/>
                <w:color w:val="auto"/>
                <w:sz w:val="24"/>
                <w:szCs w:val="24"/>
                <w:u w:val="none"/>
              </w:rPr>
              <w:t>=Q</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snapToGrid w:val="0"/>
                <w:color w:val="auto"/>
                <w:sz w:val="24"/>
                <w:szCs w:val="24"/>
                <w:u w:val="none"/>
              </w:rPr>
            </w:pPr>
            <w:r>
              <w:rPr>
                <w:rFonts w:hint="default" w:ascii="Times New Roman" w:hAnsi="Times New Roman" w:cs="Times New Roman"/>
                <w:b w:val="0"/>
                <w:bCs w:val="0"/>
                <w:snapToGrid w:val="0"/>
                <w:color w:val="auto"/>
                <w:sz w:val="24"/>
                <w:szCs w:val="24"/>
                <w:u w:val="none"/>
              </w:rPr>
              <w:t>式中：</w:t>
            </w:r>
            <w:r>
              <w:rPr>
                <w:rFonts w:hint="default" w:ascii="Times New Roman" w:hAnsi="Times New Roman" w:cs="Times New Roman"/>
                <w:b w:val="0"/>
                <w:bCs w:val="0"/>
                <w:i/>
                <w:snapToGrid w:val="0"/>
                <w:color w:val="auto"/>
                <w:sz w:val="24"/>
                <w:szCs w:val="24"/>
                <w:u w:val="none"/>
              </w:rPr>
              <w:t>q</w:t>
            </w:r>
            <w:r>
              <w:rPr>
                <w:rFonts w:hint="default" w:ascii="Times New Roman" w:hAnsi="Times New Roman" w:cs="Times New Roman"/>
                <w:b w:val="0"/>
                <w:bCs w:val="0"/>
                <w:snapToGrid w:val="0"/>
                <w:color w:val="auto"/>
                <w:sz w:val="24"/>
                <w:szCs w:val="24"/>
                <w:u w:val="none"/>
                <w:vertAlign w:val="subscript"/>
              </w:rPr>
              <w:t>1</w:t>
            </w:r>
            <w:r>
              <w:rPr>
                <w:rFonts w:hint="default" w:ascii="Times New Roman" w:hAnsi="Times New Roman" w:cs="Times New Roman"/>
                <w:b w:val="0"/>
                <w:bCs w:val="0"/>
                <w:snapToGrid w:val="0"/>
                <w:color w:val="auto"/>
                <w:sz w:val="24"/>
                <w:szCs w:val="24"/>
                <w:u w:val="none"/>
              </w:rPr>
              <w:t>，</w:t>
            </w:r>
            <w:r>
              <w:rPr>
                <w:rFonts w:hint="default" w:ascii="Times New Roman" w:hAnsi="Times New Roman" w:cs="Times New Roman"/>
                <w:b w:val="0"/>
                <w:bCs w:val="0"/>
                <w:i/>
                <w:snapToGrid w:val="0"/>
                <w:color w:val="auto"/>
                <w:sz w:val="24"/>
                <w:szCs w:val="24"/>
                <w:u w:val="none"/>
              </w:rPr>
              <w:t>q</w:t>
            </w:r>
            <w:r>
              <w:rPr>
                <w:rFonts w:hint="default" w:ascii="Times New Roman" w:hAnsi="Times New Roman" w:cs="Times New Roman"/>
                <w:b w:val="0"/>
                <w:bCs w:val="0"/>
                <w:snapToGrid w:val="0"/>
                <w:color w:val="auto"/>
                <w:sz w:val="24"/>
                <w:szCs w:val="24"/>
                <w:u w:val="none"/>
                <w:vertAlign w:val="subscript"/>
              </w:rPr>
              <w:t>2</w:t>
            </w:r>
            <w:r>
              <w:rPr>
                <w:rFonts w:hint="default" w:ascii="Times New Roman" w:hAnsi="Times New Roman" w:cs="Times New Roman"/>
                <w:b w:val="0"/>
                <w:bCs w:val="0"/>
                <w:snapToGrid w:val="0"/>
                <w:color w:val="auto"/>
                <w:sz w:val="24"/>
                <w:szCs w:val="24"/>
                <w:u w:val="none"/>
              </w:rPr>
              <w:t>……</w:t>
            </w:r>
            <w:r>
              <w:rPr>
                <w:rFonts w:hint="default" w:ascii="Times New Roman" w:hAnsi="Times New Roman" w:cs="Times New Roman"/>
                <w:b w:val="0"/>
                <w:bCs w:val="0"/>
                <w:i/>
                <w:snapToGrid w:val="0"/>
                <w:color w:val="auto"/>
                <w:sz w:val="24"/>
                <w:szCs w:val="24"/>
                <w:u w:val="none"/>
              </w:rPr>
              <w:t>q</w:t>
            </w:r>
            <w:r>
              <w:rPr>
                <w:rFonts w:hint="default" w:ascii="Times New Roman" w:hAnsi="Times New Roman" w:cs="Times New Roman"/>
                <w:b w:val="0"/>
                <w:bCs w:val="0"/>
                <w:snapToGrid w:val="0"/>
                <w:color w:val="auto"/>
                <w:sz w:val="24"/>
                <w:szCs w:val="24"/>
                <w:u w:val="none"/>
                <w:vertAlign w:val="subscript"/>
              </w:rPr>
              <w:t>n</w:t>
            </w:r>
            <w:r>
              <w:rPr>
                <w:rFonts w:hint="default" w:ascii="Times New Roman" w:hAnsi="Times New Roman" w:cs="Times New Roman"/>
                <w:b w:val="0"/>
                <w:bCs w:val="0"/>
                <w:snapToGrid w:val="0"/>
                <w:color w:val="auto"/>
                <w:sz w:val="24"/>
                <w:szCs w:val="24"/>
                <w:u w:val="none"/>
              </w:rPr>
              <w:t>——每种危险物质的最大存在总量，t。</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i/>
                <w:color w:val="auto"/>
                <w:sz w:val="24"/>
                <w:szCs w:val="24"/>
                <w:u w:val="none"/>
              </w:rPr>
              <w:t>Q</w:t>
            </w:r>
            <w:r>
              <w:rPr>
                <w:rFonts w:hint="default" w:ascii="Times New Roman" w:hAnsi="Times New Roman" w:cs="Times New Roman"/>
                <w:b w:val="0"/>
                <w:bCs w:val="0"/>
                <w:color w:val="auto"/>
                <w:sz w:val="24"/>
                <w:szCs w:val="24"/>
                <w:u w:val="none"/>
                <w:vertAlign w:val="subscript"/>
              </w:rPr>
              <w:t>1</w:t>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i/>
                <w:color w:val="auto"/>
                <w:sz w:val="24"/>
                <w:szCs w:val="24"/>
                <w:u w:val="none"/>
              </w:rPr>
              <w:t>Q</w:t>
            </w:r>
            <w:r>
              <w:rPr>
                <w:rFonts w:hint="default" w:ascii="Times New Roman" w:hAnsi="Times New Roman" w:cs="Times New Roman"/>
                <w:b w:val="0"/>
                <w:bCs w:val="0"/>
                <w:color w:val="auto"/>
                <w:sz w:val="24"/>
                <w:szCs w:val="24"/>
                <w:u w:val="none"/>
                <w:vertAlign w:val="subscript"/>
              </w:rPr>
              <w:t>2</w:t>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i/>
                <w:color w:val="auto"/>
                <w:sz w:val="24"/>
                <w:szCs w:val="24"/>
                <w:u w:val="none"/>
              </w:rPr>
              <w:t>Q</w:t>
            </w:r>
            <w:r>
              <w:rPr>
                <w:rFonts w:hint="default" w:ascii="Times New Roman" w:hAnsi="Times New Roman" w:cs="Times New Roman"/>
                <w:b w:val="0"/>
                <w:bCs w:val="0"/>
                <w:color w:val="auto"/>
                <w:sz w:val="24"/>
                <w:szCs w:val="24"/>
                <w:u w:val="none"/>
                <w:vertAlign w:val="subscript"/>
              </w:rPr>
              <w:t>n</w:t>
            </w:r>
            <w:r>
              <w:rPr>
                <w:rFonts w:hint="default" w:ascii="Times New Roman" w:hAnsi="Times New Roman" w:cs="Times New Roman"/>
                <w:b w:val="0"/>
                <w:bCs w:val="0"/>
                <w:color w:val="auto"/>
                <w:sz w:val="24"/>
                <w:szCs w:val="24"/>
                <w:u w:val="none"/>
              </w:rPr>
              <w:t>——每种危险物质的临界量，t。</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当Q＜1时，该项目环境风险潜势为</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1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当Q≥1时，将Q值划分为：</w:t>
            </w:r>
            <w:r>
              <w:rPr>
                <w:rFonts w:hint="eastAsia" w:cs="Times New Roman"/>
                <w:b w:val="0"/>
                <w:bCs w:val="0"/>
                <w:color w:val="auto"/>
                <w:sz w:val="24"/>
                <w:szCs w:val="24"/>
                <w:u w:val="none"/>
                <w:lang w:eastAsia="zh-CN"/>
              </w:rPr>
              <w:t>（</w:t>
            </w:r>
            <w:r>
              <w:rPr>
                <w:rFonts w:hint="default" w:ascii="Times New Roman" w:hAnsi="Times New Roman" w:cs="Times New Roman"/>
                <w:b w:val="0"/>
                <w:bCs w:val="0"/>
                <w:color w:val="auto"/>
                <w:sz w:val="24"/>
                <w:szCs w:val="24"/>
                <w:u w:val="none"/>
              </w:rPr>
              <w:t>1)1≤Q＜10；</w:t>
            </w:r>
            <w:r>
              <w:rPr>
                <w:rFonts w:hint="eastAsia" w:cs="Times New Roman"/>
                <w:b w:val="0"/>
                <w:bCs w:val="0"/>
                <w:color w:val="auto"/>
                <w:sz w:val="24"/>
                <w:szCs w:val="24"/>
                <w:u w:val="none"/>
                <w:lang w:eastAsia="zh-CN"/>
              </w:rPr>
              <w:t>（</w:t>
            </w:r>
            <w:r>
              <w:rPr>
                <w:rFonts w:hint="default" w:ascii="Times New Roman" w:hAnsi="Times New Roman" w:cs="Times New Roman"/>
                <w:b w:val="0"/>
                <w:bCs w:val="0"/>
                <w:color w:val="auto"/>
                <w:sz w:val="24"/>
                <w:szCs w:val="24"/>
                <w:u w:val="none"/>
              </w:rPr>
              <w:t>2)10≤Q＜100；</w:t>
            </w:r>
            <w:r>
              <w:rPr>
                <w:rFonts w:hint="eastAsia" w:cs="Times New Roman"/>
                <w:b w:val="0"/>
                <w:bCs w:val="0"/>
                <w:color w:val="auto"/>
                <w:sz w:val="24"/>
                <w:szCs w:val="24"/>
                <w:u w:val="none"/>
                <w:lang w:eastAsia="zh-CN"/>
              </w:rPr>
              <w:t>（</w:t>
            </w:r>
            <w:r>
              <w:rPr>
                <w:rFonts w:hint="default" w:ascii="Times New Roman" w:hAnsi="Times New Roman" w:cs="Times New Roman"/>
                <w:b w:val="0"/>
                <w:bCs w:val="0"/>
                <w:color w:val="auto"/>
                <w:sz w:val="24"/>
                <w:szCs w:val="24"/>
                <w:u w:val="none"/>
              </w:rPr>
              <w:t>3)Q≥100</w:t>
            </w:r>
          </w:p>
          <w:p>
            <w:pPr>
              <w:pStyle w:val="44"/>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w:t>
            </w:r>
            <w:r>
              <w:rPr>
                <w:rFonts w:hint="default" w:ascii="Times New Roman" w:hAnsi="Times New Roman" w:cs="Times New Roman"/>
                <w:b/>
                <w:bCs/>
                <w:color w:val="auto"/>
                <w:u w:val="none"/>
                <w:lang w:val="en-US" w:eastAsia="zh-CN"/>
              </w:rPr>
              <w:t>4-</w:t>
            </w:r>
            <w:r>
              <w:rPr>
                <w:rFonts w:hint="eastAsia" w:ascii="Times New Roman" w:cs="Times New Roman"/>
                <w:b/>
                <w:bCs/>
                <w:color w:val="auto"/>
                <w:u w:val="none"/>
                <w:lang w:val="en-US" w:eastAsia="zh-CN"/>
              </w:rPr>
              <w:t>22</w:t>
            </w:r>
            <w:r>
              <w:rPr>
                <w:rFonts w:hint="default" w:ascii="Times New Roman" w:hAnsi="Times New Roman" w:cs="Times New Roman"/>
                <w:b/>
                <w:bCs/>
                <w:color w:val="auto"/>
                <w:u w:val="none"/>
              </w:rPr>
              <w:t>建设项目Q值确定表</w:t>
            </w:r>
          </w:p>
          <w:tbl>
            <w:tblPr>
              <w:tblStyle w:val="24"/>
              <w:tblW w:w="499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241"/>
              <w:gridCol w:w="1365"/>
              <w:gridCol w:w="1391"/>
              <w:gridCol w:w="1449"/>
              <w:gridCol w:w="215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序号</w:t>
                  </w:r>
                </w:p>
              </w:tc>
              <w:tc>
                <w:tcPr>
                  <w:tcW w:w="119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名称</w:t>
                  </w:r>
                </w:p>
              </w:tc>
              <w:tc>
                <w:tcPr>
                  <w:tcW w:w="7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CAS号</w:t>
                  </w:r>
                </w:p>
              </w:tc>
              <w:tc>
                <w:tcPr>
                  <w:tcW w:w="74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最大存在总量q</w:t>
                  </w:r>
                  <w:r>
                    <w:rPr>
                      <w:rFonts w:hint="default" w:ascii="Times New Roman" w:hAnsi="Times New Roman" w:cs="Times New Roman"/>
                      <w:b w:val="0"/>
                      <w:bCs w:val="0"/>
                      <w:color w:val="auto"/>
                      <w:sz w:val="21"/>
                      <w:szCs w:val="21"/>
                      <w:u w:val="none"/>
                      <w:vertAlign w:val="subscript"/>
                    </w:rPr>
                    <w:t>n</w:t>
                  </w:r>
                  <w:r>
                    <w:rPr>
                      <w:rFonts w:hint="default" w:ascii="Times New Roman" w:hAnsi="Times New Roman" w:cs="Times New Roman"/>
                      <w:b w:val="0"/>
                      <w:bCs w:val="0"/>
                      <w:color w:val="auto"/>
                      <w:sz w:val="21"/>
                      <w:szCs w:val="21"/>
                      <w:u w:val="none"/>
                    </w:rPr>
                    <w:t>/t</w:t>
                  </w:r>
                </w:p>
              </w:tc>
              <w:tc>
                <w:tcPr>
                  <w:tcW w:w="7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临界量Qn/t</w:t>
                  </w:r>
                </w:p>
              </w:tc>
              <w:tc>
                <w:tcPr>
                  <w:tcW w:w="115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该种危险物质Q值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w:t>
                  </w:r>
                </w:p>
              </w:tc>
              <w:tc>
                <w:tcPr>
                  <w:tcW w:w="119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pacing w:val="4"/>
                      <w:sz w:val="21"/>
                      <w:szCs w:val="21"/>
                      <w:u w:val="none"/>
                      <w:lang w:val="en-US" w:eastAsia="zh-CN"/>
                    </w:rPr>
                  </w:pPr>
                  <w:r>
                    <w:rPr>
                      <w:rFonts w:hint="default" w:ascii="Times New Roman" w:hAnsi="Times New Roman" w:cs="Times New Roman"/>
                      <w:b w:val="0"/>
                      <w:bCs w:val="0"/>
                      <w:color w:val="auto"/>
                      <w:spacing w:val="4"/>
                      <w:sz w:val="21"/>
                      <w:szCs w:val="21"/>
                      <w:u w:val="none"/>
                      <w:lang w:val="en-US" w:eastAsia="zh-CN"/>
                    </w:rPr>
                    <w:t>废机油</w:t>
                  </w:r>
                  <w:r>
                    <w:rPr>
                      <w:rFonts w:hint="eastAsia" w:cs="Times New Roman"/>
                      <w:b w:val="0"/>
                      <w:bCs w:val="0"/>
                      <w:color w:val="auto"/>
                      <w:spacing w:val="4"/>
                      <w:sz w:val="21"/>
                      <w:szCs w:val="21"/>
                      <w:u w:val="none"/>
                      <w:lang w:val="en-US" w:eastAsia="zh-CN"/>
                    </w:rPr>
                    <w:t>、废润滑油</w:t>
                  </w:r>
                </w:p>
              </w:tc>
              <w:tc>
                <w:tcPr>
                  <w:tcW w:w="7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u w:val="none"/>
                    </w:rPr>
                    <w:t>900-214-08</w:t>
                  </w:r>
                </w:p>
              </w:tc>
              <w:tc>
                <w:tcPr>
                  <w:tcW w:w="74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0.0</w:t>
                  </w:r>
                  <w:r>
                    <w:rPr>
                      <w:rFonts w:hint="eastAsia" w:cs="Times New Roman"/>
                      <w:b w:val="0"/>
                      <w:bCs w:val="0"/>
                      <w:color w:val="auto"/>
                      <w:sz w:val="21"/>
                      <w:szCs w:val="21"/>
                      <w:u w:val="none"/>
                      <w:lang w:val="en-US" w:eastAsia="zh-CN"/>
                    </w:rPr>
                    <w:t>5</w:t>
                  </w:r>
                </w:p>
              </w:tc>
              <w:tc>
                <w:tcPr>
                  <w:tcW w:w="7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2500</w:t>
                  </w:r>
                </w:p>
              </w:tc>
              <w:tc>
                <w:tcPr>
                  <w:tcW w:w="115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0.00002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2</w:t>
                  </w:r>
                </w:p>
              </w:tc>
              <w:tc>
                <w:tcPr>
                  <w:tcW w:w="119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pacing w:val="4"/>
                      <w:sz w:val="21"/>
                      <w:szCs w:val="21"/>
                      <w:u w:val="none"/>
                      <w:lang w:val="en-US" w:eastAsia="zh-CN"/>
                    </w:rPr>
                  </w:pPr>
                  <w:r>
                    <w:rPr>
                      <w:rFonts w:hint="default" w:ascii="Times New Roman" w:hAnsi="Times New Roman" w:cs="Times New Roman"/>
                      <w:b w:val="0"/>
                      <w:bCs w:val="0"/>
                      <w:color w:val="auto"/>
                      <w:spacing w:val="4"/>
                      <w:sz w:val="21"/>
                      <w:szCs w:val="21"/>
                      <w:u w:val="none"/>
                      <w:lang w:val="en-US" w:eastAsia="zh-CN"/>
                    </w:rPr>
                    <w:t>废活性炭</w:t>
                  </w:r>
                </w:p>
              </w:tc>
              <w:tc>
                <w:tcPr>
                  <w:tcW w:w="7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u w:val="none"/>
                    </w:rPr>
                  </w:pPr>
                  <w:r>
                    <w:rPr>
                      <w:rFonts w:hint="default" w:ascii="Times New Roman" w:hAnsi="Times New Roman" w:eastAsia="宋体" w:cs="Times New Roman"/>
                      <w:b w:val="0"/>
                      <w:bCs w:val="0"/>
                      <w:color w:val="auto"/>
                      <w:sz w:val="21"/>
                      <w:szCs w:val="21"/>
                      <w:u w:val="none"/>
                      <w:lang w:val="en-US" w:eastAsia="zh-CN"/>
                    </w:rPr>
                    <w:t>900-039-49</w:t>
                  </w:r>
                </w:p>
              </w:tc>
              <w:tc>
                <w:tcPr>
                  <w:tcW w:w="74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1.56</w:t>
                  </w:r>
                </w:p>
              </w:tc>
              <w:tc>
                <w:tcPr>
                  <w:tcW w:w="7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100</w:t>
                  </w:r>
                </w:p>
              </w:tc>
              <w:tc>
                <w:tcPr>
                  <w:tcW w:w="115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0.0156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3</w:t>
                  </w:r>
                </w:p>
              </w:tc>
              <w:tc>
                <w:tcPr>
                  <w:tcW w:w="11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pacing w:val="4"/>
                      <w:kern w:val="0"/>
                      <w:sz w:val="21"/>
                      <w:szCs w:val="21"/>
                      <w:u w:val="none"/>
                      <w:lang w:val="en-US" w:eastAsia="zh-CN" w:bidi="ar-SA"/>
                    </w:rPr>
                  </w:pPr>
                  <w:r>
                    <w:rPr>
                      <w:rFonts w:hint="eastAsia" w:cs="Times New Roman"/>
                      <w:b w:val="0"/>
                      <w:bCs w:val="0"/>
                      <w:color w:val="auto"/>
                      <w:spacing w:val="4"/>
                      <w:kern w:val="0"/>
                      <w:sz w:val="21"/>
                      <w:szCs w:val="21"/>
                      <w:u w:val="none"/>
                      <w:lang w:val="en-US" w:eastAsia="zh-CN"/>
                    </w:rPr>
                    <w:t>天然气</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sz w:val="21"/>
                      <w:szCs w:val="21"/>
                      <w:u w:val="none"/>
                      <w:lang w:val="en-US" w:eastAsia="zh-CN"/>
                    </w:rPr>
                    <w:t>68476-85-7</w:t>
                  </w:r>
                </w:p>
              </w:tc>
              <w:tc>
                <w:tcPr>
                  <w:tcW w:w="74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1.0</w:t>
                  </w:r>
                </w:p>
              </w:tc>
              <w:tc>
                <w:tcPr>
                  <w:tcW w:w="7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10</w:t>
                  </w:r>
                </w:p>
              </w:tc>
              <w:tc>
                <w:tcPr>
                  <w:tcW w:w="115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0.1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845" w:type="pct"/>
                  <w:gridSpan w:val="5"/>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项目Q值∑</w:t>
                  </w:r>
                </w:p>
              </w:tc>
              <w:tc>
                <w:tcPr>
                  <w:tcW w:w="1154" w:type="pct"/>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fldChar w:fldCharType="begin"/>
                  </w:r>
                  <w:r>
                    <w:rPr>
                      <w:rFonts w:hint="eastAsia" w:cs="Times New Roman"/>
                      <w:b w:val="0"/>
                      <w:bCs w:val="0"/>
                      <w:color w:val="auto"/>
                      <w:sz w:val="21"/>
                      <w:szCs w:val="21"/>
                      <w:u w:val="none"/>
                      <w:lang w:val="en-US" w:eastAsia="zh-CN"/>
                    </w:rPr>
                    <w:instrText xml:space="preserve"> = sum(F2:F4) \* MERGEFORMAT </w:instrText>
                  </w:r>
                  <w:r>
                    <w:rPr>
                      <w:rFonts w:hint="eastAsia" w:cs="Times New Roman"/>
                      <w:b w:val="0"/>
                      <w:bCs w:val="0"/>
                      <w:color w:val="auto"/>
                      <w:sz w:val="21"/>
                      <w:szCs w:val="21"/>
                      <w:u w:val="none"/>
                      <w:lang w:val="en-US" w:eastAsia="zh-CN"/>
                    </w:rPr>
                    <w:fldChar w:fldCharType="separate"/>
                  </w:r>
                  <w:r>
                    <w:rPr>
                      <w:rFonts w:hint="eastAsia" w:cs="Times New Roman"/>
                      <w:b w:val="0"/>
                      <w:bCs w:val="0"/>
                      <w:color w:val="auto"/>
                      <w:sz w:val="21"/>
                      <w:szCs w:val="21"/>
                      <w:u w:val="none"/>
                      <w:lang w:val="en-US" w:eastAsia="zh-CN"/>
                    </w:rPr>
                    <w:t>0.11562</w:t>
                  </w:r>
                  <w:r>
                    <w:rPr>
                      <w:rFonts w:hint="eastAsia" w:cs="Times New Roman"/>
                      <w:b w:val="0"/>
                      <w:bCs w:val="0"/>
                      <w:color w:val="auto"/>
                      <w:sz w:val="21"/>
                      <w:szCs w:val="21"/>
                      <w:u w:val="none"/>
                      <w:lang w:val="en-US" w:eastAsia="zh-CN"/>
                    </w:rPr>
                    <w:fldChar w:fldCharType="end"/>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经计算，Q＜1时，该项目环境风险潜势为</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1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，简单分析即可。</w:t>
            </w:r>
          </w:p>
          <w:p>
            <w:pPr>
              <w:pStyle w:val="44"/>
              <w:keepNext w:val="0"/>
              <w:keepLines w:val="0"/>
              <w:pageBreakBefore w:val="0"/>
              <w:widowControl w:val="0"/>
              <w:kinsoku/>
              <w:wordWrap/>
              <w:overflowPunct/>
              <w:topLinePunct w:val="0"/>
              <w:autoSpaceDE w:val="0"/>
              <w:autoSpaceDN w:val="0"/>
              <w:bidi w:val="0"/>
              <w:adjustRightInd w:val="0"/>
              <w:snapToGrid/>
              <w:spacing w:before="0" w:after="0" w:line="360" w:lineRule="auto"/>
              <w:ind w:firstLine="482" w:firstLineChars="200"/>
              <w:jc w:val="both"/>
              <w:textAlignment w:val="auto"/>
              <w:rPr>
                <w:rFonts w:hint="default" w:ascii="Times New Roman" w:hAnsi="Times New Roman" w:eastAsia="宋体" w:cs="Times New Roman"/>
                <w:b/>
                <w:bCs/>
                <w:i w:val="0"/>
                <w:iCs w:val="0"/>
                <w:color w:val="auto"/>
                <w:sz w:val="24"/>
                <w:szCs w:val="24"/>
                <w:u w:val="none"/>
                <w:lang w:eastAsia="zh-CN"/>
              </w:rPr>
            </w:pPr>
            <w:r>
              <w:rPr>
                <w:rFonts w:hint="default" w:ascii="Times New Roman" w:hAnsi="Times New Roman" w:eastAsia="宋体" w:cs="Times New Roman"/>
                <w:b/>
                <w:bCs/>
                <w:i w:val="0"/>
                <w:iCs w:val="0"/>
                <w:color w:val="auto"/>
                <w:sz w:val="24"/>
                <w:szCs w:val="24"/>
                <w:u w:val="none"/>
                <w:lang w:val="en-US" w:eastAsia="zh-CN"/>
              </w:rPr>
              <w:t>（4）生产系统危险性识别</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根据工艺流程和平面布置功能区划，本项目危险单元为危废暂存间和</w:t>
            </w:r>
            <w:r>
              <w:rPr>
                <w:rFonts w:hint="eastAsia" w:cs="Times New Roman"/>
                <w:color w:val="000000"/>
                <w:kern w:val="0"/>
                <w:sz w:val="24"/>
                <w:szCs w:val="24"/>
                <w:lang w:val="en-US" w:eastAsia="zh-CN" w:bidi="ar"/>
              </w:rPr>
              <w:t>天然气储罐区</w:t>
            </w:r>
            <w:r>
              <w:rPr>
                <w:rFonts w:hint="default" w:ascii="Times New Roman" w:hAnsi="Times New Roman" w:eastAsia="宋体" w:cs="Times New Roman"/>
                <w:color w:val="000000"/>
                <w:kern w:val="0"/>
                <w:sz w:val="24"/>
                <w:szCs w:val="24"/>
                <w:lang w:val="en-US" w:eastAsia="zh-CN" w:bidi="ar"/>
              </w:rPr>
              <w:t>以及生产设施和环保设施。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营运期主要风险源于贮存的废机油泄漏</w:t>
            </w:r>
            <w:r>
              <w:rPr>
                <w:rFonts w:hint="eastAsia" w:cs="Times New Roman"/>
                <w:b w:val="0"/>
                <w:bCs w:val="0"/>
                <w:sz w:val="24"/>
                <w:lang w:eastAsia="zh-CN"/>
              </w:rPr>
              <w:t>、</w:t>
            </w:r>
            <w:r>
              <w:rPr>
                <w:rFonts w:hint="eastAsia" w:cs="Times New Roman"/>
                <w:b w:val="0"/>
                <w:bCs w:val="0"/>
                <w:sz w:val="24"/>
                <w:lang w:val="en-US" w:eastAsia="zh-CN"/>
              </w:rPr>
              <w:t>天然气</w:t>
            </w:r>
            <w:r>
              <w:rPr>
                <w:rFonts w:hint="default" w:ascii="Times New Roman" w:hAnsi="Times New Roman" w:eastAsia="宋体" w:cs="Times New Roman"/>
                <w:b w:val="0"/>
                <w:bCs w:val="0"/>
                <w:sz w:val="24"/>
              </w:rPr>
              <w:t>等因素，主要包括：①储存容器破损导致泄漏；②自然因素，如地震、雷击等；③生产人员的安全卫生知识缺乏，违章操作或操作不规范导致的泄漏；④厂区安全生产制度不健全，设备检修维修制度不落实或不执行。尽管项目储存危险物质量小，但机油</w:t>
            </w:r>
            <w:r>
              <w:rPr>
                <w:rFonts w:hint="eastAsia" w:cs="Times New Roman"/>
                <w:b w:val="0"/>
                <w:bCs w:val="0"/>
                <w:sz w:val="24"/>
                <w:lang w:eastAsia="zh-CN"/>
              </w:rPr>
              <w:t>、</w:t>
            </w:r>
            <w:r>
              <w:rPr>
                <w:rFonts w:hint="eastAsia" w:cs="Times New Roman"/>
                <w:b w:val="0"/>
                <w:bCs w:val="0"/>
                <w:sz w:val="24"/>
                <w:lang w:val="en-US" w:eastAsia="zh-CN"/>
              </w:rPr>
              <w:t>天然气</w:t>
            </w:r>
            <w:r>
              <w:rPr>
                <w:rFonts w:hint="default" w:ascii="Times New Roman" w:hAnsi="Times New Roman" w:eastAsia="宋体" w:cs="Times New Roman"/>
                <w:b w:val="0"/>
                <w:bCs w:val="0"/>
                <w:sz w:val="24"/>
              </w:rPr>
              <w:t>均为易燃性物质，潜在事故为原料发生泄漏遇明火等条件可能引起火灾等事故。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w:t>
            </w:r>
            <w:r>
              <w:rPr>
                <w:rFonts w:hint="default" w:ascii="Times New Roman" w:hAnsi="Times New Roman" w:eastAsia="宋体" w:cs="Times New Roman"/>
                <w:b/>
                <w:bCs/>
                <w:sz w:val="24"/>
                <w:lang w:val="en-US" w:eastAsia="zh-CN"/>
              </w:rPr>
              <w:t>5</w:t>
            </w:r>
            <w:r>
              <w:rPr>
                <w:rFonts w:hint="default" w:ascii="Times New Roman" w:hAnsi="Times New Roman" w:eastAsia="宋体" w:cs="Times New Roman"/>
                <w:b/>
                <w:bCs/>
                <w:sz w:val="24"/>
              </w:rPr>
              <w:t>）环境风险类型及危险分析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通过对危险物质、生产系统危险性识别可知，营运期危险物质风险事故情况下向环境转移的可能途径主要有：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①危险物质贮存过程中容器破损或操作不当发生泄漏，若地面不进行防渗、防腐处理，泄漏物料可能下渗污染土壤及地下水。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②项目使用</w:t>
            </w:r>
            <w:r>
              <w:rPr>
                <w:rFonts w:hint="eastAsia" w:cs="Times New Roman"/>
                <w:b w:val="0"/>
                <w:bCs w:val="0"/>
                <w:sz w:val="24"/>
                <w:lang w:val="en-US" w:eastAsia="zh-CN"/>
              </w:rPr>
              <w:t>天然气储罐</w:t>
            </w:r>
            <w:r>
              <w:rPr>
                <w:rFonts w:hint="default" w:ascii="Times New Roman" w:hAnsi="Times New Roman" w:eastAsia="宋体" w:cs="Times New Roman"/>
                <w:b w:val="0"/>
                <w:bCs w:val="0"/>
                <w:sz w:val="24"/>
              </w:rPr>
              <w:t>遇火花或明火易发生火灾；废机油有泄漏时未及时消除或溢流出的易燃料液遇明火导致火灾事故。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当火灾发生时，伴随将产生大量的CO</w:t>
            </w:r>
            <w:r>
              <w:rPr>
                <w:rFonts w:hint="eastAsia" w:cs="Times New Roman"/>
                <w:b w:val="0"/>
                <w:bCs w:val="0"/>
                <w:sz w:val="24"/>
                <w:lang w:eastAsia="zh-CN"/>
              </w:rPr>
              <w:t>、</w:t>
            </w:r>
            <w:r>
              <w:rPr>
                <w:rFonts w:hint="eastAsia" w:cs="Times New Roman"/>
                <w:b w:val="0"/>
                <w:bCs w:val="0"/>
                <w:sz w:val="24"/>
                <w:lang w:val="en-US" w:eastAsia="zh-CN"/>
              </w:rPr>
              <w:t>SO</w:t>
            </w:r>
            <w:r>
              <w:rPr>
                <w:rFonts w:hint="eastAsia" w:cs="Times New Roman"/>
                <w:b w:val="0"/>
                <w:bCs w:val="0"/>
                <w:sz w:val="24"/>
                <w:vertAlign w:val="subscript"/>
                <w:lang w:val="en-US" w:eastAsia="zh-CN"/>
              </w:rPr>
              <w:t>2</w:t>
            </w:r>
            <w:r>
              <w:rPr>
                <w:rFonts w:hint="default" w:ascii="Times New Roman" w:hAnsi="Times New Roman" w:eastAsia="宋体" w:cs="Times New Roman"/>
                <w:b w:val="0"/>
                <w:bCs w:val="0"/>
                <w:sz w:val="24"/>
              </w:rPr>
              <w:t>等有毒有害污染物，对周边环境产生一定影响，以及在灭火过程中将产生大量的消防废水，若未及时拦截进入雨水管网，会对受纳水体以及周边土壤环境造成一定影响。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（6）环境风险防范措施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bCs w:val="0"/>
                <w:sz w:val="24"/>
                <w:u w:val="none"/>
                <w:lang w:val="en-US" w:eastAsia="zh-CN"/>
              </w:rPr>
            </w:pPr>
            <w:r>
              <w:rPr>
                <w:rFonts w:hint="default" w:ascii="Times New Roman" w:hAnsi="Times New Roman" w:eastAsia="微软雅黑" w:cs="Times New Roman"/>
                <w:b/>
                <w:bCs w:val="0"/>
                <w:sz w:val="24"/>
                <w:u w:val="none"/>
                <w:lang w:val="en-US" w:eastAsia="zh-CN"/>
              </w:rPr>
              <w:t>Ⅰ</w:t>
            </w:r>
            <w:r>
              <w:rPr>
                <w:rFonts w:hint="default" w:ascii="Times New Roman" w:hAnsi="Times New Roman" w:cs="Times New Roman"/>
                <w:b/>
                <w:bCs w:val="0"/>
                <w:sz w:val="24"/>
                <w:u w:val="none"/>
                <w:lang w:val="en-US" w:eastAsia="zh-CN"/>
              </w:rPr>
              <w:t>火灾风险防范措施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t>①危废暂存间严格按照消防规范进行设计和建设，消防通道和建筑物耐火等级应满足消防要求；生产区域、原料堆放区、成品区及危废暂存间均设置严禁烟火标志，严禁携带火柴、打火机等。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t>②按照《建筑灭火器配置设计规范》（GBJ140-90）的规定，应配置相应数量的灭火器（干粉灭火器等）、消防沙等消防物质，并在火灾危险场所设置报警装置。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t>③加强公司职工的教育培训，实行上岗证制度，增强职工风险意识，提高事故自救能力，制定和强化各种安全管理、安全生产的规程，减少人为风险事故的发生。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t>④加强管理，防止因管理不善而导致火灾：每天对车间设备，进行检查，防止因为设备故障而引起火灾；禁止车间内抽烟。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t>⑤防止静电起火：防止静电灾害可以采用的措施有：a.接地：使物体与大地之间构成电气泄漏电路，将产生在物体上的静电泄于大地，防止物体贮存静电；b.工作人员应该穿上防静电工作服；c.防止流动带电：管道输送溶剂时，流速越快，产生的静电越多。为防止高速流动带电，应该对流速作出限制；d.维持湿度：保持现场湿度大于60%，有利于静电的释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sz w:val="24"/>
                <w:u w:val="none"/>
                <w:lang w:val="en-US" w:eastAsia="zh-CN"/>
              </w:rPr>
            </w:pPr>
            <w:r>
              <w:rPr>
                <w:rFonts w:hint="default" w:ascii="Times New Roman" w:hAnsi="Times New Roman" w:eastAsia="宋体" w:cs="Times New Roman"/>
                <w:b/>
                <w:bCs w:val="0"/>
                <w:sz w:val="24"/>
                <w:u w:val="none"/>
                <w:lang w:val="en-US" w:eastAsia="zh-CN"/>
              </w:rPr>
              <w:t>Ⅱ储存风险防范措施</w:t>
            </w:r>
          </w:p>
          <w:p>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防范措施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a.危废暂存间</w:t>
            </w:r>
            <w:r>
              <w:rPr>
                <w:rFonts w:hint="eastAsia" w:cs="Times New Roman"/>
                <w:color w:val="000000"/>
                <w:kern w:val="0"/>
                <w:sz w:val="24"/>
                <w:szCs w:val="24"/>
                <w:lang w:val="en-US" w:eastAsia="zh-CN" w:bidi="ar"/>
              </w:rPr>
              <w:t>地</w:t>
            </w:r>
            <w:r>
              <w:rPr>
                <w:rFonts w:hint="default" w:ascii="Times New Roman" w:hAnsi="Times New Roman" w:eastAsia="宋体" w:cs="Times New Roman"/>
                <w:color w:val="000000"/>
                <w:kern w:val="0"/>
                <w:sz w:val="24"/>
                <w:szCs w:val="24"/>
                <w:lang w:val="en-US" w:eastAsia="zh-CN" w:bidi="ar"/>
              </w:rPr>
              <w:t>分区按有关规范要求进行设计和建设，应做防腐防渗处理，布置重点防渗区，防止危险废物渗漏对地下水造成污染；加强日常管理，建立进出台账；严格管理，操作正确，加强日常检查，正常情况下，可以避免发生溢出和泄漏事故，但不能排除非正常情况下泄漏事故的发生，如地震</w:t>
            </w:r>
            <w:r>
              <w:rPr>
                <w:rFonts w:hint="eastAsia" w:ascii="Times New Roman" w:hAnsi="Times New Roman" w:eastAsia="宋体" w:cs="Times New Roman"/>
                <w:color w:val="000000"/>
                <w:kern w:val="0"/>
                <w:sz w:val="24"/>
                <w:szCs w:val="24"/>
                <w:lang w:val="en-US" w:eastAsia="zh-CN" w:bidi="ar"/>
              </w:rPr>
              <w:t>和其他一些</w:t>
            </w:r>
            <w:r>
              <w:rPr>
                <w:rFonts w:hint="default" w:ascii="Times New Roman" w:hAnsi="Times New Roman" w:eastAsia="宋体" w:cs="Times New Roman"/>
                <w:color w:val="000000"/>
                <w:kern w:val="0"/>
                <w:sz w:val="24"/>
                <w:szCs w:val="24"/>
                <w:lang w:val="en-US" w:eastAsia="zh-CN" w:bidi="ar"/>
              </w:rPr>
              <w:t>潜在突然因素的发生。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b.制定发生事故时迅速撤离泄漏污染区人员至安全区的方案，一旦发生事故，则要根据具体情况采取应急措施，切断泄漏源、火源，控制事故扩大，立即报警，采取遏制泄漏物进入环境的紧急措施。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c.危废暂存间应该做好抗静电工作，防止静电引起存储区火灾和爆炸；做好预防雷击造成火灾事件的发生，安装规范的防雷与接地措施。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d.危废暂存间应做好防渗、漏措施，除地面基础防渗外，废机油储存容器下还应设置防漏托盘，防止物料泄漏。</w:t>
            </w:r>
          </w:p>
          <w:p>
            <w:pPr>
              <w:pStyle w:val="10"/>
              <w:rPr>
                <w:rFonts w:hint="default"/>
                <w:lang w:val="en-US" w:eastAsia="zh-CN"/>
              </w:rPr>
            </w:pPr>
            <w:r>
              <w:rPr>
                <w:rFonts w:hint="eastAsia"/>
                <w:lang w:val="en-US" w:eastAsia="zh-CN"/>
              </w:rPr>
              <w:t>e.天然气储罐区配备消防灭火应急设施，并安装天然气报警装置。</w:t>
            </w:r>
          </w:p>
          <w:p>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应急措施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000000"/>
                <w:kern w:val="0"/>
                <w:sz w:val="24"/>
                <w:szCs w:val="24"/>
                <w:lang w:val="en-US" w:eastAsia="zh-CN" w:bidi="ar"/>
              </w:rPr>
              <w:t>一旦发生泄漏事故，首要的应急问题是减少泄漏，及时修补渗漏处；如果发生严重泄漏事故，主要方法是使泄漏点局限在某一区域，然后再回收处理等</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rPr>
            </w:pP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7</w:t>
            </w:r>
            <w:r>
              <w:rPr>
                <w:rFonts w:hint="eastAsia" w:ascii="Times New Roman" w:hAnsi="Times New Roman" w:eastAsia="宋体" w:cs="Times New Roman"/>
                <w:b/>
                <w:bCs/>
                <w:sz w:val="24"/>
                <w:lang w:eastAsia="zh-CN"/>
              </w:rPr>
              <w:t>）</w:t>
            </w:r>
            <w:r>
              <w:rPr>
                <w:rFonts w:hint="default" w:ascii="Times New Roman" w:hAnsi="Times New Roman" w:eastAsia="宋体" w:cs="Times New Roman"/>
                <w:b/>
                <w:bCs/>
                <w:sz w:val="24"/>
              </w:rPr>
              <w:t>人员紧急撤离、疏散组织计划</w:t>
            </w:r>
          </w:p>
          <w:p>
            <w:pPr>
              <w:adjustRightInd w:val="0"/>
              <w:snapToGrid w:val="0"/>
              <w:spacing w:line="360" w:lineRule="auto"/>
              <w:ind w:firstLine="480" w:firstLineChars="200"/>
              <w:rPr>
                <w:sz w:val="24"/>
                <w:szCs w:val="21"/>
              </w:rPr>
            </w:pPr>
            <w:r>
              <w:rPr>
                <w:rFonts w:hint="eastAsia"/>
                <w:sz w:val="24"/>
                <w:szCs w:val="21"/>
              </w:rPr>
              <w:t>厂内</w:t>
            </w:r>
            <w:r>
              <w:rPr>
                <w:sz w:val="24"/>
                <w:szCs w:val="21"/>
              </w:rPr>
              <w:t>需要编制周围企业和人员分布图，指定具体联络人，并记录联络人的电话，当发生比较大的事故时，要在第一时间通知可能受影响的企业及人员，组织大家撤离。撤离过程中要请求环保、公安、民政等部门协助，妥善安排撤离人员的生活。撤离后要对影响区进行联系监测，当环境恢复到功能区划的要求，并经过环保、卫生等部门的同意，事故得到有效控制的前提下，可以安排撤离人员返回。</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w:t>
            </w:r>
            <w:r>
              <w:rPr>
                <w:rFonts w:hint="eastAsia" w:ascii="Times New Roman" w:hAnsi="Times New Roman" w:eastAsia="宋体" w:cs="Times New Roman"/>
                <w:b/>
                <w:bCs/>
                <w:sz w:val="24"/>
                <w:lang w:val="en-US" w:eastAsia="zh-CN"/>
              </w:rPr>
              <w:t>8</w:t>
            </w:r>
            <w:r>
              <w:rPr>
                <w:rFonts w:hint="default" w:ascii="Times New Roman" w:hAnsi="Times New Roman" w:eastAsia="宋体" w:cs="Times New Roman"/>
                <w:b/>
                <w:bCs/>
                <w:sz w:val="24"/>
              </w:rPr>
              <w:t>）制定应急预案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sz w:val="24"/>
              </w:rPr>
              <w:t>发生重大意外事故后，要及时向上级主管部门汇报，由政府及其有关部门、工会和企业按照行政法规进行调查和处理。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由于自然灾害或人为原因，当事故灾害不可避免的时候，有效的应急救援行动是唯一可以抵御事故灾害蔓延和减缓灾害后果的有力措施。所以，如果在事故灾害发生前建立完善的应急救援系统，制定周密的救援计划，而在灾害发生的时候采取及时有效的应急救援行动，可行的系统恢复和善后处理，可以拯救生命、保护财产、保护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环境风险应急预案包括的主要内容见下表。</w:t>
            </w:r>
          </w:p>
          <w:p>
            <w:pPr>
              <w:keepNext w:val="0"/>
              <w:keepLines w:val="0"/>
              <w:pageBreakBefore w:val="0"/>
              <w:widowControl w:val="0"/>
              <w:kinsoku/>
              <w:wordWrap w:val="0"/>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4"/>
              </w:rPr>
            </w:pPr>
            <w:r>
              <w:rPr>
                <w:rFonts w:hint="default" w:ascii="Times New Roman" w:hAnsi="Times New Roman" w:eastAsia="宋体" w:cs="Times New Roman"/>
                <w:b/>
                <w:bCs w:val="0"/>
                <w:sz w:val="24"/>
              </w:rPr>
              <w:t>表</w:t>
            </w:r>
            <w:r>
              <w:rPr>
                <w:rFonts w:hint="eastAsia" w:ascii="Times New Roman" w:hAnsi="Times New Roman" w:cs="Times New Roman"/>
                <w:b/>
                <w:bCs w:val="0"/>
                <w:sz w:val="24"/>
                <w:lang w:val="en-US" w:eastAsia="zh-CN"/>
              </w:rPr>
              <w:t>4-</w:t>
            </w:r>
            <w:r>
              <w:rPr>
                <w:rFonts w:hint="eastAsia" w:cs="Times New Roman"/>
                <w:b/>
                <w:bCs w:val="0"/>
                <w:sz w:val="24"/>
                <w:lang w:val="en-US" w:eastAsia="zh-CN"/>
              </w:rPr>
              <w:t>23</w:t>
            </w:r>
            <w:r>
              <w:rPr>
                <w:rFonts w:hint="default" w:ascii="Times New Roman" w:hAnsi="Times New Roman" w:eastAsia="宋体" w:cs="Times New Roman"/>
                <w:b/>
                <w:bCs w:val="0"/>
                <w:sz w:val="24"/>
              </w:rPr>
              <w:t xml:space="preserve"> 风险事故应急预案内容</w:t>
            </w:r>
          </w:p>
          <w:tbl>
            <w:tblPr>
              <w:tblStyle w:val="24"/>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83"/>
              <w:gridCol w:w="2259"/>
              <w:gridCol w:w="631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序号</w:t>
                  </w:r>
                </w:p>
              </w:tc>
              <w:tc>
                <w:tcPr>
                  <w:tcW w:w="1206" w:type="pct"/>
                  <w:tcBorders>
                    <w:tl2br w:val="nil"/>
                    <w:tr2bl w:val="nil"/>
                  </w:tcBorders>
                  <w:noWrap w:val="0"/>
                  <w:vAlign w:val="center"/>
                </w:tcPr>
                <w:p>
                  <w:pPr>
                    <w:jc w:val="center"/>
                  </w:pPr>
                  <w:r>
                    <w:t>项目</w:t>
                  </w:r>
                </w:p>
              </w:tc>
              <w:tc>
                <w:tcPr>
                  <w:tcW w:w="3374" w:type="pct"/>
                  <w:tcBorders>
                    <w:tl2br w:val="nil"/>
                    <w:tr2bl w:val="nil"/>
                  </w:tcBorders>
                  <w:noWrap w:val="0"/>
                  <w:vAlign w:val="center"/>
                </w:tcPr>
                <w:p>
                  <w:pPr>
                    <w:jc w:val="center"/>
                  </w:pPr>
                  <w:r>
                    <w:t>内容及要求</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1</w:t>
                  </w:r>
                </w:p>
              </w:tc>
              <w:tc>
                <w:tcPr>
                  <w:tcW w:w="1206" w:type="pct"/>
                  <w:tcBorders>
                    <w:tl2br w:val="nil"/>
                    <w:tr2bl w:val="nil"/>
                  </w:tcBorders>
                  <w:noWrap w:val="0"/>
                  <w:vAlign w:val="center"/>
                </w:tcPr>
                <w:p>
                  <w:pPr>
                    <w:jc w:val="center"/>
                  </w:pPr>
                  <w:r>
                    <w:t>总则</w:t>
                  </w:r>
                </w:p>
              </w:tc>
              <w:tc>
                <w:tcPr>
                  <w:tcW w:w="3374" w:type="pct"/>
                  <w:tcBorders>
                    <w:tl2br w:val="nil"/>
                    <w:tr2bl w:val="nil"/>
                  </w:tcBorders>
                  <w:noWrap w:val="0"/>
                  <w:vAlign w:val="center"/>
                </w:tcPr>
                <w:p>
                  <w:pPr>
                    <w:jc w:val="center"/>
                  </w:pPr>
                  <w:r>
                    <w:t>明确项目运行期间可能产生的突发事故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2</w:t>
                  </w:r>
                </w:p>
              </w:tc>
              <w:tc>
                <w:tcPr>
                  <w:tcW w:w="1206" w:type="pct"/>
                  <w:tcBorders>
                    <w:tl2br w:val="nil"/>
                    <w:tr2bl w:val="nil"/>
                  </w:tcBorders>
                  <w:noWrap w:val="0"/>
                  <w:vAlign w:val="center"/>
                </w:tcPr>
                <w:p>
                  <w:pPr>
                    <w:jc w:val="center"/>
                  </w:pPr>
                  <w:r>
                    <w:t>危险源概况</w:t>
                  </w:r>
                </w:p>
              </w:tc>
              <w:tc>
                <w:tcPr>
                  <w:tcW w:w="3374" w:type="pct"/>
                  <w:tcBorders>
                    <w:tl2br w:val="nil"/>
                    <w:tr2bl w:val="nil"/>
                  </w:tcBorders>
                  <w:noWrap w:val="0"/>
                  <w:vAlign w:val="center"/>
                </w:tcPr>
                <w:p>
                  <w:pPr>
                    <w:jc w:val="center"/>
                  </w:pPr>
                  <w:r>
                    <w:t>详述危险源类型、数量及其分布</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3</w:t>
                  </w:r>
                </w:p>
              </w:tc>
              <w:tc>
                <w:tcPr>
                  <w:tcW w:w="1206" w:type="pct"/>
                  <w:tcBorders>
                    <w:tl2br w:val="nil"/>
                    <w:tr2bl w:val="nil"/>
                  </w:tcBorders>
                  <w:noWrap w:val="0"/>
                  <w:vAlign w:val="center"/>
                </w:tcPr>
                <w:p>
                  <w:pPr>
                    <w:jc w:val="center"/>
                  </w:pPr>
                  <w:r>
                    <w:t>应急组织</w:t>
                  </w:r>
                </w:p>
              </w:tc>
              <w:tc>
                <w:tcPr>
                  <w:tcW w:w="3374" w:type="pct"/>
                  <w:tcBorders>
                    <w:tl2br w:val="nil"/>
                    <w:tr2bl w:val="nil"/>
                  </w:tcBorders>
                  <w:noWrap w:val="0"/>
                  <w:vAlign w:val="center"/>
                </w:tcPr>
                <w:p>
                  <w:pPr>
                    <w:jc w:val="center"/>
                  </w:pPr>
                  <w:r>
                    <w:rPr>
                      <w:rFonts w:hint="eastAsia"/>
                      <w:lang w:eastAsia="zh-CN"/>
                    </w:rPr>
                    <w:t>建设单位</w:t>
                  </w:r>
                  <w:r>
                    <w:t>：指挥部</w:t>
                  </w:r>
                  <w:r>
                    <w:rPr>
                      <w:rFonts w:hint="eastAsia"/>
                      <w:lang w:eastAsia="zh-CN"/>
                    </w:rPr>
                    <w:t>－</w:t>
                  </w:r>
                  <w:r>
                    <w:t>负责现场全面指挥；</w:t>
                  </w:r>
                </w:p>
                <w:p>
                  <w:pPr>
                    <w:jc w:val="center"/>
                  </w:pPr>
                  <w:r>
                    <w:t>专业救援队伍</w:t>
                  </w:r>
                  <w:r>
                    <w:rPr>
                      <w:rFonts w:hint="eastAsia"/>
                      <w:lang w:eastAsia="zh-CN"/>
                    </w:rPr>
                    <w:t>－</w:t>
                  </w:r>
                  <w:r>
                    <w:t>负责事故控制、救援、善后处理；</w:t>
                  </w:r>
                </w:p>
                <w:p>
                  <w:pPr>
                    <w:jc w:val="center"/>
                  </w:pPr>
                  <w:r>
                    <w:t>地区：地区指挥部</w:t>
                  </w:r>
                  <w:r>
                    <w:rPr>
                      <w:rFonts w:hint="eastAsia"/>
                      <w:lang w:eastAsia="zh-CN"/>
                    </w:rPr>
                    <w:t>－</w:t>
                  </w:r>
                  <w:r>
                    <w:t>负责采油区各个危险源附近地区全面</w:t>
                  </w:r>
                  <w:r>
                    <w:rPr>
                      <w:rFonts w:hint="eastAsia"/>
                      <w:lang w:eastAsia="zh-CN"/>
                    </w:rPr>
                    <w:t>指挥</w:t>
                  </w:r>
                  <w:r>
                    <w:t>、救援、管制、疏散；</w:t>
                  </w:r>
                </w:p>
                <w:p>
                  <w:pPr>
                    <w:jc w:val="center"/>
                  </w:pPr>
                  <w:r>
                    <w:t>专业救援队伍</w:t>
                  </w:r>
                  <w:r>
                    <w:rPr>
                      <w:rFonts w:hint="eastAsia"/>
                      <w:lang w:eastAsia="zh-CN"/>
                    </w:rPr>
                    <w:t>－</w:t>
                  </w:r>
                  <w:r>
                    <w:t>负责对</w:t>
                  </w:r>
                  <w:r>
                    <w:rPr>
                      <w:rFonts w:hint="eastAsia"/>
                      <w:lang w:eastAsia="zh-CN"/>
                    </w:rPr>
                    <w:t>区域内</w:t>
                  </w:r>
                  <w:r>
                    <w:t>专业救援队伍的支援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4</w:t>
                  </w:r>
                </w:p>
              </w:tc>
              <w:tc>
                <w:tcPr>
                  <w:tcW w:w="1206" w:type="pct"/>
                  <w:tcBorders>
                    <w:tl2br w:val="nil"/>
                    <w:tr2bl w:val="nil"/>
                  </w:tcBorders>
                  <w:noWrap w:val="0"/>
                  <w:vAlign w:val="center"/>
                </w:tcPr>
                <w:p>
                  <w:pPr>
                    <w:jc w:val="center"/>
                  </w:pPr>
                  <w:r>
                    <w:t>应急状态分类及响应程序</w:t>
                  </w:r>
                </w:p>
              </w:tc>
              <w:tc>
                <w:tcPr>
                  <w:tcW w:w="3374" w:type="pct"/>
                  <w:tcBorders>
                    <w:tl2br w:val="nil"/>
                    <w:tr2bl w:val="nil"/>
                  </w:tcBorders>
                  <w:noWrap w:val="0"/>
                  <w:vAlign w:val="center"/>
                </w:tcPr>
                <w:p>
                  <w:pPr>
                    <w:jc w:val="center"/>
                  </w:pPr>
                  <w:r>
                    <w:t>规定事故的级别及相应的应急分类响应程序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1421" w:hRule="atLeast"/>
                <w:jc w:val="center"/>
              </w:trPr>
              <w:tc>
                <w:tcPr>
                  <w:tcW w:w="418" w:type="pct"/>
                  <w:tcBorders>
                    <w:tl2br w:val="nil"/>
                    <w:tr2bl w:val="nil"/>
                  </w:tcBorders>
                  <w:noWrap w:val="0"/>
                  <w:vAlign w:val="center"/>
                </w:tcPr>
                <w:p>
                  <w:pPr>
                    <w:jc w:val="center"/>
                  </w:pPr>
                  <w:r>
                    <w:t>5</w:t>
                  </w:r>
                </w:p>
              </w:tc>
              <w:tc>
                <w:tcPr>
                  <w:tcW w:w="1206" w:type="pct"/>
                  <w:tcBorders>
                    <w:tl2br w:val="nil"/>
                    <w:tr2bl w:val="nil"/>
                  </w:tcBorders>
                  <w:noWrap w:val="0"/>
                  <w:vAlign w:val="center"/>
                </w:tcPr>
                <w:p>
                  <w:pPr>
                    <w:jc w:val="center"/>
                  </w:pPr>
                  <w:r>
                    <w:t>应急设施，设备与材料</w:t>
                  </w:r>
                </w:p>
              </w:tc>
              <w:tc>
                <w:tcPr>
                  <w:tcW w:w="3374" w:type="pct"/>
                  <w:tcBorders>
                    <w:tl2br w:val="nil"/>
                    <w:tr2bl w:val="nil"/>
                  </w:tcBorders>
                  <w:noWrap w:val="0"/>
                  <w:vAlign w:val="center"/>
                </w:tcPr>
                <w:p>
                  <w:pPr>
                    <w:jc w:val="center"/>
                  </w:pPr>
                  <w:r>
                    <w:t>生产装置：防火灾、爆炸事故应急设施、设备与材料，主要为消防器材。防有毒有害物质外溢、扩散。</w:t>
                  </w:r>
                </w:p>
                <w:p>
                  <w:pPr>
                    <w:jc w:val="center"/>
                  </w:pPr>
                  <w:r>
                    <w:t>储存区：防火灾爆炸事故应急设施、设备与材料，主要为消防器材。防有毒有害物质外溢、扩散。按照要求设置相</w:t>
                  </w:r>
                </w:p>
                <w:p>
                  <w:pPr>
                    <w:jc w:val="center"/>
                  </w:pPr>
                  <w:r>
                    <w:t>应的</w:t>
                  </w:r>
                  <w:r>
                    <w:rPr>
                      <w:rFonts w:hint="eastAsia"/>
                      <w:lang w:eastAsia="zh-CN"/>
                    </w:rPr>
                    <w:t>防护</w:t>
                  </w:r>
                  <w:r>
                    <w:t>措施</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6</w:t>
                  </w:r>
                </w:p>
              </w:tc>
              <w:tc>
                <w:tcPr>
                  <w:tcW w:w="1206" w:type="pct"/>
                  <w:tcBorders>
                    <w:tl2br w:val="nil"/>
                    <w:tr2bl w:val="nil"/>
                  </w:tcBorders>
                  <w:noWrap w:val="0"/>
                  <w:vAlign w:val="center"/>
                </w:tcPr>
                <w:p>
                  <w:pPr>
                    <w:jc w:val="center"/>
                  </w:pPr>
                  <w:r>
                    <w:t>应急通讯、通知和交通</w:t>
                  </w:r>
                </w:p>
              </w:tc>
              <w:tc>
                <w:tcPr>
                  <w:tcW w:w="3374" w:type="pct"/>
                  <w:tcBorders>
                    <w:tl2br w:val="nil"/>
                    <w:tr2bl w:val="nil"/>
                  </w:tcBorders>
                  <w:noWrap w:val="0"/>
                  <w:vAlign w:val="center"/>
                </w:tcPr>
                <w:p>
                  <w:pPr>
                    <w:jc w:val="center"/>
                  </w:pPr>
                  <w:r>
                    <w:t>规定应急状态下的通讯方式、通知方式和交通保障、管制</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7</w:t>
                  </w:r>
                </w:p>
              </w:tc>
              <w:tc>
                <w:tcPr>
                  <w:tcW w:w="1206" w:type="pct"/>
                  <w:tcBorders>
                    <w:tl2br w:val="nil"/>
                    <w:tr2bl w:val="nil"/>
                  </w:tcBorders>
                  <w:noWrap w:val="0"/>
                  <w:vAlign w:val="center"/>
                </w:tcPr>
                <w:p>
                  <w:pPr>
                    <w:jc w:val="center"/>
                  </w:pPr>
                  <w:r>
                    <w:t>应急防护措施、消除泄漏措施方法和器材</w:t>
                  </w:r>
                </w:p>
              </w:tc>
              <w:tc>
                <w:tcPr>
                  <w:tcW w:w="3374" w:type="pct"/>
                  <w:tcBorders>
                    <w:tl2br w:val="nil"/>
                    <w:tr2bl w:val="nil"/>
                  </w:tcBorders>
                  <w:noWrap w:val="0"/>
                  <w:vAlign w:val="center"/>
                </w:tcPr>
                <w:p>
                  <w:pPr>
                    <w:jc w:val="center"/>
                  </w:pPr>
                  <w:r>
                    <w:t>事故现场：控制事故、防止扩大、</w:t>
                  </w:r>
                  <w:r>
                    <w:rPr>
                      <w:rFonts w:hint="eastAsia"/>
                      <w:lang w:eastAsia="zh-CN"/>
                    </w:rPr>
                    <w:t>蔓延</w:t>
                  </w:r>
                  <w:r>
                    <w:t>及</w:t>
                  </w:r>
                  <w:r>
                    <w:rPr>
                      <w:rFonts w:hint="eastAsia"/>
                      <w:lang w:eastAsia="zh-CN"/>
                    </w:rPr>
                    <w:t>连锁反应</w:t>
                  </w:r>
                  <w:r>
                    <w:t>。消除现场泄漏物，降低危害，相应的设施器材配备。</w:t>
                  </w:r>
                </w:p>
                <w:p>
                  <w:pPr>
                    <w:jc w:val="center"/>
                    <w:rPr>
                      <w:rFonts w:hint="eastAsia"/>
                    </w:rPr>
                  </w:pPr>
                  <w:r>
                    <w:t>邻近区域：控制火区域，控制和清除污染措施及相应设备配备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8</w:t>
                  </w:r>
                </w:p>
              </w:tc>
              <w:tc>
                <w:tcPr>
                  <w:tcW w:w="1206" w:type="pct"/>
                  <w:tcBorders>
                    <w:tl2br w:val="nil"/>
                    <w:tr2bl w:val="nil"/>
                  </w:tcBorders>
                  <w:noWrap w:val="0"/>
                  <w:vAlign w:val="center"/>
                </w:tcPr>
                <w:p>
                  <w:pPr>
                    <w:jc w:val="center"/>
                  </w:pPr>
                  <w:r>
                    <w:t>应急状态终止与恢复措施</w:t>
                  </w:r>
                </w:p>
              </w:tc>
              <w:tc>
                <w:tcPr>
                  <w:tcW w:w="3374" w:type="pct"/>
                  <w:tcBorders>
                    <w:tl2br w:val="nil"/>
                    <w:tr2bl w:val="nil"/>
                  </w:tcBorders>
                  <w:noWrap w:val="0"/>
                  <w:vAlign w:val="center"/>
                </w:tcPr>
                <w:p>
                  <w:pPr>
                    <w:jc w:val="center"/>
                  </w:pPr>
                  <w:r>
                    <w:t>规定应急状态终止程序。事故现场善后处理，恢复措施。</w:t>
                  </w:r>
                </w:p>
                <w:p>
                  <w:pPr>
                    <w:jc w:val="center"/>
                  </w:pPr>
                  <w:r>
                    <w:t>邻近区域解除事故警戒及善后恢复措施</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9</w:t>
                  </w:r>
                </w:p>
              </w:tc>
              <w:tc>
                <w:tcPr>
                  <w:tcW w:w="1206" w:type="pct"/>
                  <w:tcBorders>
                    <w:tl2br w:val="nil"/>
                    <w:tr2bl w:val="nil"/>
                  </w:tcBorders>
                  <w:noWrap w:val="0"/>
                  <w:vAlign w:val="center"/>
                </w:tcPr>
                <w:p>
                  <w:pPr>
                    <w:jc w:val="center"/>
                  </w:pPr>
                  <w:r>
                    <w:t>人员培训、演练</w:t>
                  </w:r>
                </w:p>
              </w:tc>
              <w:tc>
                <w:tcPr>
                  <w:tcW w:w="3374" w:type="pct"/>
                  <w:tcBorders>
                    <w:tl2br w:val="nil"/>
                    <w:tr2bl w:val="nil"/>
                  </w:tcBorders>
                  <w:noWrap w:val="0"/>
                  <w:vAlign w:val="center"/>
                </w:tcPr>
                <w:p>
                  <w:pPr>
                    <w:jc w:val="center"/>
                  </w:pPr>
                  <w:r>
                    <w:t>应急计划制定后，平时安排人员培训与演练</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10</w:t>
                  </w:r>
                </w:p>
              </w:tc>
              <w:tc>
                <w:tcPr>
                  <w:tcW w:w="1206" w:type="pct"/>
                  <w:tcBorders>
                    <w:tl2br w:val="nil"/>
                    <w:tr2bl w:val="nil"/>
                  </w:tcBorders>
                  <w:noWrap w:val="0"/>
                  <w:vAlign w:val="center"/>
                </w:tcPr>
                <w:p>
                  <w:pPr>
                    <w:jc w:val="center"/>
                  </w:pPr>
                  <w:r>
                    <w:t>记录和报告</w:t>
                  </w:r>
                </w:p>
              </w:tc>
              <w:tc>
                <w:tcPr>
                  <w:tcW w:w="3374" w:type="pct"/>
                  <w:tcBorders>
                    <w:tl2br w:val="nil"/>
                    <w:tr2bl w:val="nil"/>
                  </w:tcBorders>
                  <w:noWrap w:val="0"/>
                  <w:vAlign w:val="center"/>
                </w:tcPr>
                <w:p>
                  <w:pPr>
                    <w:jc w:val="center"/>
                  </w:pPr>
                  <w:r>
                    <w:t>设置应急事故专门记录，建档案和专门报告制度，设专门部门和负责管理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11</w:t>
                  </w:r>
                </w:p>
              </w:tc>
              <w:tc>
                <w:tcPr>
                  <w:tcW w:w="1206" w:type="pct"/>
                  <w:tcBorders>
                    <w:tl2br w:val="nil"/>
                    <w:tr2bl w:val="nil"/>
                  </w:tcBorders>
                  <w:noWrap w:val="0"/>
                  <w:vAlign w:val="center"/>
                </w:tcPr>
                <w:p>
                  <w:pPr>
                    <w:jc w:val="center"/>
                  </w:pPr>
                  <w:r>
                    <w:t>附件</w:t>
                  </w:r>
                </w:p>
              </w:tc>
              <w:tc>
                <w:tcPr>
                  <w:tcW w:w="3374" w:type="pct"/>
                  <w:tcBorders>
                    <w:tl2br w:val="nil"/>
                    <w:tr2bl w:val="nil"/>
                  </w:tcBorders>
                  <w:noWrap w:val="0"/>
                  <w:vAlign w:val="center"/>
                </w:tcPr>
                <w:p>
                  <w:pPr>
                    <w:jc w:val="center"/>
                  </w:pPr>
                  <w:r>
                    <w:t>与应急事故有关的多种附件材料的准备和形成</w:t>
                  </w:r>
                </w:p>
              </w:tc>
            </w:tr>
          </w:tbl>
          <w:p>
            <w:pPr>
              <w:pStyle w:val="10"/>
              <w:rPr>
                <w:rFonts w:hint="default" w:ascii="Times New Roman" w:hAnsi="Times New Roman" w:cs="Times New Roman"/>
                <w:lang w:val="en-US" w:eastAsia="zh-CN"/>
              </w:rPr>
            </w:pPr>
            <w:r>
              <w:rPr>
                <w:rFonts w:hint="default" w:ascii="Times New Roman" w:hAnsi="Times New Roman" w:cs="Times New Roman"/>
                <w:lang w:val="en-US" w:eastAsia="zh-CN"/>
              </w:rPr>
              <w:t>综上所述，本项目不含有毒有害及危险生产工艺，风险物质较少，主要环境风险为火灾风险及泄漏风险，营运期落实本报告提出的各项措施、建立和落实各项风险预警防范措施和事故应急计划，杜绝重大安全事故和重大环境污染事故的发生，可使项目建成后风险水平处于可接受程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sz w:val="24"/>
                <w:u w:val="none"/>
                <w:lang w:val="en-US" w:eastAsia="zh-CN"/>
              </w:rPr>
            </w:pPr>
            <w:r>
              <w:rPr>
                <w:rFonts w:hint="default" w:ascii="Times New Roman" w:hAnsi="Times New Roman" w:cs="Times New Roman"/>
                <w:b/>
                <w:sz w:val="24"/>
                <w:u w:val="none"/>
                <w:lang w:val="en-US" w:eastAsia="zh-CN"/>
              </w:rPr>
              <w:t>7</w:t>
            </w:r>
            <w:r>
              <w:rPr>
                <w:rFonts w:hint="default" w:ascii="Times New Roman" w:hAnsi="Times New Roman" w:eastAsia="宋体" w:cs="Times New Roman"/>
                <w:b/>
                <w:sz w:val="24"/>
                <w:u w:val="none"/>
                <w:lang w:val="en-US" w:eastAsia="zh-CN"/>
              </w:rPr>
              <w:t>、环保投资及竣工验收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本项目总投资</w:t>
            </w:r>
            <w:r>
              <w:rPr>
                <w:rFonts w:hint="eastAsia" w:cs="Times New Roman"/>
                <w:color w:val="auto"/>
                <w:sz w:val="24"/>
                <w:szCs w:val="24"/>
                <w:lang w:val="en-US" w:eastAsia="zh-CN"/>
              </w:rPr>
              <w:t>850</w:t>
            </w:r>
            <w:r>
              <w:rPr>
                <w:rFonts w:hint="default" w:ascii="Times New Roman" w:hAnsi="Times New Roman" w:eastAsia="宋体" w:cs="Times New Roman"/>
                <w:color w:val="auto"/>
                <w:sz w:val="24"/>
                <w:szCs w:val="24"/>
                <w:lang w:val="en-US" w:eastAsia="zh-CN"/>
              </w:rPr>
              <w:t>万元，其</w:t>
            </w:r>
            <w:r>
              <w:rPr>
                <w:rFonts w:hint="default" w:ascii="Times New Roman" w:hAnsi="Times New Roman" w:eastAsia="宋体" w:cs="Times New Roman"/>
                <w:color w:val="auto"/>
                <w:sz w:val="24"/>
                <w:szCs w:val="24"/>
                <w:highlight w:val="none"/>
                <w:lang w:val="en-US" w:eastAsia="zh-CN"/>
              </w:rPr>
              <w:t>中环保投资</w:t>
            </w:r>
            <w:r>
              <w:rPr>
                <w:rFonts w:hint="eastAsia"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lang w:val="en-US" w:eastAsia="zh-CN"/>
              </w:rPr>
              <w:t>万元，约占总投资的</w:t>
            </w:r>
            <w:r>
              <w:rPr>
                <w:rFonts w:hint="eastAsia" w:cs="Times New Roman"/>
                <w:color w:val="auto"/>
                <w:sz w:val="24"/>
                <w:szCs w:val="24"/>
                <w:highlight w:val="none"/>
                <w:lang w:val="en-US" w:eastAsia="zh-CN"/>
              </w:rPr>
              <w:t>4.12</w:t>
            </w:r>
            <w:r>
              <w:rPr>
                <w:rFonts w:hint="default" w:ascii="Times New Roman" w:hAnsi="Times New Roman" w:eastAsia="宋体" w:cs="Times New Roman"/>
                <w:color w:val="auto"/>
                <w:sz w:val="24"/>
                <w:szCs w:val="24"/>
                <w:highlight w:val="none"/>
                <w:lang w:val="en-US" w:eastAsia="zh-CN"/>
              </w:rPr>
              <w:t>%，环</w:t>
            </w:r>
            <w:r>
              <w:rPr>
                <w:rFonts w:hint="default" w:ascii="Times New Roman" w:hAnsi="Times New Roman" w:eastAsia="宋体" w:cs="Times New Roman"/>
                <w:color w:val="auto"/>
                <w:sz w:val="24"/>
                <w:szCs w:val="24"/>
                <w:lang w:val="en-US" w:eastAsia="zh-CN"/>
              </w:rPr>
              <w:t>保投资</w:t>
            </w:r>
            <w:r>
              <w:rPr>
                <w:rFonts w:hint="default" w:ascii="Times New Roman" w:hAnsi="Times New Roman" w:cs="Times New Roman"/>
                <w:color w:val="auto"/>
                <w:sz w:val="24"/>
                <w:szCs w:val="24"/>
                <w:lang w:val="en-US" w:eastAsia="zh-CN"/>
              </w:rPr>
              <w:t>一览表</w:t>
            </w:r>
            <w:r>
              <w:rPr>
                <w:rFonts w:hint="default" w:ascii="Times New Roman" w:hAnsi="Times New Roman" w:eastAsia="宋体" w:cs="Times New Roman"/>
                <w:color w:val="auto"/>
                <w:sz w:val="24"/>
                <w:szCs w:val="24"/>
                <w:lang w:val="en-US" w:eastAsia="zh-CN"/>
              </w:rPr>
              <w:t>见下表：</w:t>
            </w:r>
          </w:p>
          <w:p>
            <w:pPr>
              <w:pStyle w:val="44"/>
              <w:keepNext w:val="0"/>
              <w:keepLines w:val="0"/>
              <w:pageBreakBefore w:val="0"/>
              <w:widowControl w:val="0"/>
              <w:kinsoku/>
              <w:wordWrap/>
              <w:overflowPunct/>
              <w:topLinePunct w:val="0"/>
              <w:autoSpaceDE w:val="0"/>
              <w:autoSpaceDN w:val="0"/>
              <w:bidi w:val="0"/>
              <w:adjustRightInd w:val="0"/>
              <w:snapToGrid/>
              <w:spacing w:before="0" w:after="0" w:line="240" w:lineRule="auto"/>
              <w:jc w:val="right"/>
              <w:textAlignment w:val="auto"/>
              <w:rPr>
                <w:rFonts w:hint="default" w:ascii="Times New Roman" w:hAnsi="Times New Roman" w:eastAsia="宋体" w:cs="Times New Roman"/>
                <w:b/>
                <w:bCs/>
                <w:color w:val="auto"/>
                <w:lang w:val="en-US" w:eastAsia="zh-CN"/>
              </w:rPr>
            </w:pPr>
          </w:p>
          <w:p>
            <w:pPr>
              <w:pStyle w:val="44"/>
              <w:keepNext w:val="0"/>
              <w:keepLines w:val="0"/>
              <w:pageBreakBefore w:val="0"/>
              <w:widowControl w:val="0"/>
              <w:kinsoku/>
              <w:wordWrap/>
              <w:overflowPunct/>
              <w:topLinePunct w:val="0"/>
              <w:autoSpaceDE w:val="0"/>
              <w:autoSpaceDN w:val="0"/>
              <w:bidi w:val="0"/>
              <w:adjustRightInd w:val="0"/>
              <w:snapToGrid/>
              <w:spacing w:before="0" w:after="0" w:line="240" w:lineRule="auto"/>
              <w:jc w:val="righ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w:t>
            </w:r>
            <w:r>
              <w:rPr>
                <w:rFonts w:hint="default" w:ascii="Times New Roman" w:hAnsi="Times New Roman" w:cs="Times New Roman"/>
                <w:b/>
                <w:bCs/>
                <w:color w:val="auto"/>
                <w:lang w:val="en-US" w:eastAsia="zh-CN"/>
              </w:rPr>
              <w:t>4-</w:t>
            </w:r>
            <w:r>
              <w:rPr>
                <w:rFonts w:hint="eastAsia" w:ascii="Times New Roman" w:cs="Times New Roman"/>
                <w:b/>
                <w:bCs/>
                <w:color w:val="auto"/>
                <w:lang w:val="en-US" w:eastAsia="zh-CN"/>
              </w:rPr>
              <w:t>24</w:t>
            </w:r>
            <w:r>
              <w:rPr>
                <w:rFonts w:hint="default" w:ascii="Times New Roman" w:hAnsi="Times New Roman" w:eastAsia="宋体" w:cs="Times New Roman"/>
                <w:b/>
                <w:bCs/>
                <w:color w:val="auto"/>
                <w:lang w:val="en-US" w:eastAsia="zh-CN"/>
              </w:rPr>
              <w:t>运营期环保投资及竣工验收一览表</w:t>
            </w:r>
            <w:r>
              <w:rPr>
                <w:rFonts w:hint="default" w:ascii="Times New Roman" w:hAnsi="Times New Roman" w:cs="Times New Roman"/>
                <w:b/>
                <w:bCs/>
                <w:color w:val="auto"/>
                <w:lang w:val="en-US" w:eastAsia="zh-CN"/>
              </w:rPr>
              <w:t xml:space="preserve">            </w:t>
            </w:r>
            <w:r>
              <w:rPr>
                <w:rFonts w:hint="default" w:ascii="Times New Roman" w:hAnsi="Times New Roman" w:eastAsia="宋体" w:cs="Times New Roman"/>
                <w:b/>
                <w:bCs/>
                <w:color w:val="auto"/>
                <w:lang w:val="en-US" w:eastAsia="zh-CN"/>
              </w:rPr>
              <w:t>单位：万元</w:t>
            </w:r>
          </w:p>
          <w:tbl>
            <w:tblPr>
              <w:tblStyle w:val="24"/>
              <w:tblW w:w="493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205"/>
              <w:gridCol w:w="1192"/>
              <w:gridCol w:w="1179"/>
              <w:gridCol w:w="4110"/>
              <w:gridCol w:w="112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项目</w:t>
                  </w:r>
                </w:p>
              </w:tc>
              <w:tc>
                <w:tcPr>
                  <w:tcW w:w="64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污染源</w:t>
                  </w:r>
                </w:p>
              </w:tc>
              <w:tc>
                <w:tcPr>
                  <w:tcW w:w="63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污染因子</w:t>
                  </w:r>
                </w:p>
              </w:tc>
              <w:tc>
                <w:tcPr>
                  <w:tcW w:w="222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污染处理措施</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估算投资额（万元）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营运期</w:t>
                  </w:r>
                </w:p>
              </w:tc>
              <w:tc>
                <w:tcPr>
                  <w:tcW w:w="65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rPr>
                    <w:t>废气处理</w:t>
                  </w:r>
                </w:p>
              </w:tc>
              <w:tc>
                <w:tcPr>
                  <w:tcW w:w="6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lang w:val="en-US" w:eastAsia="zh-CN"/>
                    </w:rPr>
                    <w:t>切割、焊接抛光以及</w:t>
                  </w:r>
                  <w:r>
                    <w:rPr>
                      <w:rFonts w:hint="eastAsia" w:cs="Times New Roman"/>
                      <w:kern w:val="2"/>
                      <w:sz w:val="21"/>
                      <w:szCs w:val="24"/>
                      <w:lang w:val="en-US" w:eastAsia="zh-CN" w:bidi="ar-SA"/>
                    </w:rPr>
                    <w:t>喷塑工序废气</w:t>
                  </w:r>
                </w:p>
              </w:tc>
              <w:tc>
                <w:tcPr>
                  <w:tcW w:w="6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颗粒物</w:t>
                  </w:r>
                </w:p>
              </w:tc>
              <w:tc>
                <w:tcPr>
                  <w:tcW w:w="2223"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本项目针对切割、焊接抛光以及喷塑工序工位安装集气系统收集，将废气通过管道排入废气处理系统（袋式除尘器）处理，最终经15m排气筒P1（DA001）达标排放。</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eastAsia" w:cs="Times New Roman"/>
                      <w:color w:val="000000"/>
                      <w:sz w:val="21"/>
                      <w:lang w:val="en-US" w:eastAsia="zh-CN"/>
                    </w:rPr>
                    <w:t>15.0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6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p>
              </w:tc>
              <w:tc>
                <w:tcPr>
                  <w:tcW w:w="645"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烘烤废气（有机废气）</w:t>
                  </w:r>
                </w:p>
              </w:tc>
              <w:tc>
                <w:tcPr>
                  <w:tcW w:w="6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lang w:val="en-US" w:eastAsia="zh-CN"/>
                    </w:rPr>
                  </w:pPr>
                  <w:r>
                    <w:rPr>
                      <w:rFonts w:hint="eastAsia"/>
                      <w:lang w:val="en-US" w:eastAsia="zh-CN"/>
                    </w:rPr>
                    <w:t>非甲烷总烃</w:t>
                  </w:r>
                </w:p>
              </w:tc>
              <w:tc>
                <w:tcPr>
                  <w:tcW w:w="22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lang w:val="en-US" w:eastAsia="zh-CN"/>
                    </w:rPr>
                  </w:pPr>
                  <w:r>
                    <w:rPr>
                      <w:rFonts w:hint="eastAsia"/>
                      <w:lang w:val="en-US" w:eastAsia="zh-CN"/>
                    </w:rPr>
                    <w:t>本项目在密闭烘烤房上方配备集气系统收集；最终将废气引入1套“</w:t>
                  </w:r>
                  <w:r>
                    <w:rPr>
                      <w:rFonts w:hint="eastAsia" w:ascii="Times New Roman" w:hAnsi="Times New Roman" w:cs="Times New Roman"/>
                      <w:b w:val="0"/>
                      <w:bCs w:val="0"/>
                      <w:color w:val="000000"/>
                      <w:szCs w:val="21"/>
                      <w:u w:val="none"/>
                      <w:lang w:val="en-US" w:eastAsia="zh-CN"/>
                    </w:rPr>
                    <w:t>UV光催化氧化+活性炭吸附</w:t>
                  </w:r>
                  <w:r>
                    <w:rPr>
                      <w:rFonts w:hint="eastAsia"/>
                      <w:lang w:val="en-US" w:eastAsia="zh-CN"/>
                    </w:rPr>
                    <w:t>”</w:t>
                  </w:r>
                  <w:r>
                    <w:rPr>
                      <w:rFonts w:hint="eastAsia" w:ascii="Times New Roman" w:hAnsi="Times New Roman" w:cs="Times New Roman"/>
                      <w:b w:val="0"/>
                      <w:bCs w:val="0"/>
                      <w:color w:val="000000"/>
                      <w:szCs w:val="21"/>
                      <w:u w:val="none"/>
                      <w:lang w:val="en-US" w:eastAsia="zh-CN"/>
                    </w:rPr>
                    <w:t>装置处理后通过1根15m排气筒（DA002）排放</w:t>
                  </w:r>
                  <w:r>
                    <w:rPr>
                      <w:rFonts w:hint="eastAsia"/>
                      <w:lang w:val="en-US" w:eastAsia="zh-CN"/>
                    </w:rPr>
                    <w:t>。</w:t>
                  </w:r>
                </w:p>
              </w:tc>
              <w:tc>
                <w:tcPr>
                  <w:tcW w:w="61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eastAsia" w:cs="Times New Roman"/>
                      <w:color w:val="000000"/>
                      <w:sz w:val="21"/>
                      <w:lang w:val="en-US" w:eastAsia="zh-CN"/>
                    </w:rPr>
                    <w:t>8.0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6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p>
              </w:tc>
              <w:tc>
                <w:tcPr>
                  <w:tcW w:w="645"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烘烤燃烧废气</w:t>
                  </w:r>
                </w:p>
              </w:tc>
              <w:tc>
                <w:tcPr>
                  <w:tcW w:w="6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lang w:val="en-US" w:eastAsia="zh-CN" w:bidi="ar-SA"/>
                    </w:rPr>
                  </w:pPr>
                  <w:r>
                    <w:rPr>
                      <w:rFonts w:hint="eastAsia" w:cs="Times New Roman"/>
                      <w:color w:val="000000"/>
                      <w:kern w:val="2"/>
                      <w:sz w:val="21"/>
                      <w:szCs w:val="24"/>
                      <w:lang w:val="en-US" w:eastAsia="zh-CN" w:bidi="ar-SA"/>
                    </w:rPr>
                    <w:t>SO</w:t>
                  </w:r>
                  <w:r>
                    <w:rPr>
                      <w:rFonts w:hint="eastAsia" w:cs="Times New Roman"/>
                      <w:color w:val="000000"/>
                      <w:kern w:val="2"/>
                      <w:sz w:val="21"/>
                      <w:szCs w:val="24"/>
                      <w:vertAlign w:val="subscript"/>
                      <w:lang w:val="en-US" w:eastAsia="zh-CN" w:bidi="ar-SA"/>
                    </w:rPr>
                    <w:t>2</w:t>
                  </w:r>
                  <w:r>
                    <w:rPr>
                      <w:rFonts w:hint="eastAsia" w:cs="Times New Roman"/>
                      <w:color w:val="000000"/>
                      <w:kern w:val="2"/>
                      <w:sz w:val="21"/>
                      <w:szCs w:val="24"/>
                      <w:lang w:val="en-US" w:eastAsia="zh-CN" w:bidi="ar-SA"/>
                    </w:rPr>
                    <w:t>、NOx、颗粒物</w:t>
                  </w:r>
                </w:p>
              </w:tc>
              <w:tc>
                <w:tcPr>
                  <w:tcW w:w="22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lang w:val="en-US" w:eastAsia="zh-CN"/>
                    </w:rPr>
                  </w:pPr>
                  <w:r>
                    <w:rPr>
                      <w:rFonts w:hint="eastAsia"/>
                      <w:lang w:val="en-US" w:eastAsia="zh-CN"/>
                    </w:rPr>
                    <w:t>因此本项目烘烤燃烧废气与烘烤废气（有机废气）共同经1套“</w:t>
                  </w:r>
                  <w:r>
                    <w:rPr>
                      <w:rFonts w:hint="eastAsia" w:ascii="Times New Roman" w:hAnsi="Times New Roman" w:cs="Times New Roman"/>
                      <w:b w:val="0"/>
                      <w:bCs w:val="0"/>
                      <w:color w:val="000000"/>
                      <w:szCs w:val="21"/>
                      <w:u w:val="none"/>
                      <w:lang w:val="en-US" w:eastAsia="zh-CN"/>
                    </w:rPr>
                    <w:t>UV光催化氧化+活性炭吸附</w:t>
                  </w:r>
                  <w:r>
                    <w:rPr>
                      <w:rFonts w:hint="eastAsia"/>
                      <w:lang w:val="en-US" w:eastAsia="zh-CN"/>
                    </w:rPr>
                    <w:t>”</w:t>
                  </w:r>
                  <w:r>
                    <w:rPr>
                      <w:rFonts w:hint="eastAsia" w:ascii="Times New Roman" w:hAnsi="Times New Roman" w:cs="Times New Roman"/>
                      <w:b w:val="0"/>
                      <w:bCs w:val="0"/>
                      <w:color w:val="000000"/>
                      <w:szCs w:val="21"/>
                      <w:u w:val="none"/>
                      <w:lang w:val="en-US" w:eastAsia="zh-CN"/>
                    </w:rPr>
                    <w:t>装置处理后通过1根15m排气筒（DA002）排放。</w:t>
                  </w:r>
                </w:p>
              </w:tc>
              <w:tc>
                <w:tcPr>
                  <w:tcW w:w="6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废水处理</w:t>
                  </w:r>
                </w:p>
              </w:tc>
              <w:tc>
                <w:tcPr>
                  <w:tcW w:w="64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sz w:val="21"/>
                    </w:rPr>
                    <w:t>生活废水</w:t>
                  </w:r>
                </w:p>
              </w:tc>
              <w:tc>
                <w:tcPr>
                  <w:tcW w:w="63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auto"/>
                      <w:sz w:val="21"/>
                      <w:szCs w:val="21"/>
                      <w:vertAlign w:val="baseline"/>
                    </w:rPr>
                    <w:t>COD、SS</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sz w:val="21"/>
                      <w:szCs w:val="21"/>
                      <w:lang w:eastAsia="zh-CN"/>
                    </w:rPr>
                    <w:t>NH</w:t>
                  </w:r>
                  <w:r>
                    <w:rPr>
                      <w:rFonts w:hint="default" w:ascii="Times New Roman" w:hAnsi="Times New Roman" w:eastAsia="宋体" w:cs="Times New Roman"/>
                      <w:sz w:val="21"/>
                      <w:szCs w:val="21"/>
                      <w:vertAlign w:val="subscript"/>
                      <w:lang w:eastAsia="zh-CN"/>
                    </w:rPr>
                    <w:t>3</w:t>
                  </w:r>
                  <w:r>
                    <w:rPr>
                      <w:rFonts w:hint="default" w:ascii="Times New Roman" w:hAnsi="Times New Roman" w:cs="Times New Roman"/>
                      <w:sz w:val="21"/>
                      <w:szCs w:val="21"/>
                      <w:lang w:eastAsia="zh-CN"/>
                    </w:rPr>
                    <w:t>-N</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val="en-US" w:eastAsia="zh-CN"/>
                    </w:rPr>
                    <w:t>BOD</w:t>
                  </w:r>
                  <w:r>
                    <w:rPr>
                      <w:rFonts w:hint="default" w:ascii="Times New Roman" w:hAnsi="Times New Roman" w:cs="Times New Roman"/>
                      <w:color w:val="auto"/>
                      <w:sz w:val="21"/>
                      <w:szCs w:val="21"/>
                      <w:vertAlign w:val="subscript"/>
                      <w:lang w:val="en-US" w:eastAsia="zh-CN"/>
                    </w:rPr>
                    <w:t>5</w:t>
                  </w:r>
                </w:p>
              </w:tc>
              <w:tc>
                <w:tcPr>
                  <w:tcW w:w="222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lang w:val="en-US" w:eastAsia="zh-CN"/>
                    </w:rPr>
                    <w:t>生活污水经化粪池收集后可直接进入</w:t>
                  </w:r>
                  <w:r>
                    <w:rPr>
                      <w:rFonts w:hint="default" w:ascii="Times New Roman" w:hAnsi="Times New Roman" w:cs="Times New Roman"/>
                      <w:lang w:val="en-US" w:eastAsia="zh-CN"/>
                    </w:rPr>
                    <w:t>集聚区</w:t>
                  </w:r>
                  <w:r>
                    <w:rPr>
                      <w:rFonts w:hint="default" w:ascii="Times New Roman" w:hAnsi="Times New Roman" w:eastAsia="宋体" w:cs="Times New Roman"/>
                      <w:lang w:val="en-US" w:eastAsia="zh-CN"/>
                    </w:rPr>
                    <w:t>污水管网，最终进入</w:t>
                  </w:r>
                  <w:r>
                    <w:rPr>
                      <w:rFonts w:hint="eastAsia" w:cs="Times New Roman"/>
                      <w:lang w:val="en-US" w:eastAsia="zh-CN"/>
                    </w:rPr>
                    <w:t>鲁山县</w:t>
                  </w:r>
                  <w:r>
                    <w:rPr>
                      <w:rFonts w:hint="default" w:ascii="Times New Roman" w:hAnsi="Times New Roman" w:cs="Times New Roman"/>
                      <w:lang w:val="en-US" w:eastAsia="zh-CN"/>
                    </w:rPr>
                    <w:t>产业集聚区污水处理厂</w:t>
                  </w:r>
                  <w:r>
                    <w:rPr>
                      <w:rFonts w:hint="default" w:ascii="Times New Roman" w:hAnsi="Times New Roman" w:eastAsia="宋体" w:cs="Times New Roman"/>
                      <w:lang w:val="en-US" w:eastAsia="zh-CN"/>
                    </w:rPr>
                    <w:t>进行</w:t>
                  </w:r>
                  <w:r>
                    <w:rPr>
                      <w:rFonts w:hint="eastAsia" w:ascii="Times New Roman" w:hAnsi="Times New Roman" w:cs="Times New Roman"/>
                      <w:lang w:val="en-US" w:eastAsia="zh-CN"/>
                    </w:rPr>
                    <w:t>达标</w:t>
                  </w:r>
                  <w:r>
                    <w:rPr>
                      <w:rFonts w:hint="default" w:ascii="Times New Roman" w:hAnsi="Times New Roman" w:eastAsia="宋体" w:cs="Times New Roman"/>
                      <w:lang w:val="en-US" w:eastAsia="zh-CN"/>
                    </w:rPr>
                    <w:t>处理</w:t>
                  </w:r>
                  <w:r>
                    <w:rPr>
                      <w:rFonts w:hint="eastAsia" w:cs="Times New Roman"/>
                      <w:lang w:val="en-US" w:eastAsia="zh-CN"/>
                    </w:rPr>
                    <w:t>，最终中水全部回用</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sz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噪声处理</w:t>
                  </w:r>
                </w:p>
              </w:tc>
              <w:tc>
                <w:tcPr>
                  <w:tcW w:w="64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生产设备运行产生的噪声和车辆运输噪声</w:t>
                  </w:r>
                </w:p>
              </w:tc>
              <w:tc>
                <w:tcPr>
                  <w:tcW w:w="63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噪声</w:t>
                  </w:r>
                </w:p>
              </w:tc>
              <w:tc>
                <w:tcPr>
                  <w:tcW w:w="222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rPr>
                    <w:t>采用低噪声生产工艺及设备</w:t>
                  </w:r>
                  <w:r>
                    <w:rPr>
                      <w:rFonts w:hint="default" w:ascii="Times New Roman" w:hAnsi="Times New Roman" w:cs="Times New Roman"/>
                      <w:lang w:eastAsia="zh-CN"/>
                    </w:rPr>
                    <w:t>，</w:t>
                  </w:r>
                  <w:r>
                    <w:rPr>
                      <w:rFonts w:hint="default" w:ascii="Times New Roman" w:hAnsi="Times New Roman" w:cs="Times New Roman"/>
                      <w:lang w:val="en-US" w:eastAsia="zh-CN"/>
                    </w:rPr>
                    <w:t>并定期维护、保养设备和车辆</w:t>
                  </w:r>
                  <w:r>
                    <w:rPr>
                      <w:rFonts w:hint="default" w:ascii="Times New Roman" w:hAnsi="Times New Roman" w:cs="Times New Roman"/>
                    </w:rPr>
                    <w:t>；使用低噪声设备、基础减振</w:t>
                  </w:r>
                  <w:r>
                    <w:rPr>
                      <w:rFonts w:hint="default" w:ascii="Times New Roman" w:hAnsi="Times New Roman" w:cs="Times New Roman"/>
                      <w:lang w:val="en-US" w:eastAsia="zh-CN"/>
                    </w:rPr>
                    <w:t>以及</w:t>
                  </w:r>
                  <w:r>
                    <w:rPr>
                      <w:rFonts w:hint="default" w:ascii="Times New Roman" w:hAnsi="Times New Roman" w:cs="Times New Roman"/>
                    </w:rPr>
                    <w:t>厂房隔声等措施，降低噪声强度</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65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固废处理</w:t>
                  </w:r>
                </w:p>
              </w:tc>
              <w:tc>
                <w:tcPr>
                  <w:tcW w:w="1283"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危险废物</w:t>
                  </w:r>
                </w:p>
              </w:tc>
              <w:tc>
                <w:tcPr>
                  <w:tcW w:w="222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eastAsia="zh-CN"/>
                    </w:rPr>
                  </w:pPr>
                  <w:r>
                    <w:rPr>
                      <w:rFonts w:hint="default" w:ascii="Times New Roman" w:hAnsi="Times New Roman" w:cs="Times New Roman"/>
                      <w:color w:val="auto"/>
                      <w:lang w:val="en-US" w:eastAsia="zh-CN"/>
                    </w:rPr>
                    <w:t>生产过程中产生的危险废物主要包括废活性炭、设备保养产生的废机油</w:t>
                  </w:r>
                  <w:r>
                    <w:rPr>
                      <w:rFonts w:hint="eastAsia" w:cs="Times New Roman"/>
                      <w:color w:val="auto"/>
                      <w:lang w:val="en-US" w:eastAsia="zh-CN"/>
                    </w:rPr>
                    <w:t>、废润滑油、废UV灯管</w:t>
                  </w:r>
                  <w:r>
                    <w:rPr>
                      <w:rFonts w:hint="default" w:ascii="Times New Roman" w:hAnsi="Times New Roman" w:cs="Times New Roman"/>
                      <w:color w:val="auto"/>
                      <w:lang w:val="en-US" w:eastAsia="zh-CN"/>
                    </w:rPr>
                    <w:t>以及废催化</w:t>
                  </w:r>
                  <w:r>
                    <w:rPr>
                      <w:rFonts w:hint="eastAsia" w:cs="Times New Roman"/>
                      <w:color w:val="auto"/>
                      <w:lang w:val="en-US" w:eastAsia="zh-CN"/>
                    </w:rPr>
                    <w:t>板</w:t>
                  </w:r>
                  <w:r>
                    <w:rPr>
                      <w:rFonts w:hint="default" w:ascii="Times New Roman" w:hAnsi="Times New Roman" w:cs="Times New Roman"/>
                      <w:color w:val="auto"/>
                      <w:lang w:val="en-US" w:eastAsia="zh-CN"/>
                    </w:rPr>
                    <w:t>。针对生产过程中产生的危险废物本项目主要将其暂存于</w:t>
                  </w:r>
                  <w:r>
                    <w:rPr>
                      <w:rFonts w:hint="eastAsia" w:cs="Times New Roman"/>
                      <w:color w:val="auto"/>
                      <w:lang w:val="en-US" w:eastAsia="zh-CN"/>
                    </w:rPr>
                    <w:t>1座1</w:t>
                  </w:r>
                  <w:r>
                    <w:rPr>
                      <w:rFonts w:hint="default" w:ascii="Times New Roman" w:hAnsi="Times New Roman" w:cs="Times New Roman"/>
                      <w:color w:val="auto"/>
                      <w:lang w:val="en-US" w:eastAsia="zh-CN"/>
                    </w:rPr>
                    <w:t>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危废暂存间，定期交由具有危废资质单位处置。危废暂存间符合《危险废物贮存污染控制标准》（GB18597-20</w:t>
                  </w:r>
                  <w:r>
                    <w:rPr>
                      <w:rFonts w:hint="eastAsia" w:cs="Times New Roman"/>
                      <w:color w:val="auto"/>
                      <w:lang w:val="en-US" w:eastAsia="zh-CN"/>
                    </w:rPr>
                    <w:t>23</w:t>
                  </w:r>
                  <w:r>
                    <w:rPr>
                      <w:rFonts w:hint="default" w:ascii="Times New Roman" w:hAnsi="Times New Roman" w:cs="Times New Roman"/>
                      <w:color w:val="auto"/>
                      <w:lang w:val="en-US" w:eastAsia="zh-CN"/>
                    </w:rPr>
                    <w:t>）</w:t>
                  </w:r>
                  <w:r>
                    <w:rPr>
                      <w:rFonts w:hint="eastAsia" w:cs="Times New Roman"/>
                      <w:color w:val="auto"/>
                      <w:lang w:val="en-US" w:eastAsia="zh-CN"/>
                    </w:rPr>
                    <w:t>。</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eastAsia" w:cs="Times New Roman"/>
                      <w:color w:val="000000"/>
                      <w:sz w:val="21"/>
                      <w:lang w:val="en-US" w:eastAsia="zh-CN"/>
                    </w:rPr>
                    <w:t>4</w:t>
                  </w:r>
                  <w:r>
                    <w:rPr>
                      <w:rFonts w:hint="default" w:ascii="Times New Roman" w:hAnsi="Times New Roman" w:cs="Times New Roman"/>
                      <w:color w:val="000000"/>
                      <w:sz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65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1283"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lang w:val="en-US" w:eastAsia="zh-CN"/>
                    </w:rPr>
                    <w:t>一般固体废物</w:t>
                  </w:r>
                </w:p>
              </w:tc>
              <w:tc>
                <w:tcPr>
                  <w:tcW w:w="222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eastAsia="zh-CN"/>
                    </w:rPr>
                  </w:pPr>
                  <w:r>
                    <w:rPr>
                      <w:rFonts w:hint="eastAsia"/>
                      <w:color w:val="auto"/>
                      <w:lang w:val="en-US" w:eastAsia="zh-CN"/>
                    </w:rPr>
                    <w:t>生活垃圾：在厂区设置生活垃圾桶，定期交由当地环卫部门清运；废边角料、袋式除尘器收集尘</w:t>
                  </w:r>
                  <w:r>
                    <w:rPr>
                      <w:rFonts w:hint="eastAsia" w:cs="Times New Roman"/>
                      <w:color w:val="auto"/>
                      <w:sz w:val="21"/>
                      <w:szCs w:val="21"/>
                      <w:lang w:val="en-US" w:eastAsia="zh-CN"/>
                    </w:rPr>
                    <w:t>收集后定期外售；</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lang w:val="en-US" w:eastAsia="zh-CN"/>
                    </w:rPr>
                  </w:pPr>
                  <w:r>
                    <w:rPr>
                      <w:rFonts w:hint="default" w:ascii="Times New Roman" w:hAnsi="Times New Roman" w:cs="Times New Roman"/>
                      <w:color w:val="000000"/>
                      <w:sz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环境风险</w:t>
                  </w:r>
                </w:p>
              </w:tc>
              <w:tc>
                <w:tcPr>
                  <w:tcW w:w="3507"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cs="Times New Roman"/>
                    </w:rPr>
                    <w:t>救护带、灭火器、消防沙</w:t>
                  </w:r>
                  <w:r>
                    <w:rPr>
                      <w:rFonts w:hint="eastAsia" w:cs="Times New Roman"/>
                      <w:lang w:val="en-US" w:eastAsia="zh-CN"/>
                    </w:rPr>
                    <w:t>以及活性炭</w:t>
                  </w:r>
                  <w:r>
                    <w:rPr>
                      <w:rFonts w:hint="default" w:ascii="Times New Roman" w:hAnsi="Times New Roman" w:cs="Times New Roman"/>
                    </w:rPr>
                    <w:t>等</w:t>
                  </w:r>
                  <w:r>
                    <w:rPr>
                      <w:rFonts w:hint="eastAsia" w:cs="Times New Roman"/>
                      <w:lang w:val="en-US" w:eastAsia="zh-CN"/>
                    </w:rPr>
                    <w:t>应急物资，在天然气储罐区</w:t>
                  </w:r>
                  <w:r>
                    <w:rPr>
                      <w:rFonts w:hint="eastAsia" w:cs="Times New Roman"/>
                      <w:sz w:val="21"/>
                      <w:szCs w:val="21"/>
                      <w:u w:val="none"/>
                      <w:lang w:val="en-US" w:eastAsia="zh-CN"/>
                    </w:rPr>
                    <w:t>并安装天然气报警装置。</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lang w:val="en-US" w:eastAsia="zh-CN"/>
                    </w:rPr>
                  </w:pPr>
                  <w:r>
                    <w:rPr>
                      <w:rFonts w:hint="default" w:ascii="Times New Roman" w:hAnsi="Times New Roman" w:cs="Times New Roman"/>
                      <w:color w:val="000000"/>
                      <w:sz w:val="21"/>
                      <w:lang w:val="en-US" w:eastAsia="zh-CN"/>
                    </w:rPr>
                    <w:t>2.0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89" w:type="pct"/>
                  <w:gridSpan w:val="5"/>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合计</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eastAsia" w:cs="Times New Roman"/>
                      <w:color w:val="000000"/>
                      <w:sz w:val="21"/>
                      <w:lang w:val="en-US" w:eastAsia="zh-CN"/>
                    </w:rPr>
                    <w:t>35</w:t>
                  </w:r>
                </w:p>
              </w:tc>
            </w:tr>
          </w:tbl>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z w:val="24"/>
                <w:u w:val="none"/>
                <w:vertAlign w:val="baseline"/>
                <w:lang w:val="en-US" w:eastAsia="zh-CN"/>
              </w:rPr>
            </w:pPr>
          </w:p>
        </w:tc>
      </w:tr>
    </w:tbl>
    <w:p>
      <w:pPr>
        <w:rPr>
          <w:rFonts w:hint="eastAsia"/>
        </w:rPr>
        <w:sectPr>
          <w:pgSz w:w="11907" w:h="16840"/>
          <w:pgMar w:top="1440" w:right="1080" w:bottom="1440" w:left="1080" w:header="851" w:footer="964" w:gutter="0"/>
          <w:pgBorders>
            <w:top w:val="none" w:sz="0" w:space="0"/>
            <w:left w:val="none" w:sz="0" w:space="0"/>
            <w:bottom w:val="none" w:sz="0" w:space="0"/>
            <w:right w:val="none" w:sz="0" w:space="0"/>
          </w:pgBorders>
          <w:pgNumType w:fmt="decimal"/>
          <w:cols w:space="720" w:num="1"/>
          <w:docGrid w:linePitch="312" w:charSpace="0"/>
        </w:sectPr>
      </w:pP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宋体" w:hAnsi="宋体" w:eastAsia="宋体" w:cs="宋体"/>
          <w:b/>
          <w:bCs/>
          <w:snapToGrid w:val="0"/>
          <w:sz w:val="30"/>
          <w:szCs w:val="30"/>
        </w:rPr>
      </w:pPr>
      <w:r>
        <w:rPr>
          <w:rFonts w:hint="eastAsia" w:ascii="宋体" w:hAnsi="宋体" w:eastAsia="宋体" w:cs="宋体"/>
          <w:b/>
          <w:bCs/>
          <w:snapToGrid w:val="0"/>
          <w:sz w:val="30"/>
          <w:szCs w:val="30"/>
        </w:rPr>
        <w:t>五、</w:t>
      </w:r>
      <w:bookmarkStart w:id="2" w:name="_Hlk54167917"/>
      <w:r>
        <w:rPr>
          <w:rFonts w:hint="eastAsia" w:ascii="宋体" w:hAnsi="宋体" w:eastAsia="宋体" w:cs="宋体"/>
          <w:b/>
          <w:bCs/>
          <w:snapToGrid w:val="0"/>
          <w:sz w:val="30"/>
          <w:szCs w:val="30"/>
        </w:rPr>
        <w:t>环境保护措施监督检查清单</w:t>
      </w:r>
      <w:bookmarkEnd w:id="2"/>
    </w:p>
    <w:tbl>
      <w:tblPr>
        <w:tblStyle w:val="24"/>
        <w:tblW w:w="53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735"/>
        <w:gridCol w:w="1607"/>
        <w:gridCol w:w="1378"/>
        <w:gridCol w:w="5340"/>
        <w:gridCol w:w="46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51" w:type="dxa"/>
            <w:gridSpan w:val="2"/>
            <w:tcBorders>
              <w:tl2br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360" w:lineRule="exact"/>
              <w:ind w:firstLine="840"/>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内容</w:t>
            </w:r>
          </w:p>
          <w:p>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要素</w:t>
            </w:r>
          </w:p>
        </w:tc>
        <w:tc>
          <w:tcPr>
            <w:tcW w:w="1607"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排放口</w:t>
            </w:r>
            <w:r>
              <w:rPr>
                <w:rFonts w:hint="eastAsia" w:cs="Times New Roman"/>
                <w:b/>
                <w:bCs/>
                <w:sz w:val="21"/>
                <w:szCs w:val="21"/>
                <w:u w:val="none"/>
                <w:lang w:eastAsia="zh-CN"/>
              </w:rPr>
              <w:t>（</w:t>
            </w:r>
            <w:r>
              <w:rPr>
                <w:rFonts w:hint="default" w:ascii="Times New Roman" w:hAnsi="Times New Roman" w:cs="Times New Roman"/>
                <w:b/>
                <w:bCs/>
                <w:sz w:val="21"/>
                <w:szCs w:val="21"/>
                <w:u w:val="none"/>
              </w:rPr>
              <w:t>编号、</w:t>
            </w:r>
          </w:p>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名称</w:t>
            </w:r>
            <w:r>
              <w:rPr>
                <w:rFonts w:hint="eastAsia" w:cs="Times New Roman"/>
                <w:b/>
                <w:bCs/>
                <w:sz w:val="21"/>
                <w:szCs w:val="21"/>
                <w:u w:val="none"/>
                <w:lang w:eastAsia="zh-CN"/>
              </w:rPr>
              <w:t>）</w:t>
            </w:r>
            <w:r>
              <w:rPr>
                <w:rFonts w:hint="default" w:ascii="Times New Roman" w:hAnsi="Times New Roman" w:cs="Times New Roman"/>
                <w:b/>
                <w:bCs/>
                <w:sz w:val="21"/>
                <w:szCs w:val="21"/>
                <w:u w:val="none"/>
              </w:rPr>
              <w:t>/污染源</w:t>
            </w:r>
          </w:p>
        </w:tc>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污染物项目</w:t>
            </w:r>
          </w:p>
        </w:tc>
        <w:tc>
          <w:tcPr>
            <w:tcW w:w="5340"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环境保护措施</w:t>
            </w:r>
          </w:p>
        </w:tc>
        <w:tc>
          <w:tcPr>
            <w:tcW w:w="464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31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none"/>
              </w:rPr>
            </w:pPr>
            <w:r>
              <w:rPr>
                <w:rFonts w:hint="default" w:ascii="Times New Roman" w:hAnsi="Times New Roman" w:cs="Times New Roman"/>
                <w:b/>
                <w:bCs/>
                <w:sz w:val="21"/>
                <w:szCs w:val="21"/>
                <w:u w:val="none"/>
              </w:rPr>
              <w:t>大气环境</w:t>
            </w:r>
          </w:p>
        </w:tc>
        <w:tc>
          <w:tcPr>
            <w:tcW w:w="73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有组织废气</w:t>
            </w:r>
          </w:p>
        </w:tc>
        <w:tc>
          <w:tcPr>
            <w:tcW w:w="1607" w:type="dxa"/>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lang w:val="en-US" w:eastAsia="zh-CN"/>
              </w:rPr>
              <w:t>切割、焊接抛光以及</w:t>
            </w:r>
            <w:r>
              <w:rPr>
                <w:rFonts w:hint="eastAsia" w:cs="Times New Roman"/>
                <w:kern w:val="2"/>
                <w:sz w:val="21"/>
                <w:szCs w:val="24"/>
                <w:lang w:val="en-US" w:eastAsia="zh-CN" w:bidi="ar-SA"/>
              </w:rPr>
              <w:t>喷塑工序废气</w:t>
            </w:r>
          </w:p>
        </w:tc>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颗粒物</w:t>
            </w:r>
          </w:p>
        </w:tc>
        <w:tc>
          <w:tcPr>
            <w:tcW w:w="5340" w:type="dxa"/>
            <w:noWrap w:val="0"/>
            <w:vAlign w:val="center"/>
          </w:tcPr>
          <w:p>
            <w:pPr>
              <w:pStyle w:val="10"/>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本项目针对切割、焊接抛光以及喷塑工序工位安装全密闭集气系统收集，将废气通过管道排入废气处理系统（袋式除尘器）处理，最终经15m排气筒P1（DA001）达标排放。</w:t>
            </w:r>
          </w:p>
        </w:tc>
        <w:tc>
          <w:tcPr>
            <w:tcW w:w="464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both"/>
              <w:rPr>
                <w:rFonts w:hint="eastAsia"/>
                <w:lang w:eastAsia="zh-CN"/>
              </w:rPr>
            </w:pPr>
            <w:r>
              <w:rPr>
                <w:rFonts w:hint="eastAsia"/>
                <w:lang w:val="en-US" w:eastAsia="zh-CN"/>
              </w:rPr>
              <w:t>有组织颗粒物</w:t>
            </w:r>
            <w:r>
              <w:rPr>
                <w:rFonts w:hint="default"/>
              </w:rPr>
              <w:t>满足《大气污染物综合排放标准》（GB16297-1996）表2标准中排放速率≦</w:t>
            </w:r>
            <w:r>
              <w:rPr>
                <w:rFonts w:hint="eastAsia"/>
                <w:lang w:val="en-US" w:eastAsia="zh-CN"/>
              </w:rPr>
              <w:t>3.5</w:t>
            </w:r>
            <w:r>
              <w:rPr>
                <w:rFonts w:hint="default"/>
              </w:rPr>
              <w:t>kg/h的要求</w:t>
            </w:r>
            <w:r>
              <w:rPr>
                <w:rFonts w:hint="eastAsia"/>
                <w:lang w:eastAsia="zh-CN"/>
              </w:rPr>
              <w:t>；颗粒物排放浓度能够满足《河南省重污染天气通用行业应急减排措施制定技术指南（2021年修订版）》涉锅炉/炉窑企业A级－其他工序颗粒物排放要求（颗粒物有组织排放浓度≤10mg/m</w:t>
            </w:r>
            <w:r>
              <w:rPr>
                <w:rFonts w:hint="eastAsia"/>
                <w:vertAlign w:val="superscript"/>
                <w:lang w:eastAsia="zh-CN"/>
              </w:rPr>
              <w:t>3</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31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none"/>
              </w:rPr>
            </w:pPr>
          </w:p>
        </w:tc>
        <w:tc>
          <w:tcPr>
            <w:tcW w:w="73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none"/>
                <w:lang w:val="en-US"/>
              </w:rPr>
            </w:pPr>
          </w:p>
        </w:tc>
        <w:tc>
          <w:tcPr>
            <w:tcW w:w="1607" w:type="dxa"/>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烘烤废气（有机废气）</w:t>
            </w:r>
          </w:p>
        </w:tc>
        <w:tc>
          <w:tcPr>
            <w:tcW w:w="1378"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lang w:val="en-US" w:eastAsia="zh-CN"/>
              </w:rPr>
              <w:t>非甲烷总烃</w:t>
            </w:r>
          </w:p>
        </w:tc>
        <w:tc>
          <w:tcPr>
            <w:tcW w:w="534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lang w:val="en-US" w:eastAsia="zh-CN"/>
              </w:rPr>
              <w:t>由于烘烤工序位于密闭烘烤房内，因此本项目在密闭烘烤房上方配备集气系统收集；最终将废气引入1套“</w:t>
            </w:r>
            <w:r>
              <w:rPr>
                <w:rFonts w:hint="eastAsia" w:ascii="Times New Roman" w:hAnsi="Times New Roman" w:cs="Times New Roman"/>
                <w:b w:val="0"/>
                <w:bCs w:val="0"/>
                <w:color w:val="000000"/>
                <w:szCs w:val="21"/>
                <w:u w:val="none"/>
                <w:lang w:val="en-US" w:eastAsia="zh-CN"/>
              </w:rPr>
              <w:t>UV光催化氧化+活性炭吸附</w:t>
            </w:r>
            <w:r>
              <w:rPr>
                <w:rFonts w:hint="eastAsia"/>
                <w:lang w:val="en-US" w:eastAsia="zh-CN"/>
              </w:rPr>
              <w:t>”</w:t>
            </w:r>
            <w:r>
              <w:rPr>
                <w:rFonts w:hint="eastAsia" w:ascii="Times New Roman" w:hAnsi="Times New Roman" w:cs="Times New Roman"/>
                <w:b w:val="0"/>
                <w:bCs w:val="0"/>
                <w:color w:val="000000"/>
                <w:szCs w:val="21"/>
                <w:u w:val="none"/>
                <w:lang w:val="en-US" w:eastAsia="zh-CN"/>
              </w:rPr>
              <w:t>装置处理后通过1根15m排气筒（DA002）排放</w:t>
            </w:r>
            <w:r>
              <w:rPr>
                <w:rFonts w:hint="eastAsia"/>
                <w:lang w:val="en-US" w:eastAsia="zh-CN"/>
              </w:rPr>
              <w:t>。</w:t>
            </w:r>
          </w:p>
        </w:tc>
        <w:tc>
          <w:tcPr>
            <w:tcW w:w="464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none"/>
              </w:rPr>
            </w:pPr>
            <w:r>
              <w:rPr>
                <w:rFonts w:hint="eastAsia"/>
                <w:lang w:val="en-US" w:eastAsia="zh-CN"/>
              </w:rPr>
              <w:t>有组织非甲烷总烃</w:t>
            </w:r>
            <w:r>
              <w:rPr>
                <w:rFonts w:hint="default"/>
              </w:rPr>
              <w:t>满足</w:t>
            </w:r>
            <w:r>
              <w:rPr>
                <w:rFonts w:hint="default"/>
                <w:lang w:eastAsia="zh-CN"/>
              </w:rPr>
              <w:t>《大气污染物综合排放标准》（GB16297-1996）表2标准（</w:t>
            </w:r>
            <w:r>
              <w:rPr>
                <w:rFonts w:hint="eastAsia"/>
                <w:lang w:eastAsia="zh-CN"/>
              </w:rPr>
              <w:t>排放速率</w:t>
            </w:r>
            <w:r>
              <w:rPr>
                <w:rFonts w:hint="default" w:ascii="Arial" w:hAnsi="Arial" w:cs="Arial"/>
                <w:lang w:eastAsia="zh-CN"/>
              </w:rPr>
              <w:t>≤</w:t>
            </w:r>
            <w:r>
              <w:rPr>
                <w:rFonts w:hint="eastAsia"/>
                <w:lang w:val="en-US" w:eastAsia="zh-CN"/>
              </w:rPr>
              <w:t>10kg/h，15</w:t>
            </w:r>
            <w:r>
              <w:rPr>
                <w:rFonts w:hint="default"/>
                <w:lang w:eastAsia="zh-CN"/>
              </w:rPr>
              <w:t>m高排气筒）</w:t>
            </w:r>
            <w:r>
              <w:rPr>
                <w:rFonts w:hint="eastAsia"/>
                <w:lang w:eastAsia="zh-CN"/>
              </w:rPr>
              <w:t>；同时</w:t>
            </w:r>
            <w:r>
              <w:rPr>
                <w:rFonts w:hint="eastAsia"/>
                <w:lang w:val="en-US" w:eastAsia="zh-CN"/>
              </w:rPr>
              <w:t>有组织非甲烷总烃浓度</w:t>
            </w:r>
            <w:r>
              <w:rPr>
                <w:rFonts w:hint="eastAsia"/>
                <w:lang w:eastAsia="zh-CN"/>
              </w:rPr>
              <w:t>满足</w:t>
            </w:r>
            <w:r>
              <w:rPr>
                <w:rFonts w:hint="default"/>
                <w:lang w:val="en-US" w:eastAsia="zh-CN"/>
              </w:rPr>
              <w:t>《关于全省开展工业企业挥发性有机物专项治理工作中排放建议值的通知》（豫环攻坚办</w:t>
            </w:r>
            <w:r>
              <w:rPr>
                <w:rFonts w:hint="eastAsia"/>
                <w:lang w:val="en-US" w:eastAsia="zh-CN"/>
              </w:rPr>
              <w:t>〔</w:t>
            </w:r>
            <w:r>
              <w:rPr>
                <w:rFonts w:hint="default"/>
                <w:lang w:val="en-US" w:eastAsia="zh-CN"/>
              </w:rPr>
              <w:t>2017</w:t>
            </w:r>
            <w:r>
              <w:rPr>
                <w:rFonts w:hint="eastAsia"/>
                <w:lang w:val="en-US" w:eastAsia="zh-CN"/>
              </w:rPr>
              <w:t>〕</w:t>
            </w:r>
            <w:r>
              <w:rPr>
                <w:rFonts w:hint="default"/>
                <w:lang w:val="en-US" w:eastAsia="zh-CN"/>
              </w:rPr>
              <w:t>162号）</w:t>
            </w:r>
            <w:r>
              <w:rPr>
                <w:rFonts w:hint="eastAsia"/>
                <w:lang w:val="en-US" w:eastAsia="zh-CN"/>
              </w:rPr>
              <w:t>中相关限值</w:t>
            </w:r>
            <w:r>
              <w:rPr>
                <w:rFonts w:hint="default"/>
                <w:lang w:val="en-US" w:eastAsia="zh-CN"/>
              </w:rPr>
              <w:t>，即非甲烷总烃</w:t>
            </w:r>
            <w:r>
              <w:rPr>
                <w:rFonts w:hint="default"/>
              </w:rPr>
              <w:t>≦</w:t>
            </w:r>
            <w:r>
              <w:rPr>
                <w:rFonts w:hint="eastAsia"/>
                <w:lang w:val="en-US" w:eastAsia="zh-CN"/>
              </w:rPr>
              <w:t>5</w:t>
            </w:r>
            <w:r>
              <w:rPr>
                <w:rFonts w:hint="default"/>
                <w:lang w:val="en-US" w:eastAsia="zh-CN"/>
              </w:rPr>
              <w:t>0</w:t>
            </w:r>
            <w:r>
              <w:rPr>
                <w:rFonts w:hint="default"/>
              </w:rPr>
              <w:t>mg/m</w:t>
            </w:r>
            <w:r>
              <w:rPr>
                <w:rFonts w:hint="default"/>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31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none"/>
              </w:rPr>
            </w:pPr>
          </w:p>
        </w:tc>
        <w:tc>
          <w:tcPr>
            <w:tcW w:w="73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none"/>
              </w:rPr>
            </w:pPr>
          </w:p>
        </w:tc>
        <w:tc>
          <w:tcPr>
            <w:tcW w:w="1607"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val="0"/>
                <w:bCs/>
                <w:color w:val="auto"/>
                <w:kern w:val="0"/>
                <w:sz w:val="21"/>
                <w:szCs w:val="21"/>
                <w:highlight w:val="none"/>
                <w:u w:val="none"/>
                <w:lang w:val="en-US" w:eastAsia="zh-CN" w:bidi="ar"/>
              </w:rPr>
            </w:pPr>
            <w:r>
              <w:rPr>
                <w:rFonts w:hint="eastAsia" w:cs="Times New Roman"/>
                <w:kern w:val="2"/>
                <w:sz w:val="21"/>
                <w:szCs w:val="24"/>
                <w:lang w:val="en-US" w:eastAsia="zh-CN" w:bidi="ar-SA"/>
              </w:rPr>
              <w:t>烘烤燃烧废气</w:t>
            </w:r>
          </w:p>
        </w:tc>
        <w:tc>
          <w:tcPr>
            <w:tcW w:w="1378"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lang w:val="en-US" w:eastAsia="zh-CN" w:bidi="ar-SA"/>
              </w:rPr>
            </w:pPr>
            <w:r>
              <w:rPr>
                <w:rFonts w:hint="eastAsia" w:cs="Times New Roman"/>
                <w:color w:val="000000"/>
                <w:kern w:val="2"/>
                <w:sz w:val="21"/>
                <w:szCs w:val="24"/>
                <w:lang w:val="en-US" w:eastAsia="zh-CN" w:bidi="ar-SA"/>
              </w:rPr>
              <w:t>SO</w:t>
            </w:r>
            <w:r>
              <w:rPr>
                <w:rFonts w:hint="eastAsia" w:cs="Times New Roman"/>
                <w:color w:val="000000"/>
                <w:kern w:val="2"/>
                <w:sz w:val="21"/>
                <w:szCs w:val="24"/>
                <w:vertAlign w:val="subscript"/>
                <w:lang w:val="en-US" w:eastAsia="zh-CN" w:bidi="ar-SA"/>
              </w:rPr>
              <w:t>2</w:t>
            </w:r>
            <w:r>
              <w:rPr>
                <w:rFonts w:hint="eastAsia" w:cs="Times New Roman"/>
                <w:color w:val="000000"/>
                <w:kern w:val="2"/>
                <w:sz w:val="21"/>
                <w:szCs w:val="24"/>
                <w:lang w:val="en-US" w:eastAsia="zh-CN" w:bidi="ar-SA"/>
              </w:rPr>
              <w:t>、NOx、颗粒物</w:t>
            </w:r>
          </w:p>
        </w:tc>
        <w:tc>
          <w:tcPr>
            <w:tcW w:w="534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lang w:val="en-US" w:eastAsia="zh-CN"/>
              </w:rPr>
              <w:t>本项目烘烤燃烧废气与烘烤废气（有机废气）共同经1套“</w:t>
            </w:r>
            <w:r>
              <w:rPr>
                <w:rFonts w:hint="eastAsia" w:ascii="Times New Roman" w:hAnsi="Times New Roman" w:cs="Times New Roman"/>
                <w:b w:val="0"/>
                <w:bCs w:val="0"/>
                <w:color w:val="000000"/>
                <w:szCs w:val="21"/>
                <w:u w:val="none"/>
                <w:lang w:val="en-US" w:eastAsia="zh-CN"/>
              </w:rPr>
              <w:t>UV光催化氧化+活性炭吸附</w:t>
            </w:r>
            <w:r>
              <w:rPr>
                <w:rFonts w:hint="eastAsia"/>
                <w:lang w:val="en-US" w:eastAsia="zh-CN"/>
              </w:rPr>
              <w:t>”</w:t>
            </w:r>
            <w:r>
              <w:rPr>
                <w:rFonts w:hint="eastAsia" w:ascii="Times New Roman" w:hAnsi="Times New Roman" w:cs="Times New Roman"/>
                <w:b w:val="0"/>
                <w:bCs w:val="0"/>
                <w:color w:val="000000"/>
                <w:szCs w:val="21"/>
                <w:u w:val="none"/>
                <w:lang w:val="en-US" w:eastAsia="zh-CN"/>
              </w:rPr>
              <w:t>装置处理后通过1根15m排气筒（DA002）排放。</w:t>
            </w:r>
          </w:p>
        </w:tc>
        <w:tc>
          <w:tcPr>
            <w:tcW w:w="464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none"/>
              </w:rPr>
            </w:pPr>
            <w:r>
              <w:rPr>
                <w:rFonts w:hint="eastAsia"/>
                <w:lang w:val="en-US" w:eastAsia="zh-CN"/>
              </w:rPr>
              <w:t>燃烧废气产生的</w:t>
            </w:r>
            <w:r>
              <w:rPr>
                <w:rFonts w:hint="eastAsia" w:cs="Times New Roman"/>
                <w:color w:val="000000"/>
                <w:kern w:val="2"/>
                <w:sz w:val="21"/>
                <w:szCs w:val="24"/>
                <w:lang w:val="en-US" w:eastAsia="zh-CN" w:bidi="ar-SA"/>
              </w:rPr>
              <w:t>SO</w:t>
            </w:r>
            <w:r>
              <w:rPr>
                <w:rFonts w:hint="eastAsia" w:cs="Times New Roman"/>
                <w:color w:val="000000"/>
                <w:kern w:val="2"/>
                <w:sz w:val="21"/>
                <w:szCs w:val="24"/>
                <w:vertAlign w:val="subscript"/>
                <w:lang w:val="en-US" w:eastAsia="zh-CN" w:bidi="ar-SA"/>
              </w:rPr>
              <w:t>2</w:t>
            </w:r>
            <w:r>
              <w:rPr>
                <w:rFonts w:hint="eastAsia" w:cs="Times New Roman"/>
                <w:color w:val="000000"/>
                <w:kern w:val="2"/>
                <w:sz w:val="21"/>
                <w:szCs w:val="24"/>
                <w:lang w:val="en-US" w:eastAsia="zh-CN" w:bidi="ar-SA"/>
              </w:rPr>
              <w:t>、NOx</w:t>
            </w:r>
            <w:r>
              <w:rPr>
                <w:rFonts w:hint="eastAsia"/>
                <w:lang w:eastAsia="zh-CN"/>
              </w:rPr>
              <w:t>排放浓度能够满足《河南省重污染天气通用行业应急减排措施制定技术指南（2021年修订版）》涉锅炉/炉窑企业A级－其他工序颗粒物排放要求（</w:t>
            </w:r>
            <w:r>
              <w:rPr>
                <w:rFonts w:hint="eastAsia" w:cs="Times New Roman"/>
                <w:color w:val="000000"/>
                <w:kern w:val="2"/>
                <w:sz w:val="21"/>
                <w:szCs w:val="24"/>
                <w:lang w:val="en-US" w:eastAsia="zh-CN" w:bidi="ar-SA"/>
              </w:rPr>
              <w:t>SO</w:t>
            </w:r>
            <w:r>
              <w:rPr>
                <w:rFonts w:hint="eastAsia" w:cs="Times New Roman"/>
                <w:color w:val="000000"/>
                <w:kern w:val="2"/>
                <w:sz w:val="21"/>
                <w:szCs w:val="24"/>
                <w:vertAlign w:val="subscript"/>
                <w:lang w:val="en-US" w:eastAsia="zh-CN" w:bidi="ar-SA"/>
              </w:rPr>
              <w:t>2</w:t>
            </w:r>
            <w:r>
              <w:rPr>
                <w:rFonts w:hint="eastAsia"/>
                <w:lang w:eastAsia="zh-CN"/>
              </w:rPr>
              <w:t>排放浓度≤</w:t>
            </w:r>
            <w:r>
              <w:rPr>
                <w:rFonts w:hint="eastAsia"/>
                <w:lang w:val="en-US" w:eastAsia="zh-CN"/>
              </w:rPr>
              <w:t>35</w:t>
            </w:r>
            <w:r>
              <w:rPr>
                <w:rFonts w:hint="eastAsia"/>
                <w:lang w:eastAsia="zh-CN"/>
              </w:rPr>
              <w:t>mg/m</w:t>
            </w:r>
            <w:r>
              <w:rPr>
                <w:rFonts w:hint="eastAsia"/>
                <w:vertAlign w:val="superscript"/>
                <w:lang w:eastAsia="zh-CN"/>
              </w:rPr>
              <w:t>3</w:t>
            </w:r>
            <w:r>
              <w:rPr>
                <w:rFonts w:hint="eastAsia"/>
                <w:vertAlign w:val="baseline"/>
                <w:lang w:eastAsia="zh-CN"/>
              </w:rPr>
              <w:t>，</w:t>
            </w:r>
            <w:r>
              <w:rPr>
                <w:rFonts w:hint="eastAsia" w:cs="Times New Roman"/>
                <w:color w:val="000000"/>
                <w:kern w:val="2"/>
                <w:sz w:val="21"/>
                <w:szCs w:val="24"/>
                <w:lang w:val="en-US" w:eastAsia="zh-CN" w:bidi="ar-SA"/>
              </w:rPr>
              <w:t>NOx</w:t>
            </w:r>
            <w:r>
              <w:rPr>
                <w:rFonts w:hint="eastAsia"/>
                <w:lang w:eastAsia="zh-CN"/>
              </w:rPr>
              <w:t>排放浓度≤</w:t>
            </w:r>
            <w:r>
              <w:rPr>
                <w:rFonts w:hint="eastAsia"/>
                <w:lang w:val="en-US" w:eastAsia="zh-CN"/>
              </w:rPr>
              <w:t>50</w:t>
            </w:r>
            <w:r>
              <w:rPr>
                <w:rFonts w:hint="eastAsia"/>
                <w:lang w:eastAsia="zh-CN"/>
              </w:rPr>
              <w:t>mg/m</w:t>
            </w:r>
            <w:r>
              <w:rPr>
                <w:rFonts w:hint="eastAsia"/>
                <w:vertAlign w:val="superscript"/>
                <w:lang w:eastAsia="zh-CN"/>
              </w:rPr>
              <w:t>3</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31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4"/>
                <w:szCs w:val="24"/>
                <w:u w:val="none"/>
              </w:rPr>
            </w:pPr>
          </w:p>
        </w:tc>
        <w:tc>
          <w:tcPr>
            <w:tcW w:w="7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无组织废气</w:t>
            </w:r>
            <w:r>
              <w:rPr>
                <w:rFonts w:hint="default" w:ascii="Times New Roman" w:hAnsi="Times New Roman" w:cs="Times New Roman"/>
                <w:u w:val="none"/>
              </w:rPr>
              <w:t></w:t>
            </w:r>
          </w:p>
        </w:tc>
        <w:tc>
          <w:tcPr>
            <w:tcW w:w="1607"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kern w:val="2"/>
                <w:sz w:val="21"/>
                <w:szCs w:val="24"/>
                <w:u w:val="none"/>
                <w:lang w:val="en-US" w:eastAsia="zh-CN" w:bidi="ar-SA"/>
              </w:rPr>
            </w:pPr>
            <w:r>
              <w:rPr>
                <w:rFonts w:hint="eastAsia"/>
                <w:lang w:val="en-US" w:eastAsia="zh-CN"/>
              </w:rPr>
              <w:t>切割、焊接抛光以及</w:t>
            </w:r>
            <w:r>
              <w:rPr>
                <w:rFonts w:hint="eastAsia" w:cs="Times New Roman"/>
                <w:kern w:val="2"/>
                <w:sz w:val="21"/>
                <w:szCs w:val="24"/>
                <w:lang w:val="en-US" w:eastAsia="zh-CN" w:bidi="ar-SA"/>
              </w:rPr>
              <w:t>喷塑</w:t>
            </w:r>
            <w:r>
              <w:rPr>
                <w:rFonts w:hint="eastAsia" w:cs="Times New Roman"/>
                <w:color w:val="000000"/>
                <w:sz w:val="21"/>
                <w:u w:val="none"/>
                <w:lang w:val="en-US" w:eastAsia="zh-CN"/>
              </w:rPr>
              <w:t>工序未收集的颗粒物</w:t>
            </w:r>
          </w:p>
        </w:tc>
        <w:tc>
          <w:tcPr>
            <w:tcW w:w="1378"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u w:val="none"/>
                <w:lang w:val="en-US" w:eastAsia="zh-CN" w:bidi="ar-SA"/>
              </w:rPr>
            </w:pPr>
            <w:r>
              <w:rPr>
                <w:rFonts w:hint="eastAsia" w:cs="Times New Roman"/>
                <w:color w:val="000000"/>
                <w:sz w:val="21"/>
                <w:u w:val="none"/>
                <w:lang w:val="en-US" w:eastAsia="zh-CN"/>
              </w:rPr>
              <w:t>颗粒物</w:t>
            </w:r>
          </w:p>
        </w:tc>
        <w:tc>
          <w:tcPr>
            <w:tcW w:w="534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密闭车间，定期清扫并且车间外围和道路绿化</w:t>
            </w:r>
          </w:p>
        </w:tc>
        <w:tc>
          <w:tcPr>
            <w:tcW w:w="464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eastAsia="宋体"/>
                <w:u w:val="none"/>
                <w:lang w:val="en-US" w:eastAsia="zh-CN"/>
              </w:rPr>
            </w:pPr>
            <w:r>
              <w:rPr>
                <w:rFonts w:hint="default"/>
                <w:u w:val="none"/>
              </w:rPr>
              <w:t>无组织</w:t>
            </w:r>
            <w:r>
              <w:rPr>
                <w:rFonts w:hint="eastAsia"/>
                <w:u w:val="none"/>
                <w:lang w:val="en-US" w:eastAsia="zh-CN"/>
              </w:rPr>
              <w:t>颗粒物</w:t>
            </w:r>
            <w:r>
              <w:rPr>
                <w:rFonts w:hint="default"/>
                <w:u w:val="none"/>
              </w:rPr>
              <w:t>排放需满足《大气污染物综合排放标准》（GB16297-1996）表2标准（周界外浓度最高点）中颗粒物≦1.0mg/m</w:t>
            </w:r>
            <w:r>
              <w:rPr>
                <w:rFonts w:hint="default"/>
                <w:u w:val="none"/>
                <w:vertAlign w:val="superscript"/>
              </w:rPr>
              <w:t>3</w:t>
            </w:r>
            <w:r>
              <w:rPr>
                <w:rFonts w:hint="default"/>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131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4"/>
                <w:szCs w:val="24"/>
                <w:u w:val="none"/>
              </w:rPr>
            </w:pPr>
          </w:p>
        </w:tc>
        <w:tc>
          <w:tcPr>
            <w:tcW w:w="7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kern w:val="2"/>
                <w:sz w:val="21"/>
                <w:szCs w:val="21"/>
                <w:u w:val="none"/>
                <w:lang w:val="en-US" w:eastAsia="zh-CN" w:bidi="ar-SA"/>
              </w:rPr>
            </w:pPr>
          </w:p>
        </w:tc>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u w:val="none"/>
                <w:lang w:val="en-US" w:eastAsia="zh-CN"/>
              </w:rPr>
            </w:pPr>
            <w:r>
              <w:rPr>
                <w:rFonts w:hint="eastAsia" w:cs="Times New Roman"/>
                <w:kern w:val="2"/>
                <w:sz w:val="21"/>
                <w:szCs w:val="24"/>
                <w:lang w:val="en-US" w:eastAsia="zh-CN" w:bidi="ar-SA"/>
              </w:rPr>
              <w:t>烘烤废气（有机废气）</w:t>
            </w:r>
          </w:p>
        </w:tc>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none"/>
                <w:lang w:val="en-US" w:eastAsia="zh-CN"/>
              </w:rPr>
            </w:pPr>
            <w:r>
              <w:rPr>
                <w:rFonts w:hint="eastAsia" w:cs="Times New Roman"/>
                <w:sz w:val="21"/>
                <w:szCs w:val="21"/>
                <w:u w:val="none"/>
                <w:lang w:val="en-US" w:eastAsia="zh-CN"/>
              </w:rPr>
              <w:t>非甲烷总烃</w:t>
            </w:r>
          </w:p>
        </w:tc>
        <w:tc>
          <w:tcPr>
            <w:tcW w:w="53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u w:val="none"/>
                <w:lang w:val="en-US"/>
              </w:rPr>
            </w:pPr>
            <w:r>
              <w:rPr>
                <w:rFonts w:hint="eastAsia"/>
                <w:u w:val="none"/>
                <w:lang w:val="en-US" w:eastAsia="zh-CN"/>
              </w:rPr>
              <w:t>加强车间密闭</w:t>
            </w:r>
          </w:p>
        </w:tc>
        <w:tc>
          <w:tcPr>
            <w:tcW w:w="464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eastAsia="宋体" w:cs="Times New Roman"/>
                <w:sz w:val="21"/>
                <w:szCs w:val="21"/>
                <w:u w:val="none"/>
                <w:lang w:val="en-US" w:eastAsia="zh-CN"/>
              </w:rPr>
            </w:pPr>
            <w:r>
              <w:rPr>
                <w:rFonts w:hint="eastAsia" w:cs="Times New Roman"/>
                <w:b/>
                <w:bCs/>
                <w:sz w:val="21"/>
                <w:szCs w:val="21"/>
                <w:u w:val="none"/>
                <w:lang w:val="en-US" w:eastAsia="zh-CN"/>
              </w:rPr>
              <w:t>厂房外：</w:t>
            </w:r>
            <w:r>
              <w:rPr>
                <w:rFonts w:hint="eastAsia" w:cs="Times New Roman"/>
                <w:sz w:val="21"/>
                <w:szCs w:val="21"/>
                <w:u w:val="none"/>
                <w:lang w:val="en-US" w:eastAsia="zh-CN"/>
              </w:rPr>
              <w:t>厂区内无组织非甲烷总烃排放执行</w:t>
            </w:r>
            <w:r>
              <w:rPr>
                <w:rFonts w:hint="eastAsia"/>
                <w:u w:val="none"/>
                <w:lang w:eastAsia="zh-CN"/>
              </w:rPr>
              <w:t>《</w:t>
            </w:r>
            <w:r>
              <w:rPr>
                <w:rFonts w:hint="default"/>
                <w:u w:val="none"/>
              </w:rPr>
              <w:t>工业涂装工序挥发性有机物排放标准</w:t>
            </w:r>
            <w:r>
              <w:rPr>
                <w:rFonts w:hint="eastAsia"/>
                <w:u w:val="none"/>
                <w:lang w:eastAsia="zh-CN"/>
              </w:rPr>
              <w:t>》</w:t>
            </w:r>
            <w:r>
              <w:rPr>
                <w:rFonts w:hint="default"/>
                <w:u w:val="none"/>
              </w:rPr>
              <w:t>（DB41/1951-2020）</w:t>
            </w:r>
            <w:r>
              <w:rPr>
                <w:rFonts w:hint="eastAsia"/>
                <w:u w:val="none"/>
                <w:lang w:val="en-US" w:eastAsia="zh-CN"/>
              </w:rPr>
              <w:t>中相关限值，即</w:t>
            </w:r>
            <w:r>
              <w:rPr>
                <w:rFonts w:hint="eastAsia" w:ascii="Times New Roman" w:hAnsi="Times New Roman" w:eastAsia="宋体"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lang w:val="en-US" w:eastAsia="zh-CN"/>
              </w:rPr>
              <w:t>厂房外设置监控点</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监控点处1h平均浓度值6</w:t>
            </w:r>
            <w:r>
              <w:rPr>
                <w:rFonts w:ascii="Times New Roman" w:hAnsi="Times New Roman"/>
                <w:bCs/>
                <w:color w:val="auto"/>
                <w:szCs w:val="21"/>
                <w:highlight w:val="none"/>
              </w:rPr>
              <w:t>mg/m</w:t>
            </w:r>
            <w:r>
              <w:rPr>
                <w:rFonts w:ascii="Times New Roman" w:hAnsi="Times New Roman"/>
                <w:bCs/>
                <w:color w:val="auto"/>
                <w:szCs w:val="21"/>
                <w:highlight w:val="none"/>
                <w:vertAlign w:val="superscript"/>
              </w:rPr>
              <w:t>3</w:t>
            </w:r>
            <w:r>
              <w:rPr>
                <w:rFonts w:hint="eastAsia" w:ascii="Times New Roman" w:hAnsi="Times New Roman"/>
                <w:bCs/>
                <w:color w:val="auto"/>
                <w:szCs w:val="21"/>
                <w:highlight w:val="none"/>
                <w:vertAlign w:val="baseline"/>
                <w:lang w:eastAsia="zh-CN"/>
              </w:rPr>
              <w:t>，</w:t>
            </w:r>
            <w:r>
              <w:rPr>
                <w:rFonts w:hint="eastAsia" w:ascii="Times New Roman" w:hAnsi="Times New Roman"/>
                <w:bCs/>
                <w:color w:val="auto"/>
                <w:szCs w:val="21"/>
                <w:highlight w:val="none"/>
                <w:vertAlign w:val="baseline"/>
                <w:lang w:val="en-US" w:eastAsia="zh-CN"/>
              </w:rPr>
              <w:t>监控点处任意一次浓度值</w:t>
            </w:r>
            <w:r>
              <w:rPr>
                <w:rFonts w:hint="eastAsia" w:ascii="Times New Roman" w:hAnsi="Times New Roman" w:eastAsia="宋体" w:cs="Times New Roman"/>
                <w:color w:val="auto"/>
                <w:sz w:val="21"/>
                <w:szCs w:val="21"/>
                <w:highlight w:val="none"/>
                <w:lang w:val="en-US" w:eastAsia="zh-CN"/>
              </w:rPr>
              <w:t>20</w:t>
            </w:r>
            <w:r>
              <w:rPr>
                <w:rFonts w:ascii="Times New Roman" w:hAnsi="Times New Roman"/>
                <w:bCs/>
                <w:color w:val="auto"/>
                <w:szCs w:val="21"/>
                <w:highlight w:val="none"/>
              </w:rPr>
              <w:t>mg/m</w:t>
            </w:r>
            <w:r>
              <w:rPr>
                <w:rFonts w:ascii="Times New Roman" w:hAnsi="Times New Roman"/>
                <w:bCs/>
                <w:color w:val="auto"/>
                <w:szCs w:val="21"/>
                <w:highlight w:val="none"/>
                <w:vertAlign w:val="superscript"/>
              </w:rPr>
              <w:t>3</w:t>
            </w:r>
          </w:p>
          <w:p>
            <w:pPr>
              <w:keepNext w:val="0"/>
              <w:keepLines w:val="0"/>
              <w:pageBreakBefore w:val="0"/>
              <w:kinsoku/>
              <w:wordWrap/>
              <w:overflowPunct/>
              <w:topLinePunct w:val="0"/>
              <w:autoSpaceDE/>
              <w:autoSpaceDN/>
              <w:bidi w:val="0"/>
              <w:adjustRightInd w:val="0"/>
              <w:snapToGrid w:val="0"/>
              <w:spacing w:line="360" w:lineRule="exact"/>
              <w:jc w:val="both"/>
              <w:rPr>
                <w:rFonts w:hint="default" w:ascii="Times New Roman" w:hAnsi="Times New Roman" w:eastAsia="宋体" w:cs="Times New Roman"/>
                <w:sz w:val="21"/>
                <w:szCs w:val="21"/>
                <w:u w:val="none"/>
                <w:lang w:val="en-US" w:eastAsia="zh-CN"/>
              </w:rPr>
            </w:pPr>
            <w:r>
              <w:rPr>
                <w:rFonts w:hint="eastAsia" w:cs="Times New Roman"/>
                <w:b/>
                <w:bCs/>
                <w:sz w:val="21"/>
                <w:szCs w:val="21"/>
                <w:u w:val="none"/>
                <w:lang w:val="en-US" w:eastAsia="zh-CN"/>
              </w:rPr>
              <w:t>厂界：</w:t>
            </w:r>
            <w:r>
              <w:rPr>
                <w:rFonts w:hint="eastAsia" w:cs="Times New Roman"/>
                <w:b w:val="0"/>
                <w:bCs w:val="0"/>
                <w:sz w:val="21"/>
                <w:szCs w:val="21"/>
                <w:u w:val="none"/>
                <w:lang w:val="en-US" w:eastAsia="zh-CN"/>
              </w:rPr>
              <w:t>厂界无组织非甲烷总烃满足</w:t>
            </w:r>
            <w:r>
              <w:rPr>
                <w:rFonts w:hint="default"/>
                <w:u w:val="none"/>
              </w:rPr>
              <w:t>《关于全省开展工业企业挥发性有机物专项治理工作中排放建议值的通知》（豫环攻坚办</w:t>
            </w:r>
            <w:r>
              <w:rPr>
                <w:rFonts w:hint="eastAsia"/>
                <w:u w:val="none"/>
                <w:lang w:eastAsia="zh-CN"/>
              </w:rPr>
              <w:t>〔</w:t>
            </w:r>
            <w:r>
              <w:rPr>
                <w:rFonts w:hint="default"/>
                <w:u w:val="none"/>
              </w:rPr>
              <w:t>2017</w:t>
            </w:r>
            <w:r>
              <w:rPr>
                <w:rFonts w:hint="eastAsia"/>
                <w:u w:val="none"/>
                <w:lang w:eastAsia="zh-CN"/>
              </w:rPr>
              <w:t>〕</w:t>
            </w:r>
            <w:r>
              <w:rPr>
                <w:rFonts w:hint="default"/>
                <w:u w:val="none"/>
              </w:rPr>
              <w:t>162号）</w:t>
            </w:r>
            <w:r>
              <w:rPr>
                <w:rFonts w:hint="eastAsia"/>
                <w:u w:val="none"/>
                <w:lang w:val="en-US" w:eastAsia="zh-CN"/>
              </w:rPr>
              <w:t>中相关限值，即</w:t>
            </w:r>
            <w:r>
              <w:rPr>
                <w:rFonts w:hint="eastAsia" w:ascii="Times New Roman" w:hAnsi="Times New Roman"/>
                <w:color w:val="auto"/>
                <w:szCs w:val="21"/>
                <w:highlight w:val="none"/>
                <w:lang w:val="en-US" w:eastAsia="zh-CN"/>
              </w:rPr>
              <w:t>非甲烷总烃</w:t>
            </w:r>
            <w:r>
              <w:rPr>
                <w:rFonts w:ascii="Times New Roman" w:hAnsi="Times New Roman"/>
                <w:color w:val="auto"/>
                <w:szCs w:val="21"/>
                <w:highlight w:val="none"/>
              </w:rPr>
              <w:t>边界挥发排放建议值</w:t>
            </w:r>
            <w:r>
              <w:rPr>
                <w:rFonts w:hint="eastAsia"/>
                <w:color w:val="auto"/>
                <w:szCs w:val="21"/>
                <w:highlight w:val="none"/>
                <w:lang w:val="en-US" w:eastAsia="zh-CN"/>
              </w:rPr>
              <w:t>为</w:t>
            </w:r>
            <w:r>
              <w:rPr>
                <w:rFonts w:hint="eastAsia" w:ascii="Times New Roman" w:hAnsi="Times New Roman"/>
                <w:color w:val="auto"/>
                <w:szCs w:val="21"/>
                <w:highlight w:val="none"/>
                <w:lang w:val="en-US" w:eastAsia="zh-CN"/>
              </w:rPr>
              <w:t>2.0</w:t>
            </w:r>
            <w:r>
              <w:rPr>
                <w:rFonts w:ascii="Times New Roman" w:hAnsi="Times New Roman"/>
                <w:color w:val="auto"/>
                <w:szCs w:val="21"/>
                <w:highlight w:val="none"/>
              </w:rPr>
              <w:t>mg/m</w:t>
            </w:r>
            <w:r>
              <w:rPr>
                <w:rFonts w:ascii="Times New Roman" w:hAnsi="Times New Roman"/>
                <w:color w:val="auto"/>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4"/>
                <w:szCs w:val="24"/>
                <w:u w:val="none"/>
              </w:rPr>
            </w:pPr>
          </w:p>
        </w:tc>
        <w:tc>
          <w:tcPr>
            <w:tcW w:w="7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u w:val="none"/>
                <w:lang w:val="en-US" w:eastAsia="zh-CN" w:bidi="ar-SA"/>
              </w:rPr>
            </w:pPr>
          </w:p>
        </w:tc>
        <w:tc>
          <w:tcPr>
            <w:tcW w:w="1607"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val="0"/>
                <w:bCs/>
                <w:color w:val="auto"/>
                <w:kern w:val="0"/>
                <w:sz w:val="21"/>
                <w:szCs w:val="21"/>
                <w:highlight w:val="none"/>
                <w:u w:val="none"/>
                <w:lang w:val="en-US" w:eastAsia="zh-CN" w:bidi="ar"/>
              </w:rPr>
            </w:pPr>
            <w:r>
              <w:rPr>
                <w:rFonts w:hint="eastAsia" w:cs="Times New Roman"/>
                <w:kern w:val="2"/>
                <w:sz w:val="21"/>
                <w:szCs w:val="24"/>
                <w:lang w:val="en-US" w:eastAsia="zh-CN" w:bidi="ar-SA"/>
              </w:rPr>
              <w:t>烘烤燃烧废气</w:t>
            </w:r>
          </w:p>
        </w:tc>
        <w:tc>
          <w:tcPr>
            <w:tcW w:w="1378"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lang w:val="en-US" w:eastAsia="zh-CN" w:bidi="ar-SA"/>
              </w:rPr>
            </w:pPr>
            <w:r>
              <w:rPr>
                <w:rFonts w:hint="eastAsia" w:cs="Times New Roman"/>
                <w:color w:val="000000"/>
                <w:kern w:val="2"/>
                <w:sz w:val="21"/>
                <w:szCs w:val="24"/>
                <w:lang w:val="en-US" w:eastAsia="zh-CN" w:bidi="ar-SA"/>
              </w:rPr>
              <w:t>颗粒物、SO</w:t>
            </w:r>
            <w:r>
              <w:rPr>
                <w:rFonts w:hint="eastAsia" w:cs="Times New Roman"/>
                <w:color w:val="000000"/>
                <w:kern w:val="2"/>
                <w:sz w:val="21"/>
                <w:szCs w:val="24"/>
                <w:vertAlign w:val="subscript"/>
                <w:lang w:val="en-US" w:eastAsia="zh-CN" w:bidi="ar-SA"/>
              </w:rPr>
              <w:t>2</w:t>
            </w:r>
            <w:r>
              <w:rPr>
                <w:rFonts w:hint="eastAsia" w:cs="Times New Roman"/>
                <w:color w:val="000000"/>
                <w:kern w:val="2"/>
                <w:sz w:val="21"/>
                <w:szCs w:val="24"/>
                <w:lang w:val="en-US" w:eastAsia="zh-CN" w:bidi="ar-SA"/>
              </w:rPr>
              <w:t>、NOx</w:t>
            </w:r>
          </w:p>
        </w:tc>
        <w:tc>
          <w:tcPr>
            <w:tcW w:w="534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加强车间密闭</w:t>
            </w:r>
          </w:p>
        </w:tc>
        <w:tc>
          <w:tcPr>
            <w:tcW w:w="464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31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地表水环境</w:t>
            </w:r>
          </w:p>
        </w:tc>
        <w:tc>
          <w:tcPr>
            <w:tcW w:w="2342" w:type="dxa"/>
            <w:gridSpan w:val="2"/>
            <w:noWrap w:val="0"/>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kern w:val="2"/>
                <w:sz w:val="21"/>
                <w:szCs w:val="21"/>
                <w:u w:val="none"/>
                <w:lang w:val="en-US" w:eastAsia="zh-CN" w:bidi="ar-SA"/>
              </w:rPr>
            </w:pPr>
            <w:r>
              <w:rPr>
                <w:rFonts w:hint="default" w:ascii="Times New Roman" w:hAnsi="Times New Roman" w:cs="Times New Roman"/>
                <w:kern w:val="2"/>
                <w:sz w:val="21"/>
                <w:szCs w:val="21"/>
                <w:u w:val="none"/>
                <w:lang w:val="en-US" w:eastAsia="zh-CN" w:bidi="ar-SA"/>
              </w:rPr>
              <w:t>生活污水</w:t>
            </w:r>
          </w:p>
        </w:tc>
        <w:tc>
          <w:tcPr>
            <w:tcW w:w="1378"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eastAsia="zh-CN"/>
              </w:rPr>
              <w:t>COD、BOD</w:t>
            </w:r>
            <w:r>
              <w:rPr>
                <w:rFonts w:hint="default" w:ascii="Times New Roman" w:hAnsi="Times New Roman" w:cs="Times New Roman"/>
                <w:sz w:val="21"/>
                <w:szCs w:val="21"/>
                <w:u w:val="none"/>
                <w:vertAlign w:val="subscript"/>
                <w:lang w:eastAsia="zh-CN"/>
              </w:rPr>
              <w:t>5</w:t>
            </w:r>
            <w:r>
              <w:rPr>
                <w:rFonts w:hint="default" w:ascii="Times New Roman" w:hAnsi="Times New Roman" w:cs="Times New Roman"/>
                <w:sz w:val="21"/>
                <w:szCs w:val="21"/>
                <w:u w:val="none"/>
                <w:lang w:eastAsia="zh-CN"/>
              </w:rPr>
              <w:t>、SS、NH</w:t>
            </w:r>
            <w:r>
              <w:rPr>
                <w:rFonts w:hint="default" w:ascii="Times New Roman" w:hAnsi="Times New Roman" w:eastAsia="宋体" w:cs="Times New Roman"/>
                <w:sz w:val="21"/>
                <w:szCs w:val="21"/>
                <w:u w:val="none"/>
                <w:vertAlign w:val="subscript"/>
                <w:lang w:eastAsia="zh-CN"/>
              </w:rPr>
              <w:t>3</w:t>
            </w:r>
            <w:r>
              <w:rPr>
                <w:rFonts w:hint="default" w:ascii="Times New Roman" w:hAnsi="Times New Roman" w:cs="Times New Roman"/>
                <w:sz w:val="21"/>
                <w:szCs w:val="21"/>
                <w:u w:val="none"/>
                <w:lang w:eastAsia="zh-CN"/>
              </w:rPr>
              <w:t>-N</w:t>
            </w:r>
          </w:p>
        </w:tc>
        <w:tc>
          <w:tcPr>
            <w:tcW w:w="5340"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kern w:val="2"/>
                <w:sz w:val="21"/>
                <w:szCs w:val="21"/>
                <w:u w:val="none"/>
                <w:lang w:val="en-US" w:eastAsia="zh-CN" w:bidi="ar-SA"/>
              </w:rPr>
            </w:pPr>
            <w:r>
              <w:rPr>
                <w:rFonts w:hint="eastAsia" w:eastAsia="宋体"/>
                <w:u w:val="none"/>
                <w:lang w:eastAsia="zh-CN"/>
              </w:rPr>
              <w:t>生活污水经化粪池收集后可直接进入污水管网，最终进入</w:t>
            </w:r>
            <w:r>
              <w:rPr>
                <w:rFonts w:hint="eastAsia"/>
                <w:u w:val="none"/>
                <w:lang w:eastAsia="zh-CN"/>
              </w:rPr>
              <w:t>鲁山县产业集聚区污水处理厂</w:t>
            </w:r>
            <w:r>
              <w:rPr>
                <w:rFonts w:hint="eastAsia" w:eastAsia="宋体"/>
                <w:u w:val="none"/>
                <w:lang w:eastAsia="zh-CN"/>
              </w:rPr>
              <w:t>进行</w:t>
            </w:r>
            <w:r>
              <w:rPr>
                <w:rFonts w:hint="eastAsia"/>
                <w:u w:val="none"/>
                <w:lang w:val="en-US" w:eastAsia="zh-CN"/>
              </w:rPr>
              <w:t>达标</w:t>
            </w:r>
            <w:r>
              <w:rPr>
                <w:rFonts w:hint="eastAsia" w:eastAsia="宋体"/>
                <w:u w:val="none"/>
                <w:lang w:eastAsia="zh-CN"/>
              </w:rPr>
              <w:t>处理</w:t>
            </w:r>
            <w:r>
              <w:rPr>
                <w:rFonts w:hint="eastAsia"/>
                <w:u w:val="none"/>
                <w:lang w:eastAsia="zh-CN"/>
              </w:rPr>
              <w:t>，最终中水全部回用</w:t>
            </w:r>
          </w:p>
        </w:tc>
        <w:tc>
          <w:tcPr>
            <w:tcW w:w="464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131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声环境</w:t>
            </w:r>
          </w:p>
        </w:tc>
        <w:tc>
          <w:tcPr>
            <w:tcW w:w="2342" w:type="dxa"/>
            <w:gridSpan w:val="2"/>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噪声</w:t>
            </w:r>
          </w:p>
        </w:tc>
        <w:tc>
          <w:tcPr>
            <w:tcW w:w="137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eastAsia="zh-CN"/>
              </w:rPr>
              <w:t>设备噪声</w:t>
            </w:r>
          </w:p>
        </w:tc>
        <w:tc>
          <w:tcPr>
            <w:tcW w:w="5340"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u w:val="none"/>
              </w:rPr>
              <w:t>采用低噪声生产工艺及设备</w:t>
            </w:r>
            <w:r>
              <w:rPr>
                <w:rFonts w:hint="eastAsia" w:cs="Times New Roman"/>
                <w:u w:val="none"/>
                <w:lang w:eastAsia="zh-CN"/>
              </w:rPr>
              <w:t>，</w:t>
            </w:r>
            <w:r>
              <w:rPr>
                <w:rFonts w:hint="eastAsia" w:cs="Times New Roman"/>
                <w:u w:val="none"/>
                <w:lang w:val="en-US" w:eastAsia="zh-CN"/>
              </w:rPr>
              <w:t>并定期维护、保养设备和车辆</w:t>
            </w:r>
            <w:r>
              <w:rPr>
                <w:rFonts w:hint="default" w:ascii="Times New Roman" w:hAnsi="Times New Roman" w:cs="Times New Roman"/>
                <w:u w:val="none"/>
              </w:rPr>
              <w:t>；使用低噪声设备、基础减振</w:t>
            </w:r>
            <w:r>
              <w:rPr>
                <w:rFonts w:hint="default" w:ascii="Times New Roman" w:hAnsi="Times New Roman" w:cs="Times New Roman"/>
                <w:u w:val="none"/>
                <w:lang w:val="en-US" w:eastAsia="zh-CN"/>
              </w:rPr>
              <w:t>以及</w:t>
            </w:r>
            <w:r>
              <w:rPr>
                <w:rFonts w:hint="default" w:ascii="Times New Roman" w:hAnsi="Times New Roman" w:cs="Times New Roman"/>
                <w:u w:val="none"/>
              </w:rPr>
              <w:t>厂房隔声等措施，降低噪声强度</w:t>
            </w:r>
          </w:p>
        </w:tc>
        <w:tc>
          <w:tcPr>
            <w:tcW w:w="464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rPr>
              <w:t>《工业企业厂界环境噪声排放标准</w:t>
            </w:r>
            <w:r>
              <w:rPr>
                <w:rFonts w:hint="default" w:ascii="Times New Roman" w:hAnsi="Times New Roman" w:cs="Times New Roman"/>
                <w:sz w:val="21"/>
                <w:szCs w:val="21"/>
                <w:u w:val="none"/>
                <w:lang w:eastAsia="zh-CN"/>
              </w:rPr>
              <w:t>》</w:t>
            </w:r>
            <w:r>
              <w:rPr>
                <w:rFonts w:hint="default" w:ascii="Times New Roman" w:hAnsi="Times New Roman" w:cs="Times New Roman"/>
                <w:sz w:val="21"/>
                <w:szCs w:val="21"/>
                <w:u w:val="none"/>
              </w:rPr>
              <w:t>（GB12348-2008）中</w:t>
            </w:r>
            <w:r>
              <w:rPr>
                <w:rFonts w:hint="eastAsia" w:cs="Times New Roman"/>
                <w:sz w:val="21"/>
                <w:szCs w:val="21"/>
                <w:u w:val="none"/>
                <w:lang w:val="en-US" w:eastAsia="zh-CN"/>
              </w:rPr>
              <w:t>3</w:t>
            </w:r>
            <w:r>
              <w:rPr>
                <w:rFonts w:hint="default" w:ascii="Times New Roman" w:hAnsi="Times New Roman" w:cs="Times New Roman"/>
                <w:sz w:val="21"/>
                <w:szCs w:val="21"/>
                <w:u w:val="none"/>
                <w:lang w:val="en-US" w:eastAsia="zh-CN"/>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31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电磁辐射</w:t>
            </w:r>
          </w:p>
        </w:tc>
        <w:tc>
          <w:tcPr>
            <w:tcW w:w="9060" w:type="dxa"/>
            <w:gridSpan w:val="4"/>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无</w:t>
            </w:r>
          </w:p>
        </w:tc>
        <w:tc>
          <w:tcPr>
            <w:tcW w:w="464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31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固体废物</w:t>
            </w:r>
          </w:p>
        </w:tc>
        <w:tc>
          <w:tcPr>
            <w:tcW w:w="13709" w:type="dxa"/>
            <w:gridSpan w:val="5"/>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生活垃圾经收集后交由环卫部门统一处理</w:t>
            </w:r>
            <w:r>
              <w:rPr>
                <w:rFonts w:hint="eastAsia" w:cs="Times New Roman"/>
                <w:sz w:val="21"/>
                <w:szCs w:val="21"/>
                <w:u w:val="none"/>
                <w:lang w:val="en-US" w:eastAsia="zh-CN"/>
              </w:rPr>
              <w:t>；</w:t>
            </w:r>
            <w:r>
              <w:rPr>
                <w:rFonts w:hint="default" w:ascii="Times New Roman" w:hAnsi="Times New Roman" w:eastAsia="宋体" w:cs="Times New Roman"/>
                <w:sz w:val="21"/>
                <w:szCs w:val="21"/>
                <w:u w:val="none"/>
                <w:lang w:val="en-US" w:eastAsia="zh-CN"/>
              </w:rPr>
              <w:t>除尘器收集的</w:t>
            </w:r>
            <w:r>
              <w:rPr>
                <w:rFonts w:hint="eastAsia" w:cs="Times New Roman"/>
                <w:sz w:val="21"/>
                <w:szCs w:val="21"/>
                <w:u w:val="none"/>
                <w:lang w:val="en-US" w:eastAsia="zh-CN"/>
              </w:rPr>
              <w:t>颗粒物和废边角料暂存于</w:t>
            </w:r>
            <w:r>
              <w:rPr>
                <w:rFonts w:hint="eastAsia"/>
                <w:lang w:val="en-US" w:eastAsia="zh-CN"/>
              </w:rPr>
              <w:t>1座</w:t>
            </w:r>
            <w:r>
              <w:rPr>
                <w:rFonts w:hint="eastAsia" w:cs="Times New Roman"/>
                <w:sz w:val="21"/>
                <w:szCs w:val="21"/>
                <w:u w:val="none"/>
                <w:vertAlign w:val="baseline"/>
                <w:lang w:val="en-US" w:eastAsia="zh-CN"/>
              </w:rPr>
              <w:t>一般固废暂存区（</w:t>
            </w:r>
            <w:r>
              <w:rPr>
                <w:rFonts w:hint="eastAsia" w:cs="Times New Roman"/>
                <w:sz w:val="21"/>
                <w:szCs w:val="21"/>
                <w:u w:val="none"/>
                <w:lang w:val="en-US" w:eastAsia="zh-CN"/>
              </w:rPr>
              <w:t>10m</w:t>
            </w:r>
            <w:r>
              <w:rPr>
                <w:rFonts w:hint="eastAsia" w:cs="Times New Roman"/>
                <w:sz w:val="21"/>
                <w:szCs w:val="21"/>
                <w:u w:val="none"/>
                <w:vertAlign w:val="superscript"/>
                <w:lang w:val="en-US" w:eastAsia="zh-CN"/>
              </w:rPr>
              <w:t>2</w:t>
            </w:r>
            <w:r>
              <w:rPr>
                <w:rFonts w:hint="eastAsia" w:cs="Times New Roman"/>
                <w:sz w:val="21"/>
                <w:szCs w:val="21"/>
                <w:u w:val="none"/>
                <w:vertAlign w:val="baseline"/>
                <w:lang w:val="en-US" w:eastAsia="zh-CN"/>
              </w:rPr>
              <w:t>），定期外售</w:t>
            </w:r>
            <w:r>
              <w:rPr>
                <w:rFonts w:hint="default" w:ascii="Times New Roman" w:hAnsi="Times New Roman" w:eastAsia="宋体" w:cs="Times New Roman"/>
                <w:sz w:val="21"/>
                <w:szCs w:val="21"/>
                <w:u w:val="none"/>
                <w:lang w:val="en-US" w:eastAsia="zh-CN"/>
              </w:rPr>
              <w:t>。</w:t>
            </w:r>
            <w:r>
              <w:rPr>
                <w:rFonts w:hint="eastAsia"/>
                <w:color w:val="auto"/>
                <w:u w:val="none"/>
                <w:lang w:val="en-US" w:eastAsia="zh-CN"/>
              </w:rPr>
              <w:t>生产过程中产生的危险废物主要包括废活性炭、废UV灯管、废催化板以及设备保养产生的废机油、废润滑油。针对生产过程中产生的危险废物本项目主要将其暂存于</w:t>
            </w:r>
            <w:r>
              <w:rPr>
                <w:rFonts w:hint="eastAsia"/>
                <w:lang w:val="en-US" w:eastAsia="zh-CN"/>
              </w:rPr>
              <w:t>1座</w:t>
            </w:r>
            <w:r>
              <w:rPr>
                <w:rFonts w:hint="eastAsia"/>
                <w:color w:val="auto"/>
                <w:u w:val="none"/>
                <w:lang w:val="en-US" w:eastAsia="zh-CN"/>
              </w:rPr>
              <w:t>10m</w:t>
            </w:r>
            <w:r>
              <w:rPr>
                <w:rFonts w:hint="eastAsia"/>
                <w:color w:val="auto"/>
                <w:u w:val="none"/>
                <w:vertAlign w:val="superscript"/>
                <w:lang w:val="en-US" w:eastAsia="zh-CN"/>
              </w:rPr>
              <w:t>3</w:t>
            </w:r>
            <w:r>
              <w:rPr>
                <w:rFonts w:hint="eastAsia"/>
                <w:color w:val="auto"/>
                <w:u w:val="none"/>
                <w:lang w:val="en-US" w:eastAsia="zh-CN"/>
              </w:rPr>
              <w:t>危废暂存间，定期交由具有危废资质单位处置。危废暂存间符合《危险废物贮存污染控制标准》（GB18597-2023）。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131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土壤及地下水污染防治措施</w:t>
            </w:r>
          </w:p>
        </w:tc>
        <w:tc>
          <w:tcPr>
            <w:tcW w:w="13709" w:type="dxa"/>
            <w:gridSpan w:val="5"/>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sz w:val="21"/>
                <w:szCs w:val="21"/>
                <w:u w:val="none"/>
                <w:lang w:val="en-US" w:eastAsia="zh-CN"/>
              </w:rPr>
            </w:pPr>
            <w:r>
              <w:rPr>
                <w:rFonts w:hint="eastAsia"/>
                <w:color w:val="auto"/>
                <w:sz w:val="21"/>
                <w:szCs w:val="21"/>
                <w:u w:val="none"/>
                <w:lang w:val="en-US" w:eastAsia="zh-CN"/>
              </w:rPr>
              <w:t>为防止本项目对土壤及地下水造成污染，本次评价要求：（1）项目10m</w:t>
            </w:r>
            <w:r>
              <w:rPr>
                <w:rFonts w:hint="eastAsia"/>
                <w:color w:val="auto"/>
                <w:sz w:val="21"/>
                <w:szCs w:val="21"/>
                <w:u w:val="none"/>
                <w:vertAlign w:val="superscript"/>
                <w:lang w:val="en-US" w:eastAsia="zh-CN"/>
              </w:rPr>
              <w:t>2</w:t>
            </w:r>
            <w:r>
              <w:rPr>
                <w:rFonts w:hint="eastAsia"/>
                <w:color w:val="auto"/>
                <w:sz w:val="21"/>
                <w:szCs w:val="21"/>
                <w:u w:val="none"/>
                <w:lang w:val="en-US" w:eastAsia="zh-CN"/>
              </w:rPr>
              <w:t>危废暂存间采取重点防渗措施，具体要求为：</w:t>
            </w:r>
            <w:r>
              <w:rPr>
                <w:rFonts w:hint="default" w:ascii="Times New Roman" w:hAnsi="Times New Roman" w:cs="Times New Roman"/>
                <w:szCs w:val="21"/>
                <w:u w:val="none"/>
              </w:rPr>
              <w:t>危废暂存间使用2.0mm土工膜，防渗系数达到等效黏土防渗层Mb≥6.0m，K≤1×10</w:t>
            </w:r>
            <w:r>
              <w:rPr>
                <w:rFonts w:hint="eastAsia" w:cs="Times New Roman"/>
                <w:szCs w:val="21"/>
                <w:u w:val="none"/>
                <w:lang w:eastAsia="zh-CN"/>
              </w:rPr>
              <w:t>—</w:t>
            </w:r>
            <w:r>
              <w:rPr>
                <w:rFonts w:hint="eastAsia" w:cs="Times New Roman"/>
                <w:szCs w:val="21"/>
                <w:u w:val="none"/>
                <w:vertAlign w:val="superscript"/>
                <w:lang w:val="en-US" w:eastAsia="zh-CN"/>
              </w:rPr>
              <w:t>10</w:t>
            </w:r>
            <w:r>
              <w:rPr>
                <w:rFonts w:hint="default" w:ascii="Times New Roman" w:hAnsi="Times New Roman" w:cs="Times New Roman"/>
                <w:szCs w:val="21"/>
                <w:u w:val="none"/>
              </w:rPr>
              <w:t>cm/s；同时废机油</w:t>
            </w:r>
            <w:r>
              <w:rPr>
                <w:rFonts w:hint="eastAsia" w:cs="Times New Roman"/>
                <w:szCs w:val="21"/>
                <w:u w:val="none"/>
                <w:lang w:eastAsia="zh-CN"/>
              </w:rPr>
              <w:t>、</w:t>
            </w:r>
            <w:r>
              <w:rPr>
                <w:rFonts w:hint="eastAsia" w:cs="Times New Roman"/>
                <w:szCs w:val="21"/>
                <w:u w:val="none"/>
                <w:lang w:val="en-US" w:eastAsia="zh-CN"/>
              </w:rPr>
              <w:t>废润滑油</w:t>
            </w:r>
            <w:r>
              <w:rPr>
                <w:rFonts w:hint="default" w:ascii="Times New Roman" w:hAnsi="Times New Roman" w:cs="Times New Roman"/>
                <w:szCs w:val="21"/>
                <w:u w:val="none"/>
              </w:rPr>
              <w:t>收集容器设置防漏托盘，托盘容积应不小于收集容器容积的三分之一</w:t>
            </w:r>
            <w:r>
              <w:rPr>
                <w:rFonts w:hint="eastAsia" w:ascii="Times New Roman" w:hAnsi="Times New Roman" w:cs="Times New Roman"/>
                <w:szCs w:val="21"/>
                <w:u w:val="none"/>
                <w:lang w:eastAsia="zh-CN"/>
              </w:rPr>
              <w:t>（</w:t>
            </w:r>
            <w:r>
              <w:rPr>
                <w:rFonts w:hint="eastAsia" w:ascii="Times New Roman" w:hAnsi="Times New Roman" w:cs="Times New Roman"/>
                <w:szCs w:val="21"/>
                <w:u w:val="none"/>
                <w:lang w:val="en-US" w:eastAsia="zh-CN"/>
              </w:rPr>
              <w:t>2</w:t>
            </w:r>
            <w:r>
              <w:rPr>
                <w:rFonts w:hint="eastAsia" w:ascii="Times New Roman" w:hAnsi="Times New Roman" w:cs="Times New Roman"/>
                <w:szCs w:val="21"/>
                <w:u w:val="none"/>
                <w:lang w:eastAsia="zh-CN"/>
              </w:rPr>
              <w:t>）</w:t>
            </w:r>
            <w:r>
              <w:rPr>
                <w:rFonts w:hint="eastAsia" w:ascii="Times New Roman" w:hAnsi="Times New Roman" w:cs="Times New Roman"/>
                <w:szCs w:val="21"/>
                <w:u w:val="none"/>
                <w:lang w:val="en-US" w:eastAsia="zh-CN"/>
              </w:rPr>
              <w:t>针对项目</w:t>
            </w:r>
            <w:r>
              <w:rPr>
                <w:rFonts w:hint="eastAsia" w:cs="Times New Roman"/>
                <w:b w:val="0"/>
                <w:bCs w:val="0"/>
                <w:color w:val="auto"/>
                <w:sz w:val="21"/>
                <w:szCs w:val="21"/>
                <w:highlight w:val="none"/>
                <w:u w:val="none"/>
                <w:vertAlign w:val="baseline"/>
                <w:lang w:val="en-US" w:eastAsia="zh-CN"/>
              </w:rPr>
              <w:t>生产车间设施</w:t>
            </w:r>
            <w:r>
              <w:rPr>
                <w:rFonts w:hint="eastAsia" w:cs="Times New Roman"/>
                <w:color w:val="000000"/>
                <w:sz w:val="21"/>
                <w:u w:val="none"/>
                <w:lang w:val="en-US" w:eastAsia="zh-CN"/>
              </w:rPr>
              <w:t>采取一般防渗措施，</w:t>
            </w:r>
            <w:r>
              <w:rPr>
                <w:rFonts w:hint="eastAsia"/>
                <w:color w:val="auto"/>
                <w:sz w:val="21"/>
                <w:szCs w:val="21"/>
                <w:u w:val="none"/>
                <w:lang w:val="en-US" w:eastAsia="zh-CN"/>
              </w:rPr>
              <w:t>具体要求为：</w:t>
            </w:r>
            <w:r>
              <w:rPr>
                <w:rFonts w:hint="default" w:ascii="Times New Roman" w:hAnsi="Times New Roman" w:cs="Times New Roman"/>
                <w:szCs w:val="21"/>
                <w:u w:val="none"/>
              </w:rPr>
              <w:t>等效黏土防渗层Mb≥1.5m，K≤1×10</w:t>
            </w:r>
            <w:r>
              <w:rPr>
                <w:rFonts w:hint="eastAsia" w:cs="Times New Roman"/>
                <w:szCs w:val="21"/>
                <w:u w:val="none"/>
                <w:lang w:eastAsia="zh-CN"/>
              </w:rPr>
              <w:t>—</w:t>
            </w:r>
            <w:r>
              <w:rPr>
                <w:rFonts w:hint="eastAsia" w:cs="Times New Roman"/>
                <w:szCs w:val="21"/>
                <w:u w:val="none"/>
                <w:vertAlign w:val="superscript"/>
                <w:lang w:val="en-US" w:eastAsia="zh-CN"/>
              </w:rPr>
              <w:t>7</w:t>
            </w:r>
            <w:r>
              <w:rPr>
                <w:rFonts w:hint="default" w:ascii="Times New Roman" w:hAnsi="Times New Roman" w:cs="Times New Roman"/>
                <w:szCs w:val="21"/>
                <w:u w:val="none"/>
                <w:vertAlign w:val="superscript"/>
              </w:rPr>
              <w:t>c</w:t>
            </w:r>
            <w:r>
              <w:rPr>
                <w:rFonts w:hint="default" w:ascii="Times New Roman" w:hAnsi="Times New Roman" w:cs="Times New Roman"/>
                <w:szCs w:val="21"/>
                <w:u w:val="none"/>
              </w:rPr>
              <w:t>m/s</w:t>
            </w:r>
            <w:r>
              <w:rPr>
                <w:rFonts w:hint="eastAsia" w:ascii="Times New Roman" w:hAnsi="Times New Roman" w:cs="Times New Roman"/>
                <w:szCs w:val="21"/>
                <w:u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31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生态保护措施</w:t>
            </w:r>
          </w:p>
        </w:tc>
        <w:tc>
          <w:tcPr>
            <w:tcW w:w="13709" w:type="dxa"/>
            <w:gridSpan w:val="5"/>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sz w:val="21"/>
                <w:szCs w:val="21"/>
                <w:u w:val="none"/>
                <w:lang w:eastAsia="zh-CN"/>
              </w:rPr>
            </w:pPr>
            <w:r>
              <w:rPr>
                <w:rFonts w:hint="eastAsia" w:cs="Times New Roman"/>
                <w:sz w:val="21"/>
                <w:szCs w:val="21"/>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31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pacing w:val="-8"/>
                <w:sz w:val="21"/>
                <w:szCs w:val="21"/>
                <w:u w:val="none"/>
              </w:rPr>
            </w:pPr>
            <w:r>
              <w:rPr>
                <w:rFonts w:hint="default" w:ascii="Times New Roman" w:hAnsi="Times New Roman" w:cs="Times New Roman"/>
                <w:b/>
                <w:bCs/>
                <w:spacing w:val="-8"/>
                <w:sz w:val="21"/>
                <w:szCs w:val="21"/>
                <w:u w:val="none"/>
              </w:rPr>
              <w:t>环境风险</w:t>
            </w:r>
          </w:p>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pacing w:val="-8"/>
                <w:sz w:val="21"/>
                <w:szCs w:val="21"/>
                <w:u w:val="none"/>
              </w:rPr>
            </w:pPr>
            <w:r>
              <w:rPr>
                <w:rFonts w:hint="default" w:ascii="Times New Roman" w:hAnsi="Times New Roman" w:cs="Times New Roman"/>
                <w:b/>
                <w:bCs/>
                <w:spacing w:val="-8"/>
                <w:sz w:val="21"/>
                <w:szCs w:val="21"/>
                <w:u w:val="none"/>
              </w:rPr>
              <w:t>防范措施</w:t>
            </w:r>
          </w:p>
        </w:tc>
        <w:tc>
          <w:tcPr>
            <w:tcW w:w="13709" w:type="dxa"/>
            <w:gridSpan w:val="5"/>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本项目</w:t>
            </w:r>
            <w:r>
              <w:rPr>
                <w:rFonts w:hint="default" w:ascii="Times New Roman" w:hAnsi="Times New Roman" w:cs="Times New Roman"/>
                <w:sz w:val="21"/>
                <w:szCs w:val="21"/>
                <w:u w:val="none"/>
              </w:rPr>
              <w:t>危废暂存间按《危险废物贮存污染控制标准》（GB18597-20</w:t>
            </w:r>
            <w:r>
              <w:rPr>
                <w:rFonts w:hint="eastAsia" w:cs="Times New Roman"/>
                <w:sz w:val="21"/>
                <w:szCs w:val="21"/>
                <w:u w:val="none"/>
                <w:lang w:val="en-US" w:eastAsia="zh-CN"/>
              </w:rPr>
              <w:t>23</w:t>
            </w:r>
            <w:r>
              <w:rPr>
                <w:rFonts w:hint="default" w:ascii="Times New Roman" w:hAnsi="Times New Roman" w:cs="Times New Roman"/>
                <w:sz w:val="21"/>
                <w:szCs w:val="21"/>
                <w:u w:val="none"/>
              </w:rPr>
              <w:t>）中规定，对地面、围堰进行防渗处理。</w:t>
            </w:r>
            <w:r>
              <w:rPr>
                <w:rFonts w:hint="eastAsia" w:cs="Times New Roman"/>
                <w:sz w:val="21"/>
                <w:szCs w:val="21"/>
                <w:u w:val="none"/>
                <w:lang w:val="en-US" w:eastAsia="zh-CN"/>
              </w:rPr>
              <w:t>天然气储罐区配备消防灭火应急设施，并安装天然气报警装置。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31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pacing w:val="-8"/>
                <w:sz w:val="21"/>
                <w:szCs w:val="21"/>
                <w:u w:val="none"/>
              </w:rPr>
            </w:pPr>
            <w:r>
              <w:rPr>
                <w:rFonts w:hint="default" w:ascii="Times New Roman" w:hAnsi="Times New Roman" w:cs="Times New Roman"/>
                <w:b/>
                <w:bCs/>
                <w:spacing w:val="-8"/>
                <w:sz w:val="21"/>
                <w:szCs w:val="21"/>
                <w:u w:val="none"/>
              </w:rPr>
              <w:t>其他环境</w:t>
            </w:r>
          </w:p>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pacing w:val="-8"/>
                <w:sz w:val="21"/>
                <w:szCs w:val="21"/>
                <w:u w:val="none"/>
              </w:rPr>
            </w:pPr>
            <w:r>
              <w:rPr>
                <w:rFonts w:hint="default" w:ascii="Times New Roman" w:hAnsi="Times New Roman" w:cs="Times New Roman"/>
                <w:b/>
                <w:bCs/>
                <w:spacing w:val="-8"/>
                <w:sz w:val="21"/>
                <w:szCs w:val="21"/>
                <w:u w:val="none"/>
              </w:rPr>
              <w:t>管理要求</w:t>
            </w:r>
          </w:p>
        </w:tc>
        <w:tc>
          <w:tcPr>
            <w:tcW w:w="13709" w:type="dxa"/>
            <w:gridSpan w:val="5"/>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u w:val="none"/>
                <w:lang w:val="en-US" w:eastAsia="zh-CN"/>
              </w:rPr>
            </w:pPr>
            <w:r>
              <w:rPr>
                <w:rFonts w:hint="eastAsia"/>
                <w:color w:val="0000FF"/>
                <w:u w:val="none"/>
                <w:lang w:val="en-US" w:eastAsia="zh-CN"/>
              </w:rPr>
              <w:t>/</w:t>
            </w:r>
          </w:p>
        </w:tc>
      </w:tr>
    </w:tbl>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snapToGrid w:val="0"/>
        </w:rPr>
        <w:sectPr>
          <w:pgSz w:w="16838" w:h="11906" w:orient="landscape"/>
          <w:pgMar w:top="1080" w:right="1440" w:bottom="108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snapToGrid w:val="0"/>
        </w:rPr>
        <w:br w:type="page"/>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黑体" w:hAnsi="黑体" w:eastAsia="黑体"/>
          <w:snapToGrid w:val="0"/>
          <w:sz w:val="30"/>
          <w:szCs w:val="30"/>
        </w:rPr>
      </w:pPr>
      <w:r>
        <w:rPr>
          <w:rFonts w:hint="eastAsia" w:ascii="宋体" w:hAnsi="宋体" w:eastAsia="宋体" w:cs="宋体"/>
          <w:b/>
          <w:bCs/>
          <w:snapToGrid w:val="0"/>
          <w:sz w:val="30"/>
          <w:szCs w:val="30"/>
        </w:rPr>
        <w:t>六、结论</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cs="宋体"/>
                <w:sz w:val="24"/>
              </w:rPr>
            </w:pPr>
            <w:r>
              <w:rPr>
                <w:rFonts w:hint="eastAsia" w:cs="Times New Roman"/>
                <w:color w:val="auto"/>
                <w:sz w:val="24"/>
                <w:lang w:eastAsia="zh-CN"/>
              </w:rPr>
              <w:t>河南巨典游乐设备有限公司年产</w:t>
            </w:r>
            <w:r>
              <w:rPr>
                <w:rFonts w:hint="eastAsia" w:ascii="Times New Roman" w:hAnsi="Times New Roman" w:eastAsia="宋体" w:cs="Times New Roman"/>
                <w:sz w:val="24"/>
                <w:szCs w:val="24"/>
                <w:lang w:eastAsia="zh-CN"/>
              </w:rPr>
              <w:t>800吨游乐设备项目</w:t>
            </w:r>
            <w:r>
              <w:rPr>
                <w:rFonts w:hint="default" w:ascii="Times New Roman" w:hAnsi="Times New Roman" w:cs="Times New Roman"/>
                <w:color w:val="auto"/>
                <w:sz w:val="24"/>
              </w:rPr>
              <w:t>位于</w:t>
            </w:r>
            <w:r>
              <w:rPr>
                <w:rFonts w:hint="default" w:ascii="Times New Roman" w:hAnsi="Times New Roman" w:eastAsia="宋体" w:cs="Times New Roman"/>
                <w:sz w:val="24"/>
                <w:szCs w:val="24"/>
                <w:lang w:val="en-US"/>
              </w:rPr>
              <w:t>平顶山市鲁山县先进制造业开发区北区兴工路路北河南方圆炭素集团院内8号厂房</w:t>
            </w:r>
            <w:r>
              <w:rPr>
                <w:rFonts w:hint="default" w:ascii="Times New Roman" w:hAnsi="Times New Roman" w:cs="Times New Roman"/>
                <w:color w:val="auto"/>
                <w:sz w:val="24"/>
              </w:rPr>
              <w:t>，用地性质为</w:t>
            </w:r>
            <w:r>
              <w:rPr>
                <w:rFonts w:hint="eastAsia" w:cs="Times New Roman"/>
                <w:color w:val="auto"/>
                <w:sz w:val="24"/>
                <w:lang w:val="en-US" w:eastAsia="zh-CN"/>
              </w:rPr>
              <w:t>工业</w:t>
            </w:r>
            <w:r>
              <w:rPr>
                <w:rFonts w:hint="default" w:ascii="Times New Roman" w:hAnsi="Times New Roman" w:cs="Times New Roman"/>
                <w:color w:val="auto"/>
                <w:sz w:val="24"/>
              </w:rPr>
              <w:t>用地，选址可行；项</w:t>
            </w:r>
            <w:r>
              <w:rPr>
                <w:rFonts w:hint="default" w:ascii="Times New Roman" w:hAnsi="Times New Roman" w:cs="Times New Roman"/>
                <w:sz w:val="24"/>
              </w:rPr>
              <w:t>目属于</w:t>
            </w:r>
            <w:r>
              <w:rPr>
                <w:rFonts w:hint="eastAsia" w:cs="Times New Roman"/>
                <w:sz w:val="24"/>
                <w:lang w:val="en-US" w:eastAsia="zh-CN"/>
              </w:rPr>
              <w:t>允许</w:t>
            </w:r>
            <w:r>
              <w:rPr>
                <w:rFonts w:hint="default" w:ascii="Times New Roman" w:hAnsi="Times New Roman" w:cs="Times New Roman"/>
                <w:sz w:val="24"/>
              </w:rPr>
              <w:t>类建设项目，符合当前国家产业政策。在采取相应的治理措施后，可满足相应的国家排放标准。建设单位在施工期、运营期应当在执行“三同时”原则的基础上，严格执行国家的环保法律法规，切实落实本环评中提出的各项污染防治和生态保护措施，将对周围环境的影响降低到可接受的程度，从环保角度看，本项目的建设可行。</w:t>
            </w:r>
          </w:p>
        </w:tc>
      </w:tr>
    </w:tbl>
    <w:p>
      <w:pPr>
        <w:rPr>
          <w:rFonts w:ascii="宋体"/>
        </w:rPr>
        <w:sectPr>
          <w:pgSz w:w="11906" w:h="16838"/>
          <w:pgMar w:top="1440" w:right="1083" w:bottom="1440" w:left="1083"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eastAsia" w:ascii="宋体" w:hAnsi="宋体" w:eastAsia="宋体" w:cs="宋体"/>
          <w:b/>
          <w:bCs/>
          <w:snapToGrid w:val="0"/>
          <w:sz w:val="32"/>
          <w:szCs w:val="32"/>
        </w:rPr>
      </w:pPr>
      <w:r>
        <w:rPr>
          <w:rFonts w:hint="eastAsia" w:ascii="宋体" w:hAnsi="宋体" w:eastAsia="宋体" w:cs="宋体"/>
          <w:b/>
          <w:bCs/>
          <w:snapToGrid w:val="0"/>
          <w:sz w:val="32"/>
          <w:szCs w:val="32"/>
        </w:rPr>
        <w:t>附表</w:t>
      </w:r>
    </w:p>
    <w:p>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宋体" w:hAnsi="宋体" w:eastAsia="宋体" w:cs="宋体"/>
          <w:b/>
          <w:bCs/>
          <w:snapToGrid w:val="0"/>
          <w:sz w:val="38"/>
          <w:szCs w:val="38"/>
        </w:rPr>
      </w:pPr>
      <w:r>
        <w:rPr>
          <w:rFonts w:hint="eastAsia" w:ascii="宋体" w:hAnsi="宋体" w:eastAsia="宋体" w:cs="宋体"/>
          <w:b/>
          <w:bCs/>
          <w:snapToGrid w:val="0"/>
          <w:sz w:val="38"/>
          <w:szCs w:val="38"/>
        </w:rPr>
        <w:t>建设项目污染物排放量汇总表</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127"/>
        <w:gridCol w:w="1270"/>
        <w:gridCol w:w="1298"/>
        <w:gridCol w:w="1730"/>
        <w:gridCol w:w="1585"/>
        <w:gridCol w:w="1790"/>
        <w:gridCol w:w="1615"/>
        <w:gridCol w:w="12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384" w:type="dxa"/>
            <w:tcBorders>
              <w:tl2br w:val="single" w:color="auto" w:sz="4" w:space="0"/>
            </w:tcBorders>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jc w:val="righ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项目</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jc w:val="lef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分类</w:t>
            </w:r>
          </w:p>
        </w:tc>
        <w:tc>
          <w:tcPr>
            <w:tcW w:w="2127"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污染物名称</w:t>
            </w:r>
          </w:p>
        </w:tc>
        <w:tc>
          <w:tcPr>
            <w:tcW w:w="1270"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现有工程</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1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①</w:t>
            </w:r>
            <w:r>
              <w:rPr>
                <w:rFonts w:hint="default" w:ascii="Times New Roman" w:hAnsi="Times New Roman" w:eastAsia="宋体" w:cs="Times New Roman"/>
                <w:snapToGrid w:val="0"/>
                <w:color w:val="auto"/>
                <w:spacing w:val="-6"/>
                <w:kern w:val="21"/>
                <w:sz w:val="24"/>
                <w:szCs w:val="24"/>
              </w:rPr>
              <w:fldChar w:fldCharType="end"/>
            </w:r>
          </w:p>
        </w:tc>
        <w:tc>
          <w:tcPr>
            <w:tcW w:w="1298"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现有工程</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许可排放量</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2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snapToGrid w:val="0"/>
                <w:color w:val="auto"/>
                <w:spacing w:val="-6"/>
                <w:kern w:val="21"/>
                <w:sz w:val="24"/>
                <w:szCs w:val="24"/>
              </w:rPr>
              <w:t>②</w:t>
            </w:r>
            <w:r>
              <w:rPr>
                <w:rFonts w:hint="default" w:ascii="Times New Roman" w:hAnsi="Times New Roman" w:eastAsia="宋体" w:cs="Times New Roman"/>
                <w:snapToGrid w:val="0"/>
                <w:color w:val="auto"/>
                <w:spacing w:val="-6"/>
                <w:kern w:val="21"/>
                <w:sz w:val="24"/>
                <w:szCs w:val="24"/>
              </w:rPr>
              <w:fldChar w:fldCharType="end"/>
            </w:r>
          </w:p>
        </w:tc>
        <w:tc>
          <w:tcPr>
            <w:tcW w:w="1730"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在建工程</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3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③</w:t>
            </w:r>
            <w:r>
              <w:rPr>
                <w:rFonts w:hint="default" w:ascii="Times New Roman" w:hAnsi="Times New Roman" w:eastAsia="宋体" w:cs="Times New Roman"/>
                <w:snapToGrid w:val="0"/>
                <w:color w:val="auto"/>
                <w:spacing w:val="-6"/>
                <w:kern w:val="21"/>
                <w:sz w:val="24"/>
                <w:szCs w:val="24"/>
              </w:rPr>
              <w:fldChar w:fldCharType="end"/>
            </w:r>
          </w:p>
        </w:tc>
        <w:tc>
          <w:tcPr>
            <w:tcW w:w="1585"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本项目</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4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④</w:t>
            </w:r>
            <w:r>
              <w:rPr>
                <w:rFonts w:hint="default" w:ascii="Times New Roman" w:hAnsi="Times New Roman" w:eastAsia="宋体" w:cs="Times New Roman"/>
                <w:snapToGrid w:val="0"/>
                <w:color w:val="auto"/>
                <w:spacing w:val="-6"/>
                <w:kern w:val="21"/>
                <w:sz w:val="24"/>
                <w:szCs w:val="24"/>
              </w:rPr>
              <w:fldChar w:fldCharType="end"/>
            </w:r>
          </w:p>
        </w:tc>
        <w:tc>
          <w:tcPr>
            <w:tcW w:w="1790"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以新带老削减量</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（新建项目不填）</w:t>
            </w:r>
            <w:r>
              <w:rPr>
                <w:rFonts w:hint="default" w:ascii="Times New Roman" w:hAnsi="Times New Roman" w:eastAsia="宋体" w:cs="Times New Roman"/>
                <w:snapToGrid w:val="0"/>
                <w:color w:val="auto"/>
                <w:spacing w:val="-16"/>
                <w:kern w:val="21"/>
                <w:sz w:val="24"/>
                <w:szCs w:val="24"/>
              </w:rPr>
              <w:fldChar w:fldCharType="begin"/>
            </w:r>
            <w:r>
              <w:rPr>
                <w:rFonts w:hint="default" w:ascii="Times New Roman" w:hAnsi="Times New Roman" w:eastAsia="宋体" w:cs="Times New Roman"/>
                <w:snapToGrid w:val="0"/>
                <w:color w:val="auto"/>
                <w:spacing w:val="-16"/>
                <w:kern w:val="21"/>
                <w:sz w:val="24"/>
                <w:szCs w:val="24"/>
              </w:rPr>
              <w:instrText xml:space="preserve"> = 5 \* GB3 \* MERGEFORMAT </w:instrText>
            </w:r>
            <w:r>
              <w:rPr>
                <w:rFonts w:hint="default" w:ascii="Times New Roman" w:hAnsi="Times New Roman" w:eastAsia="宋体" w:cs="Times New Roman"/>
                <w:snapToGrid w:val="0"/>
                <w:color w:val="auto"/>
                <w:spacing w:val="-16"/>
                <w:kern w:val="21"/>
                <w:sz w:val="24"/>
                <w:szCs w:val="24"/>
              </w:rPr>
              <w:fldChar w:fldCharType="separate"/>
            </w:r>
            <w:r>
              <w:rPr>
                <w:rFonts w:hint="default" w:ascii="Times New Roman" w:hAnsi="Times New Roman" w:eastAsia="宋体" w:cs="Times New Roman"/>
                <w:color w:val="auto"/>
                <w:kern w:val="2"/>
                <w:sz w:val="24"/>
                <w:szCs w:val="24"/>
              </w:rPr>
              <w:t>⑤</w:t>
            </w:r>
            <w:r>
              <w:rPr>
                <w:rFonts w:hint="default" w:ascii="Times New Roman" w:hAnsi="Times New Roman" w:eastAsia="宋体" w:cs="Times New Roman"/>
                <w:snapToGrid w:val="0"/>
                <w:color w:val="auto"/>
                <w:spacing w:val="-16"/>
                <w:kern w:val="21"/>
                <w:sz w:val="24"/>
                <w:szCs w:val="24"/>
              </w:rPr>
              <w:fldChar w:fldCharType="end"/>
            </w:r>
          </w:p>
        </w:tc>
        <w:tc>
          <w:tcPr>
            <w:tcW w:w="1615"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本项目建成后</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全厂排放量（固体废物产生量）</w:t>
            </w:r>
            <w:r>
              <w:rPr>
                <w:rFonts w:hint="default" w:ascii="Times New Roman" w:hAnsi="Times New Roman" w:eastAsia="宋体" w:cs="Times New Roman"/>
                <w:snapToGrid w:val="0"/>
                <w:color w:val="auto"/>
                <w:spacing w:val="-16"/>
                <w:kern w:val="21"/>
                <w:sz w:val="24"/>
                <w:szCs w:val="24"/>
              </w:rPr>
              <w:fldChar w:fldCharType="begin"/>
            </w:r>
            <w:r>
              <w:rPr>
                <w:rFonts w:hint="default" w:ascii="Times New Roman" w:hAnsi="Times New Roman" w:eastAsia="宋体" w:cs="Times New Roman"/>
                <w:snapToGrid w:val="0"/>
                <w:color w:val="auto"/>
                <w:spacing w:val="-16"/>
                <w:kern w:val="21"/>
                <w:sz w:val="24"/>
                <w:szCs w:val="24"/>
              </w:rPr>
              <w:instrText xml:space="preserve"> = 6 \* GB3 \* MERGEFORMAT </w:instrText>
            </w:r>
            <w:r>
              <w:rPr>
                <w:rFonts w:hint="default" w:ascii="Times New Roman" w:hAnsi="Times New Roman" w:eastAsia="宋体" w:cs="Times New Roman"/>
                <w:snapToGrid w:val="0"/>
                <w:color w:val="auto"/>
                <w:spacing w:val="-16"/>
                <w:kern w:val="21"/>
                <w:sz w:val="24"/>
                <w:szCs w:val="24"/>
              </w:rPr>
              <w:fldChar w:fldCharType="separate"/>
            </w:r>
            <w:r>
              <w:rPr>
                <w:rFonts w:hint="default" w:ascii="Times New Roman" w:hAnsi="Times New Roman" w:eastAsia="宋体" w:cs="Times New Roman"/>
                <w:color w:val="auto"/>
                <w:kern w:val="2"/>
                <w:sz w:val="24"/>
                <w:szCs w:val="24"/>
              </w:rPr>
              <w:t>⑥</w:t>
            </w:r>
            <w:r>
              <w:rPr>
                <w:rFonts w:hint="default" w:ascii="Times New Roman" w:hAnsi="Times New Roman" w:eastAsia="宋体" w:cs="Times New Roman"/>
                <w:snapToGrid w:val="0"/>
                <w:color w:val="auto"/>
                <w:spacing w:val="-16"/>
                <w:kern w:val="21"/>
                <w:sz w:val="24"/>
                <w:szCs w:val="24"/>
              </w:rPr>
              <w:fldChar w:fldCharType="end"/>
            </w:r>
          </w:p>
        </w:tc>
        <w:tc>
          <w:tcPr>
            <w:tcW w:w="1215"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变化量</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7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⑦</w:t>
            </w:r>
            <w:r>
              <w:rPr>
                <w:rFonts w:hint="default" w:ascii="Times New Roman" w:hAnsi="Times New Roman" w:eastAsia="宋体" w:cs="Times New Roman"/>
                <w:snapToGrid w:val="0"/>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废气</w:t>
            </w: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颗粒物</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0.</w:t>
            </w:r>
            <w:r>
              <w:rPr>
                <w:rFonts w:hint="eastAsia" w:ascii="Times New Roman" w:cs="Times New Roman"/>
                <w:snapToGrid w:val="0"/>
                <w:color w:val="auto"/>
                <w:kern w:val="21"/>
                <w:sz w:val="24"/>
                <w:szCs w:val="24"/>
                <w:lang w:val="en-US" w:eastAsia="zh-CN"/>
              </w:rPr>
              <w:t>15</w:t>
            </w:r>
            <w:r>
              <w:rPr>
                <w:rFonts w:hint="default" w:ascii="Times New Roman" w:hAnsi="Times New Roman" w:cs="Times New Roman"/>
                <w:snapToGrid w:val="0"/>
                <w:color w:val="auto"/>
                <w:kern w:val="21"/>
                <w:sz w:val="24"/>
                <w:szCs w:val="24"/>
                <w:lang w:val="en-US" w:eastAsia="zh-CN"/>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cs="Times New Roman"/>
                <w:snapToGrid w:val="0"/>
                <w:color w:val="auto"/>
                <w:kern w:val="21"/>
                <w:sz w:val="24"/>
                <w:szCs w:val="24"/>
                <w:lang w:val="en-US" w:eastAsia="zh-CN"/>
              </w:rPr>
              <w:t>0.</w:t>
            </w:r>
            <w:r>
              <w:rPr>
                <w:rFonts w:hint="eastAsia" w:ascii="Times New Roman" w:cs="Times New Roman"/>
                <w:snapToGrid w:val="0"/>
                <w:color w:val="auto"/>
                <w:kern w:val="21"/>
                <w:sz w:val="24"/>
                <w:szCs w:val="24"/>
                <w:lang w:val="en-US" w:eastAsia="zh-CN"/>
              </w:rPr>
              <w:t>15</w:t>
            </w:r>
            <w:r>
              <w:rPr>
                <w:rFonts w:hint="default" w:ascii="Times New Roman" w:hAnsi="Times New Roman"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有机废气（非甲烷总烃）</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0.00924</w:t>
            </w:r>
            <w:r>
              <w:rPr>
                <w:rFonts w:hint="default" w:ascii="Times New Roman" w:hAnsi="Times New Roman" w:cs="Times New Roman"/>
                <w:snapToGrid w:val="0"/>
                <w:color w:val="auto"/>
                <w:kern w:val="21"/>
                <w:sz w:val="24"/>
                <w:szCs w:val="24"/>
                <w:lang w:val="en-US" w:eastAsia="zh-CN"/>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0.00924</w:t>
            </w:r>
            <w:r>
              <w:rPr>
                <w:rFonts w:hint="default" w:ascii="Times New Roman" w:hAnsi="Times New Roman"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SO</w:t>
            </w:r>
            <w:r>
              <w:rPr>
                <w:rFonts w:hint="eastAsia" w:ascii="Times New Roman" w:cs="Times New Roman"/>
                <w:snapToGrid w:val="0"/>
                <w:color w:val="auto"/>
                <w:kern w:val="21"/>
                <w:sz w:val="24"/>
                <w:szCs w:val="24"/>
                <w:vertAlign w:val="subscript"/>
                <w:lang w:val="en-US" w:eastAsia="zh-CN"/>
              </w:rPr>
              <w:t>2</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cs="Times New Roman"/>
                <w:snapToGrid w:val="0"/>
                <w:color w:val="auto"/>
                <w:kern w:val="21"/>
                <w:sz w:val="24"/>
                <w:szCs w:val="24"/>
                <w:lang w:val="en-US" w:eastAsia="zh-CN"/>
              </w:rPr>
            </w:pP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0.001476t/a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0.001476t/a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cs="Times New Roman"/>
                <w:snapToGrid w:val="0"/>
                <w:color w:val="auto"/>
                <w:kern w:val="21"/>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NOx</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cs="Times New Roman"/>
                <w:snapToGrid w:val="0"/>
                <w:color w:val="auto"/>
                <w:kern w:val="21"/>
                <w:sz w:val="24"/>
                <w:szCs w:val="24"/>
                <w:lang w:val="en-US" w:eastAsia="zh-CN"/>
              </w:rPr>
            </w:pP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0.01109t/a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0.01109</w:t>
            </w:r>
            <w:r>
              <w:rPr>
                <w:rFonts w:hint="default" w:ascii="Times New Roman" w:hAnsi="Times New Roman"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cs="Times New Roman"/>
                <w:snapToGrid w:val="0"/>
                <w:color w:val="auto"/>
                <w:kern w:val="21"/>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废水</w:t>
            </w: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COD</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w:t>
            </w:r>
            <w:r>
              <w:rPr>
                <w:rFonts w:hint="default" w:ascii="Times New Roman" w:hAnsi="Times New Roman" w:cs="Times New Roman"/>
                <w:snapToGrid w:val="0"/>
                <w:color w:val="auto"/>
                <w:kern w:val="21"/>
                <w:sz w:val="24"/>
                <w:szCs w:val="24"/>
                <w:lang w:val="en-US" w:eastAsia="zh-CN"/>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w:t>
            </w:r>
            <w:r>
              <w:rPr>
                <w:rFonts w:hint="default" w:ascii="Times New Roman" w:hAnsi="Times New Roman"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NH</w:t>
            </w:r>
            <w:r>
              <w:rPr>
                <w:rFonts w:hint="default" w:ascii="Times New Roman" w:hAnsi="Times New Roman" w:cs="Times New Roman"/>
                <w:snapToGrid w:val="0"/>
                <w:color w:val="auto"/>
                <w:kern w:val="21"/>
                <w:sz w:val="24"/>
                <w:szCs w:val="24"/>
                <w:vertAlign w:val="subscript"/>
                <w:lang w:val="en-US" w:eastAsia="zh-CN"/>
              </w:rPr>
              <w:t>3</w:t>
            </w:r>
            <w:r>
              <w:rPr>
                <w:rFonts w:hint="default" w:ascii="Times New Roman" w:hAnsi="Times New Roman" w:cs="Times New Roman"/>
                <w:snapToGrid w:val="0"/>
                <w:color w:val="auto"/>
                <w:kern w:val="21"/>
                <w:sz w:val="24"/>
                <w:szCs w:val="24"/>
                <w:lang w:val="en-US" w:eastAsia="zh-CN"/>
              </w:rPr>
              <w:t>-N</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w:t>
            </w:r>
            <w:r>
              <w:rPr>
                <w:rFonts w:hint="default" w:ascii="Times New Roman" w:hAnsi="Times New Roman" w:cs="Times New Roman"/>
                <w:snapToGrid w:val="0"/>
                <w:color w:val="auto"/>
                <w:kern w:val="21"/>
                <w:sz w:val="24"/>
                <w:szCs w:val="24"/>
                <w:lang w:val="en-US" w:eastAsia="zh-CN"/>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w:t>
            </w:r>
            <w:r>
              <w:rPr>
                <w:rFonts w:hint="default" w:ascii="Times New Roman" w:hAnsi="Times New Roman"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一般工业</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固体废物</w:t>
            </w:r>
          </w:p>
        </w:tc>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除尘器收集尘</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eastAsia" w:ascii="Times New Roman" w:cs="Times New Roman"/>
                <w:snapToGrid w:val="0"/>
                <w:color w:val="auto"/>
                <w:kern w:val="21"/>
                <w:sz w:val="24"/>
                <w:szCs w:val="24"/>
                <w:lang w:val="en-US" w:eastAsia="zh-CN"/>
              </w:rPr>
              <w:t>1.147</w:t>
            </w:r>
            <w:r>
              <w:rPr>
                <w:rFonts w:hint="default" w:ascii="Times New Roman" w:hAnsi="Times New Roman" w:eastAsia="宋体" w:cs="Times New Roman"/>
                <w:snapToGrid w:val="0"/>
                <w:color w:val="auto"/>
                <w:kern w:val="21"/>
                <w:sz w:val="24"/>
                <w:szCs w:val="24"/>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eastAsia" w:ascii="Times New Roman" w:cs="Times New Roman"/>
                <w:snapToGrid w:val="0"/>
                <w:color w:val="auto"/>
                <w:kern w:val="21"/>
                <w:sz w:val="24"/>
                <w:szCs w:val="24"/>
                <w:lang w:val="en-US" w:eastAsia="zh-CN"/>
              </w:rPr>
              <w:t>1.147</w:t>
            </w:r>
            <w:r>
              <w:rPr>
                <w:rFonts w:hint="default" w:ascii="Times New Roman" w:hAnsi="Times New Roman" w:eastAsia="宋体"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废边角料</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7.979</w:t>
            </w:r>
            <w:r>
              <w:rPr>
                <w:rFonts w:hint="default" w:ascii="Times New Roman" w:hAnsi="Times New Roman" w:eastAsia="宋体" w:cs="Times New Roman"/>
                <w:snapToGrid w:val="0"/>
                <w:color w:val="auto"/>
                <w:kern w:val="21"/>
                <w:sz w:val="24"/>
                <w:szCs w:val="24"/>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7.979</w:t>
            </w:r>
            <w:r>
              <w:rPr>
                <w:rFonts w:hint="default" w:ascii="Times New Roman" w:hAnsi="Times New Roman" w:eastAsia="宋体"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职工生活</w:t>
            </w:r>
          </w:p>
        </w:tc>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rPr>
            </w:pPr>
            <w:r>
              <w:rPr>
                <w:rFonts w:hint="default" w:ascii="Times New Roman" w:hAnsi="Times New Roman" w:cs="Times New Roman"/>
                <w:snapToGrid w:val="0"/>
                <w:color w:val="auto"/>
                <w:kern w:val="21"/>
                <w:sz w:val="24"/>
                <w:szCs w:val="24"/>
                <w:lang w:val="en-US" w:eastAsia="zh-CN"/>
              </w:rPr>
              <w:t>生活垃圾</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1.5</w:t>
            </w:r>
            <w:r>
              <w:rPr>
                <w:rFonts w:hint="default" w:ascii="Times New Roman" w:hAnsi="Times New Roman" w:cs="Times New Roman"/>
                <w:snapToGrid w:val="0"/>
                <w:color w:val="auto"/>
                <w:kern w:val="21"/>
                <w:sz w:val="24"/>
                <w:szCs w:val="24"/>
                <w:lang w:val="en-US" w:eastAsia="zh-CN"/>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eastAsia" w:ascii="Times New Roman" w:cs="Times New Roman"/>
                <w:snapToGrid w:val="0"/>
                <w:color w:val="auto"/>
                <w:kern w:val="21"/>
                <w:sz w:val="24"/>
                <w:szCs w:val="24"/>
                <w:lang w:val="en-US" w:eastAsia="zh-CN"/>
              </w:rPr>
              <w:t>1.5</w:t>
            </w:r>
            <w:r>
              <w:rPr>
                <w:rFonts w:hint="default" w:ascii="Times New Roman" w:hAnsi="Times New Roman"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危险废物</w:t>
            </w: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废机油</w:t>
            </w:r>
            <w:r>
              <w:rPr>
                <w:rFonts w:hint="eastAsia" w:ascii="Times New Roman" w:cs="Times New Roman"/>
                <w:snapToGrid w:val="0"/>
                <w:color w:val="auto"/>
                <w:kern w:val="21"/>
                <w:sz w:val="24"/>
                <w:szCs w:val="24"/>
                <w:lang w:val="en-US" w:eastAsia="zh-CN"/>
              </w:rPr>
              <w:t>、废润滑油</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0.05</w:t>
            </w:r>
            <w:r>
              <w:rPr>
                <w:rFonts w:hint="default" w:ascii="Times New Roman" w:hAnsi="Times New Roman" w:cs="Times New Roman"/>
                <w:snapToGrid w:val="0"/>
                <w:color w:val="auto"/>
                <w:kern w:val="21"/>
                <w:sz w:val="24"/>
                <w:szCs w:val="24"/>
                <w:lang w:val="en-US" w:eastAsia="zh-CN"/>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eastAsia" w:ascii="Times New Roman" w:cs="Times New Roman"/>
                <w:snapToGrid w:val="0"/>
                <w:color w:val="auto"/>
                <w:kern w:val="21"/>
                <w:sz w:val="24"/>
                <w:szCs w:val="24"/>
                <w:lang w:val="en-US" w:eastAsia="zh-CN"/>
              </w:rPr>
              <w:t>0.05</w:t>
            </w:r>
            <w:r>
              <w:rPr>
                <w:rFonts w:hint="default" w:ascii="Times New Roman" w:hAnsi="Times New Roman"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废活性炭</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0.1292t/a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0.1292t/a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废催化板</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0.006t/a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0.006t/a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废UV灯管</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108根/a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108根/a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r>
    </w:tbl>
    <w:p>
      <w:pPr>
        <w:pStyle w:val="38"/>
        <w:spacing w:before="192" w:beforeLines="80" w:after="24"/>
        <w:jc w:val="left"/>
        <w:rPr>
          <w:rFonts w:hint="default" w:ascii="Times New Roman" w:hAnsi="Times New Roman" w:cs="Times New Roman"/>
          <w:snapToGrid w:val="0"/>
          <w:color w:val="000000"/>
          <w:spacing w:val="-6"/>
          <w:kern w:val="21"/>
          <w:szCs w:val="21"/>
        </w:rPr>
      </w:pPr>
      <w:r>
        <w:rPr>
          <w:rFonts w:hint="default" w:ascii="Times New Roman" w:hAnsi="Times New Roman" w:cs="Times New Roman"/>
          <w:snapToGrid w:val="0"/>
          <w:color w:val="000000"/>
          <w:kern w:val="21"/>
          <w:szCs w:val="21"/>
        </w:rPr>
        <w:t>注：</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3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③</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4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④</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5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⑤</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7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⑦</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p>
    <w:p>
      <w:pPr>
        <w:rPr>
          <w:rFonts w:hint="eastAsia"/>
          <w:lang w:eastAsia="zh-CN"/>
        </w:rPr>
        <w:sectPr>
          <w:footerReference r:id="rId9" w:type="default"/>
          <w:pgSz w:w="16838" w:h="11906" w:orient="landscape"/>
          <w:pgMar w:top="1083" w:right="1440" w:bottom="1083" w:left="1440" w:header="851" w:footer="850" w:gutter="0"/>
          <w:pgBorders>
            <w:top w:val="none" w:sz="0" w:space="0"/>
            <w:left w:val="none" w:sz="0" w:space="0"/>
            <w:bottom w:val="none" w:sz="0" w:space="0"/>
            <w:right w:val="none" w:sz="0" w:space="0"/>
          </w:pgBorders>
          <w:cols w:space="0" w:num="1"/>
          <w:rtlGutter w:val="0"/>
          <w:docGrid w:linePitch="312" w:charSpace="0"/>
        </w:sectPr>
      </w:pPr>
    </w:p>
    <w:p>
      <w:pPr>
        <w:bidi w:val="0"/>
        <w:jc w:val="center"/>
      </w:pPr>
      <w:r>
        <w:rPr>
          <w:rFonts w:hint="eastAsia" w:eastAsiaTheme="minorEastAsia"/>
          <w:lang w:eastAsia="zh-CN"/>
        </w:rPr>
        <w:drawing>
          <wp:anchor distT="0" distB="0" distL="114300" distR="114300" simplePos="0" relativeHeight="251692032" behindDoc="0" locked="0" layoutInCell="1" allowOverlap="1">
            <wp:simplePos x="0" y="0"/>
            <wp:positionH relativeFrom="column">
              <wp:posOffset>7953375</wp:posOffset>
            </wp:positionH>
            <wp:positionV relativeFrom="paragraph">
              <wp:posOffset>4669155</wp:posOffset>
            </wp:positionV>
            <wp:extent cx="1133475" cy="476250"/>
            <wp:effectExtent l="0" t="0" r="9525" b="0"/>
            <wp:wrapNone/>
            <wp:docPr id="53" name="图片 53" descr="1f41db383246e33a0d674a858c5c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f41db383246e33a0d674a858c5c624"/>
                    <pic:cNvPicPr>
                      <a:picLocks noChangeAspect="1"/>
                    </pic:cNvPicPr>
                  </pic:nvPicPr>
                  <pic:blipFill>
                    <a:blip r:embed="rId28"/>
                    <a:stretch>
                      <a:fillRect/>
                    </a:stretch>
                  </pic:blipFill>
                  <pic:spPr>
                    <a:xfrm>
                      <a:off x="0" y="0"/>
                      <a:ext cx="1133475" cy="476250"/>
                    </a:xfrm>
                    <a:prstGeom prst="rect">
                      <a:avLst/>
                    </a:prstGeom>
                  </pic:spPr>
                </pic:pic>
              </a:graphicData>
            </a:graphic>
          </wp:anchor>
        </w:drawing>
      </w:r>
      <w:r>
        <w:rPr>
          <w:rFonts w:hint="eastAsia" w:eastAsia="宋体"/>
          <w:snapToGrid w:val="0"/>
          <w:color w:val="auto"/>
          <w:kern w:val="0"/>
          <w:sz w:val="28"/>
          <w:szCs w:val="28"/>
          <w:u w:val="none"/>
          <w:lang w:eastAsia="zh-CN"/>
        </w:rPr>
        <w:drawing>
          <wp:anchor distT="0" distB="0" distL="114300" distR="114300" simplePos="0" relativeHeight="251673600" behindDoc="0" locked="0" layoutInCell="1" allowOverlap="1">
            <wp:simplePos x="0" y="0"/>
            <wp:positionH relativeFrom="column">
              <wp:posOffset>8194040</wp:posOffset>
            </wp:positionH>
            <wp:positionV relativeFrom="paragraph">
              <wp:posOffset>110490</wp:posOffset>
            </wp:positionV>
            <wp:extent cx="895350" cy="876300"/>
            <wp:effectExtent l="0" t="0" r="0" b="0"/>
            <wp:wrapNone/>
            <wp:docPr id="32" name="图片 2" descr="Snipaste_2023-04-18_11-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Snipaste_2023-04-18_11-24-51"/>
                    <pic:cNvPicPr>
                      <a:picLocks noChangeAspect="1"/>
                    </pic:cNvPicPr>
                  </pic:nvPicPr>
                  <pic:blipFill>
                    <a:blip r:embed="rId29"/>
                    <a:stretch>
                      <a:fillRect/>
                    </a:stretch>
                  </pic:blipFill>
                  <pic:spPr>
                    <a:xfrm>
                      <a:off x="0" y="0"/>
                      <a:ext cx="895350" cy="876300"/>
                    </a:xfrm>
                    <a:prstGeom prst="rect">
                      <a:avLst/>
                    </a:prstGeom>
                    <a:noFill/>
                    <a:ln>
                      <a:noFill/>
                    </a:ln>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6607175</wp:posOffset>
                </wp:positionH>
                <wp:positionV relativeFrom="paragraph">
                  <wp:posOffset>2248535</wp:posOffset>
                </wp:positionV>
                <wp:extent cx="1008380" cy="279400"/>
                <wp:effectExtent l="0" t="0" r="0" b="0"/>
                <wp:wrapNone/>
                <wp:docPr id="6" name="文本框 6"/>
                <wp:cNvGraphicFramePr/>
                <a:graphic xmlns:a="http://schemas.openxmlformats.org/drawingml/2006/main">
                  <a:graphicData uri="http://schemas.microsoft.com/office/word/2010/wordprocessingShape">
                    <wps:wsp>
                      <wps:cNvSpPr txBox="1"/>
                      <wps:spPr>
                        <a:xfrm>
                          <a:off x="6169025" y="4296410"/>
                          <a:ext cx="1008380" cy="279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4"/>
                                <w:szCs w:val="24"/>
                                <w:lang w:val="en-US" w:eastAsia="zh-CN"/>
                              </w:rPr>
                            </w:pPr>
                            <w:r>
                              <w:rPr>
                                <w:rFonts w:hint="eastAsia"/>
                                <w:b/>
                                <w:bCs/>
                                <w:sz w:val="24"/>
                                <w:szCs w:val="24"/>
                                <w:lang w:val="en-US" w:eastAsia="zh-CN"/>
                              </w:rPr>
                              <w:t>本项目位置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0.25pt;margin-top:177.05pt;height:22pt;width:79.4pt;z-index:251664384;mso-width-relative:page;mso-height-relative:page;" filled="f" stroked="f" coordsize="21600,21600" o:gfxdata="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kpNov3QAAAA0BAAAPAAAA&#10;AAAAAAEAIAAAACIAAABkcnMvZG93bnJldi54bWxQSwECFAAUAAAACACHTuJA8taXhEkCAAByBAAA&#10;DgAAAAAAAAABACAAAAAsAQAAZHJzL2Uyb0RvYy54bWxQSwUGAAAAAAYABgBZAQAA5wUAAAAA&#10;">
                <v:fill on="f" focussize="0,0"/>
                <v:stroke on="f" weight="0.5pt"/>
                <v:imagedata o:title=""/>
                <o:lock v:ext="edit" aspectratio="f"/>
                <v:textbox>
                  <w:txbxContent>
                    <w:p>
                      <w:pPr>
                        <w:rPr>
                          <w:rFonts w:hint="default" w:eastAsia="宋体"/>
                          <w:b/>
                          <w:bCs/>
                          <w:sz w:val="24"/>
                          <w:szCs w:val="24"/>
                          <w:lang w:val="en-US" w:eastAsia="zh-CN"/>
                        </w:rPr>
                      </w:pPr>
                      <w:r>
                        <w:rPr>
                          <w:rFonts w:hint="eastAsia"/>
                          <w:b/>
                          <w:bCs/>
                          <w:sz w:val="24"/>
                          <w:szCs w:val="24"/>
                          <w:lang w:val="en-US" w:eastAsia="zh-CN"/>
                        </w:rPr>
                        <w:t>本项目位置</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6266815</wp:posOffset>
                </wp:positionH>
                <wp:positionV relativeFrom="paragraph">
                  <wp:posOffset>2572385</wp:posOffset>
                </wp:positionV>
                <wp:extent cx="121920" cy="102235"/>
                <wp:effectExtent l="0" t="0" r="11430" b="12065"/>
                <wp:wrapNone/>
                <wp:docPr id="5" name="等腰三角形 5"/>
                <wp:cNvGraphicFramePr/>
                <a:graphic xmlns:a="http://schemas.openxmlformats.org/drawingml/2006/main">
                  <a:graphicData uri="http://schemas.microsoft.com/office/word/2010/wordprocessingShape">
                    <wps:wsp>
                      <wps:cNvSpPr/>
                      <wps:spPr>
                        <a:xfrm>
                          <a:off x="5772150" y="4566285"/>
                          <a:ext cx="121920" cy="10223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93.45pt;margin-top:202.55pt;height:8.05pt;width:9.6pt;z-index:251663360;v-text-anchor:middle;mso-width-relative:page;mso-height-relative:page;" fillcolor="#FF0000" filled="t" stroked="f" coordsize="21600,21600" o:gfxdata="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vcxajbAAAA&#10;DAEAAA8AAAAAAAAAAQAgAAAAIgAAAGRycy9kb3ducmV2LnhtbFBLAQIUABQAAAAIAIdO4kDWfUls&#10;jAIAAOMEAAAOAAAAAAAAAAEAIAAAACoBAABkcnMvZTJvRG9jLnhtbFBLBQYAAAAABgAGAFkBAAAo&#10;BgAAAAA=&#10;" adj="10800">
                <v:fill on="t" focussize="0,0"/>
                <v:stroke on="f" weight="1pt" miterlimit="8" joinstyle="miter"/>
                <v:imagedata o:title=""/>
                <o:lock v:ext="edit" aspectratio="f"/>
              </v:shape>
            </w:pict>
          </mc:Fallback>
        </mc:AlternateContent>
      </w:r>
      <w:r>
        <w:drawing>
          <wp:inline distT="0" distB="0" distL="114300" distR="114300">
            <wp:extent cx="8985885" cy="5182870"/>
            <wp:effectExtent l="0" t="0" r="5715" b="1778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0"/>
                    <a:srcRect l="4001" t="4823" r="4625"/>
                    <a:stretch>
                      <a:fillRect/>
                    </a:stretch>
                  </pic:blipFill>
                  <pic:spPr>
                    <a:xfrm>
                      <a:off x="0" y="0"/>
                      <a:ext cx="8985885" cy="5182870"/>
                    </a:xfrm>
                    <a:prstGeom prst="rect">
                      <a:avLst/>
                    </a:prstGeom>
                    <a:noFill/>
                    <a:ln>
                      <a:noFill/>
                    </a:ln>
                  </pic:spPr>
                </pic:pic>
              </a:graphicData>
            </a:graphic>
          </wp:inline>
        </w:drawing>
      </w:r>
      <w:r>
        <mc:AlternateContent>
          <mc:Choice Requires="wps">
            <w:drawing>
              <wp:anchor distT="0" distB="0" distL="114300" distR="114300" simplePos="0" relativeHeight="251665408" behindDoc="0" locked="0" layoutInCell="1" allowOverlap="1">
                <wp:simplePos x="0" y="0"/>
                <wp:positionH relativeFrom="column">
                  <wp:posOffset>6358255</wp:posOffset>
                </wp:positionH>
                <wp:positionV relativeFrom="paragraph">
                  <wp:posOffset>2388235</wp:posOffset>
                </wp:positionV>
                <wp:extent cx="248920" cy="235585"/>
                <wp:effectExtent l="0" t="4445" r="17780" b="7620"/>
                <wp:wrapNone/>
                <wp:docPr id="7" name="直接箭头连接符 7"/>
                <wp:cNvGraphicFramePr/>
                <a:graphic xmlns:a="http://schemas.openxmlformats.org/drawingml/2006/main">
                  <a:graphicData uri="http://schemas.microsoft.com/office/word/2010/wordprocessingShape">
                    <wps:wsp>
                      <wps:cNvCnPr>
                        <a:stCxn id="6" idx="1"/>
                        <a:endCxn id="5" idx="5"/>
                      </wps:cNvCnPr>
                      <wps:spPr>
                        <a:xfrm flipH="1">
                          <a:off x="5853430" y="4436110"/>
                          <a:ext cx="248920" cy="23558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00.65pt;margin-top:188.05pt;height:18.55pt;width:19.6pt;z-index:251665408;mso-width-relative:page;mso-height-relative:page;" filled="f" stroked="t" coordsize="21600,21600" o:gfxdata="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G0Zm9cAAAANAQAADwAAAAAAAAAB&#10;ACAAAAAiAAAAZHJzL2Rvd25yZXYueG1sUEsBAhQAFAAAAAgAh07iQCJKa/pKAgAAZgQAAA4AAAAA&#10;AAAAAQAgAAAAJgEAAGRycy9lMm9Eb2MueG1sUEsFBgAAAAAGAAYAWQEAAOIFAAAAAA==&#10;">
                <v:fill on="f" focussize="0,0"/>
                <v:stroke weight="1pt" color="#FF0000 [3204]" miterlimit="8" joinstyle="miter" endarrow="block"/>
                <v:imagedata o:title=""/>
                <o:lock v:ext="edit" aspectratio="f"/>
              </v:shape>
            </w:pict>
          </mc:Fallback>
        </mc:AlternateContent>
      </w:r>
    </w:p>
    <w:p>
      <w:pPr>
        <w:bidi w:val="0"/>
        <w:jc w:val="center"/>
        <w:rPr>
          <w:rFonts w:hint="eastAsia"/>
          <w:b/>
          <w:bCs/>
          <w:sz w:val="28"/>
          <w:szCs w:val="28"/>
          <w:lang w:val="en-US" w:eastAsia="zh-CN"/>
        </w:rPr>
        <w:sectPr>
          <w:footerReference r:id="rId10" w:type="default"/>
          <w:pgSz w:w="16838" w:h="11906" w:orient="landscape"/>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2336" behindDoc="0" locked="0" layoutInCell="1" allowOverlap="1">
                <wp:simplePos x="0" y="0"/>
                <wp:positionH relativeFrom="column">
                  <wp:posOffset>4381500</wp:posOffset>
                </wp:positionH>
                <wp:positionV relativeFrom="paragraph">
                  <wp:posOffset>3246120</wp:posOffset>
                </wp:positionV>
                <wp:extent cx="476250" cy="300355"/>
                <wp:effectExtent l="0" t="8255" r="19050" b="15240"/>
                <wp:wrapNone/>
                <wp:docPr id="4" name="直接连接符 4"/>
                <wp:cNvGraphicFramePr/>
                <a:graphic xmlns:a="http://schemas.openxmlformats.org/drawingml/2006/main">
                  <a:graphicData uri="http://schemas.microsoft.com/office/word/2010/wordprocessingShape">
                    <wps:wsp>
                      <wps:cNvCnPr/>
                      <wps:spPr>
                        <a:xfrm flipH="1">
                          <a:off x="0" y="0"/>
                          <a:ext cx="476250" cy="300355"/>
                        </a:xfrm>
                        <a:prstGeom prst="line">
                          <a:avLst/>
                        </a:prstGeom>
                        <a:ln w="19050" cap="flat" cmpd="sng">
                          <a:solidFill>
                            <a:srgbClr val="FF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45pt;margin-top:255.6pt;height:23.65pt;width:37.5pt;z-index:251662336;mso-width-relative:page;mso-height-relative:page;" filled="f" stroked="t" coordsize="21600,21600" o:gfxdata="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&#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SaphdgAAAALAQAADwAAAAAAAAABACAAAAAiAAAA&#10;ZHJzL2Rvd25yZXYueG1sUEsBAhQAFAAAAAgAh07iQBj0aeoHAgAA9AMAAA4AAAAAAAAAAQAgAAAA&#10;JwEAAGRycy9lMm9Eb2MueG1sUEsFBgAAAAAGAAYAWQEAAKAFAAAAAA==&#10;">
                <v:fill on="f" focussize="0,0"/>
                <v:stroke weight="1.5pt" color="#FF0000" joinstyle="round" endarrow="open"/>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4843145</wp:posOffset>
                </wp:positionH>
                <wp:positionV relativeFrom="paragraph">
                  <wp:posOffset>3114040</wp:posOffset>
                </wp:positionV>
                <wp:extent cx="1047750" cy="27178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047750" cy="271780"/>
                        </a:xfrm>
                        <a:prstGeom prst="rect">
                          <a:avLst/>
                        </a:prstGeom>
                        <a:noFill/>
                        <a:ln>
                          <a:noFill/>
                        </a:ln>
                      </wps:spPr>
                      <wps:txbx>
                        <w:txbxContent>
                          <w:p>
                            <w:pPr>
                              <w:rPr>
                                <w:rFonts w:hint="default" w:eastAsia="宋体"/>
                                <w:b/>
                                <w:bCs/>
                                <w:color w:val="FF0000"/>
                                <w:lang w:val="en-US" w:eastAsia="zh-CN"/>
                              </w:rPr>
                            </w:pPr>
                            <w:r>
                              <w:rPr>
                                <w:rFonts w:hint="eastAsia"/>
                                <w:b/>
                                <w:bCs/>
                                <w:color w:val="FF0000"/>
                                <w:lang w:val="en-US" w:eastAsia="zh-CN"/>
                              </w:rPr>
                              <w:t>本项目位置</w:t>
                            </w:r>
                          </w:p>
                        </w:txbxContent>
                      </wps:txbx>
                      <wps:bodyPr upright="1"/>
                    </wps:wsp>
                  </a:graphicData>
                </a:graphic>
              </wp:anchor>
            </w:drawing>
          </mc:Choice>
          <mc:Fallback>
            <w:pict>
              <v:shape id="_x0000_s1026" o:spid="_x0000_s1026" o:spt="202" type="#_x0000_t202" style="position:absolute;left:0pt;margin-left:381.35pt;margin-top:245.2pt;height:21.4pt;width:82.5pt;z-index:251661312;mso-width-relative:page;mso-height-relative:page;" filled="f" stroked="f" coordsize="21600,21600" o:gfxdata="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KQOoj2AAA&#10;AAsBAAAPAAAAAAAAAAEAIAAAACIAAABkcnMvZG93bnJldi54bWxQSwECFAAUAAAACACHTuJAZD+4&#10;E6wBAABQAwAADgAAAAAAAAABACAAAAAnAQAAZHJzL2Uyb0RvYy54bWxQSwUGAAAAAAYABgBZAQAA&#10;RQUAAAAA&#10;">
                <v:fill on="f" focussize="0,0"/>
                <v:stroke on="f"/>
                <v:imagedata o:title=""/>
                <o:lock v:ext="edit" aspectratio="f"/>
                <v:textbox>
                  <w:txbxContent>
                    <w:p>
                      <w:pPr>
                        <w:rPr>
                          <w:rFonts w:hint="default" w:eastAsia="宋体"/>
                          <w:b/>
                          <w:bCs/>
                          <w:color w:val="FF0000"/>
                          <w:lang w:val="en-US" w:eastAsia="zh-CN"/>
                        </w:rPr>
                      </w:pPr>
                      <w:r>
                        <w:rPr>
                          <w:rFonts w:hint="eastAsia"/>
                          <w:b/>
                          <w:bCs/>
                          <w:color w:val="FF0000"/>
                          <w:lang w:val="en-US" w:eastAsia="zh-CN"/>
                        </w:rPr>
                        <w:t>本项目位置</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4206240</wp:posOffset>
                </wp:positionH>
                <wp:positionV relativeFrom="paragraph">
                  <wp:posOffset>3495040</wp:posOffset>
                </wp:positionV>
                <wp:extent cx="212090" cy="190500"/>
                <wp:effectExtent l="15240" t="14605" r="20320" b="23495"/>
                <wp:wrapNone/>
                <wp:docPr id="11" name="五角星 11"/>
                <wp:cNvGraphicFramePr/>
                <a:graphic xmlns:a="http://schemas.openxmlformats.org/drawingml/2006/main">
                  <a:graphicData uri="http://schemas.microsoft.com/office/word/2010/wordprocessingShape">
                    <wps:wsp>
                      <wps:cNvSpPr/>
                      <wps:spPr>
                        <a:xfrm>
                          <a:off x="0" y="0"/>
                          <a:ext cx="212090" cy="190500"/>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331.2pt;margin-top:275.2pt;height:15pt;width:16.7pt;z-index:251660288;mso-width-relative:page;mso-height-relative:page;" fillcolor="#FF0000" filled="t" stroked="t" coordsize="212090,190500" o:gfxdata="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drD5XaAAAACwEAAA8AAAAAAAAAAQAgAAAAIgAAAGRy&#10;cy9kb3ducmV2LnhtbFBLAQIUABQAAAAIAIdO4kDzMC9lAwIAACMEAAAOAAAAAAAAAAEAIAAAACkB&#10;AABkcnMvZTJvRG9jLnhtbFBLBQYAAAAABgAGAFkBAACeBQAAAAA=&#10;" path="m0,72764l81011,72764,106045,0,131078,72764,212089,72764,146549,117734,171584,190499,106045,145528,40505,190499,65540,117734xe">
                <v:path o:connectlocs="106045,0;0,72764;40505,190499;171584,190499;212089,72764" o:connectangles="247,164,82,82,0"/>
                <v:fill on="t" focussize="0,0"/>
                <v:stroke color="#000000" joinstyle="miter"/>
                <v:imagedata o:title=""/>
                <o:lock v:ext="edit" aspectratio="f"/>
              </v:shape>
            </w:pict>
          </mc:Fallback>
        </mc:AlternateContent>
      </w:r>
      <w:r>
        <w:rPr>
          <w:rFonts w:hint="eastAsia"/>
          <w:b/>
          <w:bCs/>
          <w:sz w:val="28"/>
          <w:szCs w:val="28"/>
          <w:lang w:eastAsia="zh-CN"/>
        </w:rPr>
        <w:t>附图一</w:t>
      </w:r>
      <w:r>
        <w:rPr>
          <w:rFonts w:hint="eastAsia"/>
          <w:b/>
          <w:bCs/>
          <w:sz w:val="28"/>
          <w:szCs w:val="28"/>
          <w:lang w:val="en-US" w:eastAsia="zh-CN"/>
        </w:rPr>
        <w:t xml:space="preserve"> 项目地理位置图</w:t>
      </w:r>
    </w:p>
    <w:p>
      <w:pPr>
        <w:pStyle w:val="10"/>
        <w:ind w:left="0" w:leftChars="0" w:firstLine="0" w:firstLineChars="0"/>
        <w:jc w:val="center"/>
      </w:pPr>
      <w:r>
        <w:rPr>
          <w:sz w:val="24"/>
        </w:rPr>
        <mc:AlternateContent>
          <mc:Choice Requires="wps">
            <w:drawing>
              <wp:anchor distT="0" distB="0" distL="114300" distR="114300" simplePos="0" relativeHeight="251667456" behindDoc="0" locked="0" layoutInCell="1" allowOverlap="1">
                <wp:simplePos x="0" y="0"/>
                <wp:positionH relativeFrom="column">
                  <wp:posOffset>4951095</wp:posOffset>
                </wp:positionH>
                <wp:positionV relativeFrom="paragraph">
                  <wp:posOffset>1437640</wp:posOffset>
                </wp:positionV>
                <wp:extent cx="729615" cy="297180"/>
                <wp:effectExtent l="0" t="0" r="0" b="0"/>
                <wp:wrapNone/>
                <wp:docPr id="25" name="文本框 25"/>
                <wp:cNvGraphicFramePr/>
                <a:graphic xmlns:a="http://schemas.openxmlformats.org/drawingml/2006/main">
                  <a:graphicData uri="http://schemas.microsoft.com/office/word/2010/wordprocessingShape">
                    <wps:wsp>
                      <wps:cNvSpPr txBox="1"/>
                      <wps:spPr>
                        <a:xfrm rot="21000000">
                          <a:off x="7078980" y="3051810"/>
                          <a:ext cx="729615"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85pt;margin-top:113.2pt;height:23.4pt;width:57.45pt;rotation:-655360f;z-index:251667456;mso-width-relative:page;mso-height-relative:page;" filled="f" stroked="f" coordsize="21600,21600" o:gfxdata="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5y+kJ2wAAAAsBAAAP&#10;AAAAAAAAAAEAIAAAACIAAABkcnMvZG93bnJldi54bWxQSwECFAAUAAAACACHTuJACsJdPE4CAACC&#10;BAAADgAAAAAAAAABACAAAAAqAQAAZHJzL2Uyb0RvYy54bWxQSwUGAAAAAAYABgBZAQAA6gUAAAAA&#10;">
                <v:fill on="f" focussize="0,0"/>
                <v:stroke on="f" weight="0.5pt"/>
                <v:imagedata o:title=""/>
                <o:lock v:ext="edit" aspectratio="f"/>
                <v:textbox>
                  <w:txbxContent>
                    <w:p>
                      <w:pPr>
                        <w:rPr>
                          <w:rFonts w:hint="eastAsia" w:eastAsia="宋体"/>
                          <w:b/>
                          <w:bCs/>
                          <w:color w:val="FF0000"/>
                          <w:lang w:val="en-US" w:eastAsia="zh-CN"/>
                        </w:rPr>
                      </w:pPr>
                      <w:r>
                        <w:rPr>
                          <w:rFonts w:hint="eastAsia"/>
                          <w:b/>
                          <w:bCs/>
                          <w:color w:val="FF0000"/>
                          <w:lang w:val="en-US" w:eastAsia="zh-CN"/>
                        </w:rPr>
                        <w:t>本项目</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4973320</wp:posOffset>
                </wp:positionH>
                <wp:positionV relativeFrom="paragraph">
                  <wp:posOffset>1484630</wp:posOffset>
                </wp:positionV>
                <wp:extent cx="718185" cy="196850"/>
                <wp:effectExtent l="22860" t="71755" r="40005" b="74295"/>
                <wp:wrapNone/>
                <wp:docPr id="12" name="矩形 12"/>
                <wp:cNvGraphicFramePr/>
                <a:graphic xmlns:a="http://schemas.openxmlformats.org/drawingml/2006/main">
                  <a:graphicData uri="http://schemas.microsoft.com/office/word/2010/wordprocessingShape">
                    <wps:wsp>
                      <wps:cNvSpPr/>
                      <wps:spPr>
                        <a:xfrm rot="21000000">
                          <a:off x="4488180" y="2754630"/>
                          <a:ext cx="718185" cy="196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6pt;margin-top:116.9pt;height:15.5pt;width:56.55pt;rotation:-655360f;z-index:251666432;v-text-anchor:middle;mso-width-relative:page;mso-height-relative:page;" filled="f" stroked="t" coordsize="21600,21600" o:gfxdata="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7EI6Z2gAAAAsBAAAPAAAAAAAAAAEAIAAA&#10;ACIAAABkcnMvZG93bnJldi54bWxQSwECFAAUAAAACACHTuJAfa5DCXwCAADnBAAADgAAAAAAAAAB&#10;ACAAAAApAQAAZHJzL2Uyb0RvYy54bWxQSwUGAAAAAAYABgBZAQAAFwYAAAAA&#10;">
                <v:fill on="f" focussize="0,0"/>
                <v:stroke weight="1.5pt" color="#FF0000 [3204]" miterlimit="8" joinstyle="miter"/>
                <v:imagedata o:title=""/>
                <o:lock v:ext="edit" aspectratio="f"/>
              </v:rect>
            </w:pict>
          </mc:Fallback>
        </mc:AlternateContent>
      </w:r>
      <w:r>
        <w:drawing>
          <wp:anchor distT="0" distB="0" distL="114300" distR="114300" simplePos="0" relativeHeight="251693056" behindDoc="0" locked="0" layoutInCell="1" allowOverlap="1">
            <wp:simplePos x="0" y="0"/>
            <wp:positionH relativeFrom="column">
              <wp:posOffset>7670165</wp:posOffset>
            </wp:positionH>
            <wp:positionV relativeFrom="paragraph">
              <wp:posOffset>5010150</wp:posOffset>
            </wp:positionV>
            <wp:extent cx="1609725" cy="276225"/>
            <wp:effectExtent l="0" t="0" r="9525" b="9525"/>
            <wp:wrapNone/>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31"/>
                    <a:stretch>
                      <a:fillRect/>
                    </a:stretch>
                  </pic:blipFill>
                  <pic:spPr>
                    <a:xfrm>
                      <a:off x="0" y="0"/>
                      <a:ext cx="1609725" cy="276225"/>
                    </a:xfrm>
                    <a:prstGeom prst="rect">
                      <a:avLst/>
                    </a:prstGeom>
                    <a:noFill/>
                    <a:ln>
                      <a:noFill/>
                    </a:ln>
                  </pic:spPr>
                </pic:pic>
              </a:graphicData>
            </a:graphic>
          </wp:anchor>
        </w:drawing>
      </w:r>
      <w:r>
        <w:rPr>
          <w:rFonts w:hint="eastAsia" w:eastAsia="宋体"/>
          <w:snapToGrid w:val="0"/>
          <w:color w:val="auto"/>
          <w:kern w:val="0"/>
          <w:sz w:val="28"/>
          <w:szCs w:val="28"/>
          <w:u w:val="none"/>
          <w:lang w:eastAsia="zh-CN"/>
        </w:rPr>
        <w:drawing>
          <wp:anchor distT="0" distB="0" distL="114300" distR="114300" simplePos="0" relativeHeight="251689984" behindDoc="0" locked="0" layoutInCell="1" allowOverlap="1">
            <wp:simplePos x="0" y="0"/>
            <wp:positionH relativeFrom="column">
              <wp:posOffset>8422640</wp:posOffset>
            </wp:positionH>
            <wp:positionV relativeFrom="paragraph">
              <wp:posOffset>34290</wp:posOffset>
            </wp:positionV>
            <wp:extent cx="895350" cy="876300"/>
            <wp:effectExtent l="0" t="0" r="0" b="0"/>
            <wp:wrapNone/>
            <wp:docPr id="58" name="图片 2" descr="Snipaste_2023-04-18_11-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descr="Snipaste_2023-04-18_11-24-51"/>
                    <pic:cNvPicPr>
                      <a:picLocks noChangeAspect="1"/>
                    </pic:cNvPicPr>
                  </pic:nvPicPr>
                  <pic:blipFill>
                    <a:blip r:embed="rId29"/>
                    <a:stretch>
                      <a:fillRect/>
                    </a:stretch>
                  </pic:blipFill>
                  <pic:spPr>
                    <a:xfrm>
                      <a:off x="0" y="0"/>
                      <a:ext cx="895350" cy="876300"/>
                    </a:xfrm>
                    <a:prstGeom prst="rect">
                      <a:avLst/>
                    </a:prstGeom>
                    <a:noFill/>
                    <a:ln>
                      <a:noFill/>
                    </a:ln>
                  </pic:spPr>
                </pic:pic>
              </a:graphicData>
            </a:graphic>
          </wp:anchor>
        </w:drawing>
      </w:r>
      <w:r>
        <w:rPr>
          <w:sz w:val="24"/>
        </w:rPr>
        <mc:AlternateContent>
          <mc:Choice Requires="wps">
            <w:drawing>
              <wp:anchor distT="0" distB="0" distL="114300" distR="114300" simplePos="0" relativeHeight="251688960" behindDoc="0" locked="0" layoutInCell="1" allowOverlap="1">
                <wp:simplePos x="0" y="0"/>
                <wp:positionH relativeFrom="column">
                  <wp:posOffset>6836410</wp:posOffset>
                </wp:positionH>
                <wp:positionV relativeFrom="paragraph">
                  <wp:posOffset>2773680</wp:posOffset>
                </wp:positionV>
                <wp:extent cx="1092200" cy="490220"/>
                <wp:effectExtent l="0" t="0" r="0" b="0"/>
                <wp:wrapNone/>
                <wp:docPr id="56" name="文本框 56"/>
                <wp:cNvGraphicFramePr/>
                <a:graphic xmlns:a="http://schemas.openxmlformats.org/drawingml/2006/main">
                  <a:graphicData uri="http://schemas.microsoft.com/office/word/2010/wordprocessingShape">
                    <wps:wsp>
                      <wps:cNvSpPr txBox="1"/>
                      <wps:spPr>
                        <a:xfrm rot="20820000">
                          <a:off x="0" y="0"/>
                          <a:ext cx="1092200" cy="490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ED7D31" w:themeColor="accent2"/>
                                <w:lang w:val="en-US" w:eastAsia="zh-CN"/>
                                <w14:textFill>
                                  <w14:solidFill>
                                    <w14:schemeClr w14:val="accent2"/>
                                  </w14:solidFill>
                                </w14:textFill>
                              </w:rPr>
                            </w:pPr>
                            <w:r>
                              <w:rPr>
                                <w:rFonts w:hint="eastAsia"/>
                                <w:b/>
                                <w:bCs/>
                                <w:color w:val="FF0000"/>
                                <w:lang w:val="en-US" w:eastAsia="zh-CN"/>
                              </w:rPr>
                              <w:t>鲁山县远宏炭素材料有限公</w:t>
                            </w:r>
                            <w:r>
                              <w:rPr>
                                <w:rFonts w:hint="eastAsia"/>
                                <w:b/>
                                <w:bCs/>
                                <w:color w:val="ED7D31" w:themeColor="accent2"/>
                                <w:lang w:val="en-US" w:eastAsia="zh-CN"/>
                                <w14:textFill>
                                  <w14:solidFill>
                                    <w14:schemeClr w14:val="accent2"/>
                                  </w14:solidFill>
                                </w14:textFill>
                              </w:rPr>
                              <w:t>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8.3pt;margin-top:218.4pt;height:38.6pt;width:86pt;rotation:-851968f;z-index:251688960;mso-width-relative:page;mso-height-relative:page;" filled="f" stroked="f" coordsize="21600,21600" o:gfxdata="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iiqgLZAAAADQEAAA8AAAAAAAAAAQAgAAAA&#10;IgAAAGRycy9kb3ducmV2LnhtbFBLAQIUABQAAAAIAIdO4kA2k2zyQwIAAHcEAAAOAAAAAAAAAAEA&#10;IAAAACgBAABkcnMvZTJvRG9jLnhtbFBLBQYAAAAABgAGAFkBAADdBQAAAAA=&#10;">
                <v:fill on="f" focussize="0,0"/>
                <v:stroke on="f" weight="0.5pt"/>
                <v:imagedata o:title=""/>
                <o:lock v:ext="edit" aspectratio="f"/>
                <v:textbox>
                  <w:txbxContent>
                    <w:p>
                      <w:pPr>
                        <w:rPr>
                          <w:rFonts w:hint="default"/>
                          <w:b/>
                          <w:bCs/>
                          <w:color w:val="ED7D31" w:themeColor="accent2"/>
                          <w:lang w:val="en-US" w:eastAsia="zh-CN"/>
                          <w14:textFill>
                            <w14:solidFill>
                              <w14:schemeClr w14:val="accent2"/>
                            </w14:solidFill>
                          </w14:textFill>
                        </w:rPr>
                      </w:pPr>
                      <w:r>
                        <w:rPr>
                          <w:rFonts w:hint="eastAsia"/>
                          <w:b/>
                          <w:bCs/>
                          <w:color w:val="FF0000"/>
                          <w:lang w:val="en-US" w:eastAsia="zh-CN"/>
                        </w:rPr>
                        <w:t>鲁山县远宏炭素材料有限公</w:t>
                      </w:r>
                      <w:r>
                        <w:rPr>
                          <w:rFonts w:hint="eastAsia"/>
                          <w:b/>
                          <w:bCs/>
                          <w:color w:val="ED7D31" w:themeColor="accent2"/>
                          <w:lang w:val="en-US" w:eastAsia="zh-CN"/>
                          <w14:textFill>
                            <w14:solidFill>
                              <w14:schemeClr w14:val="accent2"/>
                            </w14:solidFill>
                          </w14:textFill>
                        </w:rPr>
                        <w:t>司</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6725920</wp:posOffset>
                </wp:positionH>
                <wp:positionV relativeFrom="paragraph">
                  <wp:posOffset>2490470</wp:posOffset>
                </wp:positionV>
                <wp:extent cx="1362075" cy="1162050"/>
                <wp:effectExtent l="16510" t="17145" r="31115" b="20955"/>
                <wp:wrapNone/>
                <wp:docPr id="55" name="任意多边形 55"/>
                <wp:cNvGraphicFramePr/>
                <a:graphic xmlns:a="http://schemas.openxmlformats.org/drawingml/2006/main">
                  <a:graphicData uri="http://schemas.microsoft.com/office/word/2010/wordprocessingShape">
                    <wps:wsp>
                      <wps:cNvSpPr/>
                      <wps:spPr>
                        <a:xfrm>
                          <a:off x="0" y="0"/>
                          <a:ext cx="1362075" cy="1162050"/>
                        </a:xfrm>
                        <a:custGeom>
                          <a:avLst/>
                          <a:gdLst>
                            <a:gd name="connisteX0" fmla="*/ 0 w 1362075"/>
                            <a:gd name="connsiteY0" fmla="*/ 228600 h 1009650"/>
                            <a:gd name="connisteX1" fmla="*/ 1171575 w 1362075"/>
                            <a:gd name="connsiteY1" fmla="*/ 0 h 1009650"/>
                            <a:gd name="connisteX2" fmla="*/ 1362075 w 1362075"/>
                            <a:gd name="connsiteY2" fmla="*/ 762000 h 1009650"/>
                            <a:gd name="connisteX3" fmla="*/ 152400 w 1362075"/>
                            <a:gd name="connsiteY3" fmla="*/ 1009650 h 1009650"/>
                            <a:gd name="connisteX4" fmla="*/ 0 w 1362075"/>
                            <a:gd name="connsiteY4" fmla="*/ 228600 h 10096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362075" h="1009650">
                              <a:moveTo>
                                <a:pt x="0" y="228600"/>
                              </a:moveTo>
                              <a:lnTo>
                                <a:pt x="1171575" y="0"/>
                              </a:lnTo>
                              <a:lnTo>
                                <a:pt x="1362075" y="762000"/>
                              </a:lnTo>
                              <a:lnTo>
                                <a:pt x="152400" y="1009650"/>
                              </a:lnTo>
                              <a:lnTo>
                                <a:pt x="0" y="228600"/>
                              </a:lnTo>
                              <a:close/>
                            </a:path>
                          </a:pathLst>
                        </a:custGeom>
                        <a:noFill/>
                        <a:ln w="2857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529.6pt;margin-top:196.1pt;height:91.5pt;width:107.25pt;z-index:251687936;mso-width-relative:page;mso-height-relative:page;" filled="f" stroked="t" coordsize="1362075,1009650" o:gfxdata="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rbdch9sAAAANAQAADwAAAAAAAAABACAAAAAiAAAAZHJzL2Rvd25y&#10;ZXYueG1sUEsBAhQAFAAAAAgAh07iQLPg5UoYAwAAVQgAAA4AAAAAAAAAAQAgAAAAKgEAAGRycy9l&#10;Mm9Eb2MueG1sUEsFBgAAAAAGAAYAWQEAALQGAAAAAA==&#10;" path="m0,228600l1171575,0,1362075,762000,152400,1009650,0,228600xe">
                <v:path o:connectlocs="0,263105;1171575,0;1362075,877018;152400,1162050;0,263105" o:connectangles="0,0,0,0,0"/>
                <v:fill on="f" focussize="0,0"/>
                <v:stroke weight="2.25pt" color="#ED7D31 [3205]" miterlimit="8" joinstyle="miter" dashstyle="dash"/>
                <v:imagedata o:title=""/>
                <o:lock v:ext="edit" aspectratio="f"/>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1353820</wp:posOffset>
                </wp:positionH>
                <wp:positionV relativeFrom="paragraph">
                  <wp:posOffset>2919095</wp:posOffset>
                </wp:positionV>
                <wp:extent cx="1714500" cy="1828800"/>
                <wp:effectExtent l="17145" t="17145" r="20955" b="20955"/>
                <wp:wrapNone/>
                <wp:docPr id="54" name="任意多边形 54"/>
                <wp:cNvGraphicFramePr/>
                <a:graphic xmlns:a="http://schemas.openxmlformats.org/drawingml/2006/main">
                  <a:graphicData uri="http://schemas.microsoft.com/office/word/2010/wordprocessingShape">
                    <wps:wsp>
                      <wps:cNvSpPr/>
                      <wps:spPr>
                        <a:xfrm>
                          <a:off x="2039620" y="3833495"/>
                          <a:ext cx="1714500" cy="1828800"/>
                        </a:xfrm>
                        <a:custGeom>
                          <a:avLst/>
                          <a:gdLst>
                            <a:gd name="connisteX0" fmla="*/ 0 w 1714500"/>
                            <a:gd name="connsiteY0" fmla="*/ 285750 h 1828800"/>
                            <a:gd name="connisteX1" fmla="*/ 390525 w 1714500"/>
                            <a:gd name="connsiteY1" fmla="*/ 1828800 h 1828800"/>
                            <a:gd name="connisteX2" fmla="*/ 1714500 w 1714500"/>
                            <a:gd name="connsiteY2" fmla="*/ 1514475 h 1828800"/>
                            <a:gd name="connisteX3" fmla="*/ 1276350 w 1714500"/>
                            <a:gd name="connsiteY3" fmla="*/ 0 h 1828800"/>
                            <a:gd name="connisteX4" fmla="*/ 0 w 1714500"/>
                            <a:gd name="connsiteY4" fmla="*/ 285750 h 18288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714500" h="1828800">
                              <a:moveTo>
                                <a:pt x="0" y="285750"/>
                              </a:moveTo>
                              <a:lnTo>
                                <a:pt x="390525" y="1828800"/>
                              </a:lnTo>
                              <a:lnTo>
                                <a:pt x="1714500" y="1514475"/>
                              </a:lnTo>
                              <a:lnTo>
                                <a:pt x="1276350" y="0"/>
                              </a:lnTo>
                              <a:lnTo>
                                <a:pt x="0" y="285750"/>
                              </a:lnTo>
                              <a:close/>
                            </a:path>
                          </a:pathLst>
                        </a:custGeom>
                        <a:noFill/>
                        <a:ln w="2857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06.6pt;margin-top:229.85pt;height:144pt;width:135pt;z-index:251686912;mso-width-relative:page;mso-height-relative:page;" filled="f" stroked="t" coordsize="1714500,1828800" o:gfxdata="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BJnnBdoAAAALAQAADwAAAAAAAAABACAAAAAi&#10;AAAAZHJzL2Rvd25yZXYueG1sUEsBAhQAFAAAAAgAh07iQNrMZr4lAwAAYwgAAA4AAAAAAAAAAQAg&#10;AAAAKQEAAGRycy9lMm9Eb2MueG1sUEsFBgAAAAAGAAYAWQEAAMAGAAAAAA==&#10;" path="m0,285750l390525,1828800,1714500,1514475,1276350,0,0,285750xe">
                <v:path o:connectlocs="0,285750;390525,1828800;1714500,1514475;1276350,0;0,285750" o:connectangles="0,0,0,0,0"/>
                <v:fill on="f" focussize="0,0"/>
                <v:stroke weight="2.25pt" color="#ED7D31 [3205]" miterlimit="8" joinstyle="miter" dashstyle="dash"/>
                <v:imagedata o:title=""/>
                <o:lock v:ext="edit" aspectratio="f"/>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1740535</wp:posOffset>
                </wp:positionH>
                <wp:positionV relativeFrom="paragraph">
                  <wp:posOffset>3640455</wp:posOffset>
                </wp:positionV>
                <wp:extent cx="1092200" cy="490220"/>
                <wp:effectExtent l="0" t="0" r="0" b="0"/>
                <wp:wrapNone/>
                <wp:docPr id="51" name="文本框 51"/>
                <wp:cNvGraphicFramePr/>
                <a:graphic xmlns:a="http://schemas.openxmlformats.org/drawingml/2006/main">
                  <a:graphicData uri="http://schemas.microsoft.com/office/word/2010/wordprocessingShape">
                    <wps:wsp>
                      <wps:cNvSpPr txBox="1"/>
                      <wps:spPr>
                        <a:xfrm rot="20820000">
                          <a:off x="0" y="0"/>
                          <a:ext cx="1092200" cy="490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lang w:val="en-US" w:eastAsia="zh-CN"/>
                              </w:rPr>
                            </w:pPr>
                            <w:r>
                              <w:rPr>
                                <w:rFonts w:hint="eastAsia"/>
                                <w:b/>
                                <w:bCs/>
                                <w:color w:val="FF0000"/>
                                <w:lang w:val="en-US" w:eastAsia="zh-CN"/>
                              </w:rPr>
                              <w:t>鲁山县富家耐材有限公司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05pt;margin-top:286.65pt;height:38.6pt;width:86pt;rotation:-851968f;z-index:251685888;mso-width-relative:page;mso-height-relative:page;" filled="f" stroked="f" coordsize="21600,21600" o:gfxdata="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A+nCHZAAAACwEAAA8AAAAAAAAAAQAgAAAA&#10;IgAAAGRycy9kb3ducmV2LnhtbFBLAQIUABQAAAAIAIdO4kDd9kAOQwIAAHcEAAAOAAAAAAAAAAEA&#10;IAAAACgBAABkcnMvZTJvRG9jLnhtbFBLBQYAAAAABgAGAFkBAADdBQAAAAA=&#10;">
                <v:fill on="f" focussize="0,0"/>
                <v:stroke on="f" weight="0.5pt"/>
                <v:imagedata o:title=""/>
                <o:lock v:ext="edit" aspectratio="f"/>
                <v:textbox>
                  <w:txbxContent>
                    <w:p>
                      <w:pPr>
                        <w:rPr>
                          <w:rFonts w:hint="default"/>
                          <w:b/>
                          <w:bCs/>
                          <w:color w:val="FF0000"/>
                          <w:lang w:val="en-US" w:eastAsia="zh-CN"/>
                        </w:rPr>
                      </w:pPr>
                      <w:r>
                        <w:rPr>
                          <w:rFonts w:hint="eastAsia"/>
                          <w:b/>
                          <w:bCs/>
                          <w:color w:val="FF0000"/>
                          <w:lang w:val="en-US" w:eastAsia="zh-CN"/>
                        </w:rPr>
                        <w:t>鲁山县富家耐材有限公司</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1339850</wp:posOffset>
                </wp:positionH>
                <wp:positionV relativeFrom="paragraph">
                  <wp:posOffset>2411095</wp:posOffset>
                </wp:positionV>
                <wp:extent cx="1092200" cy="490220"/>
                <wp:effectExtent l="0" t="0" r="0" b="0"/>
                <wp:wrapNone/>
                <wp:docPr id="41" name="文本框 41"/>
                <wp:cNvGraphicFramePr/>
                <a:graphic xmlns:a="http://schemas.openxmlformats.org/drawingml/2006/main">
                  <a:graphicData uri="http://schemas.microsoft.com/office/word/2010/wordprocessingShape">
                    <wps:wsp>
                      <wps:cNvSpPr txBox="1"/>
                      <wps:spPr>
                        <a:xfrm rot="20820000">
                          <a:off x="0" y="0"/>
                          <a:ext cx="1092200" cy="490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lang w:val="en-US" w:eastAsia="zh-CN"/>
                              </w:rPr>
                            </w:pPr>
                            <w:r>
                              <w:rPr>
                                <w:rFonts w:hint="eastAsia"/>
                                <w:b/>
                                <w:bCs/>
                                <w:color w:val="FF0000"/>
                                <w:lang w:val="en-US" w:eastAsia="zh-CN"/>
                              </w:rPr>
                              <w:t>河南省鲁阳公酒业有限公司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5pt;margin-top:189.85pt;height:38.6pt;width:86pt;rotation:-851968f;z-index:251684864;mso-width-relative:page;mso-height-relative:page;" filled="f" stroked="f" coordsize="21600,21600" o:gfxdata="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71RIW2gAAAAsBAAAPAAAAAAAAAAEAIAAA&#10;ACIAAABkcnMvZG93bnJldi54bWxQSwECFAAUAAAACACHTuJAbJ4BjkMCAAB3BAAADgAAAAAAAAAB&#10;ACAAAAApAQAAZHJzL2Uyb0RvYy54bWxQSwUGAAAAAAYABgBZAQAA3gUAAAAA&#10;">
                <v:fill on="f" focussize="0,0"/>
                <v:stroke on="f" weight="0.5pt"/>
                <v:imagedata o:title=""/>
                <o:lock v:ext="edit" aspectratio="f"/>
                <v:textbox>
                  <w:txbxContent>
                    <w:p>
                      <w:pPr>
                        <w:rPr>
                          <w:rFonts w:hint="default"/>
                          <w:b/>
                          <w:bCs/>
                          <w:color w:val="FF0000"/>
                          <w:lang w:val="en-US" w:eastAsia="zh-CN"/>
                        </w:rPr>
                      </w:pPr>
                      <w:r>
                        <w:rPr>
                          <w:rFonts w:hint="eastAsia"/>
                          <w:b/>
                          <w:bCs/>
                          <w:color w:val="FF0000"/>
                          <w:lang w:val="en-US" w:eastAsia="zh-CN"/>
                        </w:rPr>
                        <w:t>河南省鲁阳公酒业有限公司</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1191895</wp:posOffset>
                </wp:positionH>
                <wp:positionV relativeFrom="paragraph">
                  <wp:posOffset>2176145</wp:posOffset>
                </wp:positionV>
                <wp:extent cx="1362075" cy="971550"/>
                <wp:effectExtent l="17145" t="16510" r="30480" b="21590"/>
                <wp:wrapNone/>
                <wp:docPr id="38" name="任意多边形 38"/>
                <wp:cNvGraphicFramePr/>
                <a:graphic xmlns:a="http://schemas.openxmlformats.org/drawingml/2006/main">
                  <a:graphicData uri="http://schemas.microsoft.com/office/word/2010/wordprocessingShape">
                    <wps:wsp>
                      <wps:cNvSpPr/>
                      <wps:spPr>
                        <a:xfrm>
                          <a:off x="1877695" y="3090545"/>
                          <a:ext cx="1362075" cy="971550"/>
                        </a:xfrm>
                        <a:custGeom>
                          <a:avLst/>
                          <a:gdLst>
                            <a:gd name="connisteX0" fmla="*/ 0 w 1362075"/>
                            <a:gd name="connsiteY0" fmla="*/ 228600 h 1009650"/>
                            <a:gd name="connisteX1" fmla="*/ 1171575 w 1362075"/>
                            <a:gd name="connsiteY1" fmla="*/ 0 h 1009650"/>
                            <a:gd name="connisteX2" fmla="*/ 1362075 w 1362075"/>
                            <a:gd name="connsiteY2" fmla="*/ 762000 h 1009650"/>
                            <a:gd name="connisteX3" fmla="*/ 152400 w 1362075"/>
                            <a:gd name="connsiteY3" fmla="*/ 1009650 h 1009650"/>
                            <a:gd name="connisteX4" fmla="*/ 0 w 1362075"/>
                            <a:gd name="connsiteY4" fmla="*/ 228600 h 10096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362075" h="1009650">
                              <a:moveTo>
                                <a:pt x="0" y="228600"/>
                              </a:moveTo>
                              <a:lnTo>
                                <a:pt x="1171575" y="0"/>
                              </a:lnTo>
                              <a:lnTo>
                                <a:pt x="1362075" y="762000"/>
                              </a:lnTo>
                              <a:lnTo>
                                <a:pt x="152400" y="1009650"/>
                              </a:lnTo>
                              <a:lnTo>
                                <a:pt x="0" y="228600"/>
                              </a:lnTo>
                              <a:close/>
                            </a:path>
                          </a:pathLst>
                        </a:custGeom>
                        <a:noFill/>
                        <a:ln w="2857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93.85pt;margin-top:171.35pt;height:76.5pt;width:107.25pt;z-index:251683840;mso-width-relative:page;mso-height-relative:page;" filled="f" stroked="t" coordsize="1362075,1009650" o:gfxdata="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S6rdY9kAAAALAQAADwAAAAAAAAABACAAAAAiAAAA&#10;ZHJzL2Rvd25yZXYueG1sUEsBAhQAFAAAAAgAh07iQAPLecMjAwAAYAgAAA4AAAAAAAAAAQAgAAAA&#10;KAEAAGRycy9lMm9Eb2MueG1sUEsFBgAAAAAGAAYAWQEAAL0GAAAAAA==&#10;" path="m0,228600l1171575,0,1362075,762000,152400,1009650,0,228600xe">
                <v:path o:connectlocs="0,219973;1171575,0;1362075,733245;152400,971550;0,219973" o:connectangles="0,0,0,0,0"/>
                <v:fill on="f" focussize="0,0"/>
                <v:stroke weight="2.25pt" color="#ED7D31 [3205]" miterlimit="8" joinstyle="miter" dashstyle="dash"/>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3282950</wp:posOffset>
                </wp:positionH>
                <wp:positionV relativeFrom="paragraph">
                  <wp:posOffset>1049020</wp:posOffset>
                </wp:positionV>
                <wp:extent cx="559435" cy="31940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559435" cy="319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lang w:val="en-US" w:eastAsia="zh-CN"/>
                              </w:rPr>
                            </w:pPr>
                            <w:r>
                              <w:rPr>
                                <w:rFonts w:hint="eastAsia"/>
                                <w:b/>
                                <w:bCs/>
                                <w:color w:val="FF0000"/>
                                <w:lang w:val="en-US" w:eastAsia="zh-CN"/>
                              </w:rPr>
                              <w:t>290m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5pt;margin-top:82.6pt;height:25.15pt;width:44.05pt;z-index:251682816;mso-width-relative:page;mso-height-relative:page;" filled="f" stroked="f" coordsize="21600,21600" o:gfxdata="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&#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ZHu5tsAAAALAQAADwAAAAAAAAABACAAAAAiAAAA&#10;ZHJzL2Rvd25yZXYueG1sUEsBAhQAFAAAAAgAh07iQGimOP49AgAAZwQAAA4AAAAAAAAAAQAgAAAA&#10;KgEAAGRycy9lMm9Eb2MueG1sUEsFBgAAAAAGAAYAWQEAANkFAAAAAA==&#10;">
                <v:fill on="f" focussize="0,0"/>
                <v:stroke on="f" weight="0.5pt"/>
                <v:imagedata o:title=""/>
                <o:lock v:ext="edit" aspectratio="f"/>
                <v:textbox>
                  <w:txbxContent>
                    <w:p>
                      <w:pPr>
                        <w:rPr>
                          <w:rFonts w:hint="default"/>
                          <w:b/>
                          <w:bCs/>
                          <w:color w:val="FF0000"/>
                          <w:lang w:val="en-US" w:eastAsia="zh-CN"/>
                        </w:rPr>
                      </w:pPr>
                      <w:r>
                        <w:rPr>
                          <w:rFonts w:hint="eastAsia"/>
                          <w:b/>
                          <w:bCs/>
                          <w:color w:val="FF0000"/>
                          <w:lang w:val="en-US" w:eastAsia="zh-CN"/>
                        </w:rPr>
                        <w:t>290m</w:t>
                      </w:r>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2706370</wp:posOffset>
                </wp:positionH>
                <wp:positionV relativeFrom="paragraph">
                  <wp:posOffset>1100455</wp:posOffset>
                </wp:positionV>
                <wp:extent cx="2250440" cy="549275"/>
                <wp:effectExtent l="0" t="31115" r="16510" b="29210"/>
                <wp:wrapNone/>
                <wp:docPr id="28" name="直接箭头连接符 28"/>
                <wp:cNvGraphicFramePr/>
                <a:graphic xmlns:a="http://schemas.openxmlformats.org/drawingml/2006/main">
                  <a:graphicData uri="http://schemas.microsoft.com/office/word/2010/wordprocessingShape">
                    <wps:wsp>
                      <wps:cNvCnPr>
                        <a:stCxn id="25" idx="1"/>
                        <a:endCxn id="22" idx="4"/>
                      </wps:cNvCnPr>
                      <wps:spPr>
                        <a:xfrm flipH="1" flipV="1">
                          <a:off x="3392170" y="2014855"/>
                          <a:ext cx="2250440" cy="549275"/>
                        </a:xfrm>
                        <a:prstGeom prst="straightConnector1">
                          <a:avLst/>
                        </a:prstGeom>
                        <a:ln w="22225">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13.1pt;margin-top:86.65pt;height:43.25pt;width:177.2pt;z-index:251681792;mso-width-relative:page;mso-height-relative:page;" filled="f" stroked="t" coordsize="21600,21600" o:gfxdata="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BExH1wAAAAsBAAAPAAAAAAAAAAEAIAAAACIAAABkcnMv&#10;ZG93bnJldi54bWxQSwECFAAUAAAACACHTuJAlPZIUz0CAABIBAAADgAAAAAAAAABACAAAAAmAQAA&#10;ZHJzL2Uyb0RvYy54bWxQSwUGAAAAAAYABgBZAQAA1QUAAAAA&#10;">
                <v:fill on="f" focussize="0,0"/>
                <v:stroke weight="1.7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39370</wp:posOffset>
                </wp:positionH>
                <wp:positionV relativeFrom="paragraph">
                  <wp:posOffset>1664970</wp:posOffset>
                </wp:positionV>
                <wp:extent cx="895350" cy="390525"/>
                <wp:effectExtent l="3175" t="15875" r="15875" b="12700"/>
                <wp:wrapNone/>
                <wp:docPr id="27" name="任意多边形 27"/>
                <wp:cNvGraphicFramePr/>
                <a:graphic xmlns:a="http://schemas.openxmlformats.org/drawingml/2006/main">
                  <a:graphicData uri="http://schemas.microsoft.com/office/word/2010/wordprocessingShape">
                    <wps:wsp>
                      <wps:cNvSpPr/>
                      <wps:spPr>
                        <a:xfrm>
                          <a:off x="725170" y="2579370"/>
                          <a:ext cx="895350" cy="390525"/>
                        </a:xfrm>
                        <a:custGeom>
                          <a:avLst/>
                          <a:gdLst>
                            <a:gd name="connisteX0" fmla="*/ 0 w 895350"/>
                            <a:gd name="connsiteY0" fmla="*/ 123825 h 390525"/>
                            <a:gd name="connisteX1" fmla="*/ 523875 w 895350"/>
                            <a:gd name="connsiteY1" fmla="*/ 0 h 390525"/>
                            <a:gd name="connisteX2" fmla="*/ 895350 w 895350"/>
                            <a:gd name="connsiteY2" fmla="*/ 390525 h 390525"/>
                          </a:gdLst>
                          <a:ahLst/>
                          <a:cxnLst>
                            <a:cxn ang="0">
                              <a:pos x="connisteX0" y="connsiteY0"/>
                            </a:cxn>
                            <a:cxn ang="0">
                              <a:pos x="connisteX1" y="connsiteY1"/>
                            </a:cxn>
                            <a:cxn ang="0">
                              <a:pos x="connisteX2" y="connsiteY2"/>
                            </a:cxn>
                          </a:cxnLst>
                          <a:rect l="l" t="t" r="r" b="b"/>
                          <a:pathLst>
                            <a:path w="895350" h="390525">
                              <a:moveTo>
                                <a:pt x="0" y="123825"/>
                              </a:moveTo>
                              <a:lnTo>
                                <a:pt x="523875" y="0"/>
                              </a:lnTo>
                              <a:lnTo>
                                <a:pt x="895350" y="390525"/>
                              </a:lnTo>
                            </a:path>
                          </a:pathLst>
                        </a:custGeom>
                        <a:noFill/>
                        <a:ln w="28575">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1pt;margin-top:131.1pt;height:30.75pt;width:70.5pt;z-index:251680768;mso-width-relative:page;mso-height-relative:page;" filled="f" stroked="t" coordsize="895350,390525" o:gfxdata="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RCtlPtQAAAAJAQAADwAAAAAAAAABACAAAAAiAAAAZHJzL2Rvd25yZXYueG1sUEsBAhQAFAAAAAgA&#10;h07iQLp0jZLUAgAAqgYAAA4AAAAAAAAAAQAgAAAAIwEAAGRycy9lMm9Eb2MueG1sUEsFBgAAAAAG&#10;AAYAWQEAAGkGAAAAAA==&#10;" path="m0,123825l523875,0,895350,390525e">
                <v:path o:connectlocs="0,123825;523875,0;895350,390525" o:connectangles="0,0,0"/>
                <v:fill on="f" focussize="0,0"/>
                <v:stroke weight="2.25pt" color="#00B050 [3204]" miterlimit="8" joinstyle="miter" dashstyle="dash"/>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1164590</wp:posOffset>
                </wp:positionH>
                <wp:positionV relativeFrom="paragraph">
                  <wp:posOffset>709930</wp:posOffset>
                </wp:positionV>
                <wp:extent cx="679450" cy="305435"/>
                <wp:effectExtent l="0" t="0" r="0" b="0"/>
                <wp:wrapNone/>
                <wp:docPr id="23" name="文本框 23"/>
                <wp:cNvGraphicFramePr/>
                <a:graphic xmlns:a="http://schemas.openxmlformats.org/drawingml/2006/main">
                  <a:graphicData uri="http://schemas.microsoft.com/office/word/2010/wordprocessingShape">
                    <wps:wsp>
                      <wps:cNvSpPr txBox="1"/>
                      <wps:spPr>
                        <a:xfrm rot="21000000">
                          <a:off x="0" y="0"/>
                          <a:ext cx="67945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井沟村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7pt;margin-top:55.9pt;height:24.05pt;width:53.5pt;rotation:-655360f;z-index:251679744;mso-width-relative:page;mso-height-relative:page;" filled="f" stroked="f" coordsize="21600,21600" o:gfxdata="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RyT9tgAAAALAQAADwAAAAAAAAABACAAAAAiAAAA&#10;ZHJzL2Rvd25yZXYueG1sUEsBAhQAFAAAAAgAh07iQGNdCE9AAgAAdgQAAA4AAAAAAAAAAQAgAAAA&#10;JwEAAGRycy9lMm9Eb2MueG1sUEsFBgAAAAAGAAYAWQEAANkFA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井沟村</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934720</wp:posOffset>
                </wp:positionH>
                <wp:positionV relativeFrom="paragraph">
                  <wp:posOffset>5080</wp:posOffset>
                </wp:positionV>
                <wp:extent cx="1885950" cy="2057400"/>
                <wp:effectExtent l="4445" t="12065" r="33655" b="26035"/>
                <wp:wrapNone/>
                <wp:docPr id="22" name="任意多边形 22"/>
                <wp:cNvGraphicFramePr/>
                <a:graphic xmlns:a="http://schemas.openxmlformats.org/drawingml/2006/main">
                  <a:graphicData uri="http://schemas.microsoft.com/office/word/2010/wordprocessingShape">
                    <wps:wsp>
                      <wps:cNvSpPr/>
                      <wps:spPr>
                        <a:xfrm>
                          <a:off x="1620520" y="919480"/>
                          <a:ext cx="1885950" cy="2057400"/>
                        </a:xfrm>
                        <a:custGeom>
                          <a:avLst/>
                          <a:gdLst>
                            <a:gd name="connisteX0" fmla="*/ 0 w 1885950"/>
                            <a:gd name="connsiteY0" fmla="*/ 2057400 h 2057400"/>
                            <a:gd name="connisteX1" fmla="*/ 714375 w 1885950"/>
                            <a:gd name="connsiteY1" fmla="*/ 1809750 h 2057400"/>
                            <a:gd name="connisteX2" fmla="*/ 1123950 w 1885950"/>
                            <a:gd name="connsiteY2" fmla="*/ 1514475 h 2057400"/>
                            <a:gd name="connisteX3" fmla="*/ 1619250 w 1885950"/>
                            <a:gd name="connsiteY3" fmla="*/ 1219200 h 2057400"/>
                            <a:gd name="connisteX4" fmla="*/ 1771650 w 1885950"/>
                            <a:gd name="connsiteY4" fmla="*/ 1095375 h 2057400"/>
                            <a:gd name="connisteX5" fmla="*/ 1619250 w 1885950"/>
                            <a:gd name="connsiteY5" fmla="*/ 647700 h 2057400"/>
                            <a:gd name="connisteX6" fmla="*/ 1885950 w 1885950"/>
                            <a:gd name="connsiteY6" fmla="*/ 457200 h 2057400"/>
                            <a:gd name="connisteX7" fmla="*/ 1733550 w 1885950"/>
                            <a:gd name="connsiteY7" fmla="*/ 0 h 2057400"/>
                            <a:gd name="connisteX8" fmla="*/ 1733550 w 1885950"/>
                            <a:gd name="connsiteY8" fmla="*/ 9525 h 20574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885950" h="2057400">
                              <a:moveTo>
                                <a:pt x="0" y="2057400"/>
                              </a:moveTo>
                              <a:lnTo>
                                <a:pt x="714375" y="1809750"/>
                              </a:lnTo>
                              <a:lnTo>
                                <a:pt x="1123950" y="1514475"/>
                              </a:lnTo>
                              <a:lnTo>
                                <a:pt x="1619250" y="1219200"/>
                              </a:lnTo>
                              <a:lnTo>
                                <a:pt x="1771650" y="1095375"/>
                              </a:lnTo>
                              <a:lnTo>
                                <a:pt x="1619250" y="647700"/>
                              </a:lnTo>
                              <a:lnTo>
                                <a:pt x="1885950" y="457200"/>
                              </a:lnTo>
                              <a:lnTo>
                                <a:pt x="1733550" y="0"/>
                              </a:lnTo>
                              <a:lnTo>
                                <a:pt x="1733550" y="9525"/>
                              </a:lnTo>
                            </a:path>
                          </a:pathLst>
                        </a:custGeom>
                        <a:noFill/>
                        <a:ln w="28575">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73.6pt;margin-top:0.4pt;height:162pt;width:148.5pt;z-index:251678720;mso-width-relative:page;mso-height-relative:page;" filled="f" stroked="t" coordsize="1885950,2057400" o:gfxdata="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MBCMXzUAAAACAEAAA8AAAAAAAAAAQAg&#10;AAAAIgAAAGRycy9kb3ducmV2LnhtbFBLAQIUABQAAAAIAIdO4kC6u7ipoQMAALoLAAAOAAAAAAAA&#10;AAEAIAAAACMBAABkcnMvZTJvRG9jLnhtbFBLBQYAAAAABgAGAFkBAAA2BwAAAAA=&#10;" path="m0,2057400l714375,1809750,1123950,1514475,1619250,1219200,1771650,1095375,1619250,647700,1885950,457200,1733550,0,1733550,9525e">
                <v:path o:connectlocs="0,2057400;714375,1809750;1123950,1514475;1619250,1219200;1771650,1095375;1619250,647700;1885950,457200;1733550,0;1733550,9525" o:connectangles="0,0,0,0,0,0,0,0,0"/>
                <v:fill on="f" focussize="0,0"/>
                <v:stroke weight="2.25pt" color="#00B050 [3204]" miterlimit="8" joinstyle="miter" dashstyle="dash"/>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4225925</wp:posOffset>
                </wp:positionH>
                <wp:positionV relativeFrom="paragraph">
                  <wp:posOffset>258445</wp:posOffset>
                </wp:positionV>
                <wp:extent cx="1092200" cy="49022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092200" cy="490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lang w:val="en-US" w:eastAsia="zh-CN"/>
                              </w:rPr>
                            </w:pPr>
                            <w:r>
                              <w:rPr>
                                <w:rFonts w:hint="eastAsia"/>
                                <w:b/>
                                <w:bCs/>
                                <w:color w:val="FF0000"/>
                                <w:lang w:val="en-US" w:eastAsia="zh-CN"/>
                              </w:rPr>
                              <w:t>河南方圆炭素集团厂界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75pt;margin-top:20.35pt;height:38.6pt;width:86pt;z-index:251671552;mso-width-relative:page;mso-height-relative:page;" filled="f" stroked="f" coordsize="21600,21600" o:gfxdata="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owUXdoAAAAKAQAADwAAAAAAAAABACAAAAAiAAAAZHJz&#10;L2Rvd25yZXYueG1sUEsBAhQAFAAAAAgAh07iQOkGGgE7AgAAaAQAAA4AAAAAAAAAAQAgAAAAKQEA&#10;AGRycy9lMm9Eb2MueG1sUEsFBgAAAAAGAAYAWQEAANYFAAAAAA==&#10;">
                <v:fill on="f" focussize="0,0"/>
                <v:stroke on="f" weight="0.5pt"/>
                <v:imagedata o:title=""/>
                <o:lock v:ext="edit" aspectratio="f"/>
                <v:textbox>
                  <w:txbxContent>
                    <w:p>
                      <w:pPr>
                        <w:rPr>
                          <w:rFonts w:hint="default"/>
                          <w:b/>
                          <w:bCs/>
                          <w:color w:val="FF0000"/>
                          <w:lang w:val="en-US" w:eastAsia="zh-CN"/>
                        </w:rPr>
                      </w:pPr>
                      <w:r>
                        <w:rPr>
                          <w:rFonts w:hint="eastAsia"/>
                          <w:b/>
                          <w:bCs/>
                          <w:color w:val="FF0000"/>
                          <w:lang w:val="en-US" w:eastAsia="zh-CN"/>
                        </w:rPr>
                        <w:t>河南方圆炭素集团厂界</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2515235</wp:posOffset>
                </wp:positionH>
                <wp:positionV relativeFrom="paragraph">
                  <wp:posOffset>746760</wp:posOffset>
                </wp:positionV>
                <wp:extent cx="3849370" cy="3687445"/>
                <wp:effectExtent l="17145" t="16510" r="19685" b="29845"/>
                <wp:wrapNone/>
                <wp:docPr id="20" name="任意多边形 20"/>
                <wp:cNvGraphicFramePr/>
                <a:graphic xmlns:a="http://schemas.openxmlformats.org/drawingml/2006/main">
                  <a:graphicData uri="http://schemas.microsoft.com/office/word/2010/wordprocessingShape">
                    <wps:wsp>
                      <wps:cNvSpPr/>
                      <wps:spPr>
                        <a:xfrm>
                          <a:off x="3182620" y="1623060"/>
                          <a:ext cx="3849370" cy="3687445"/>
                        </a:xfrm>
                        <a:custGeom>
                          <a:avLst/>
                          <a:gdLst>
                            <a:gd name="connisteX0" fmla="*/ 19050 w 3876675"/>
                            <a:gd name="connsiteY0" fmla="*/ 1257300 h 3857625"/>
                            <a:gd name="connisteX1" fmla="*/ 676275 w 3876675"/>
                            <a:gd name="connsiteY1" fmla="*/ 3857625 h 3857625"/>
                            <a:gd name="connisteX2" fmla="*/ 3876675 w 3876675"/>
                            <a:gd name="connsiteY2" fmla="*/ 3181350 h 3857625"/>
                            <a:gd name="connisteX3" fmla="*/ 3181350 w 3876675"/>
                            <a:gd name="connsiteY3" fmla="*/ 0 h 3857625"/>
                            <a:gd name="connisteX4" fmla="*/ 2200275 w 3876675"/>
                            <a:gd name="connsiteY4" fmla="*/ 209550 h 3857625"/>
                            <a:gd name="connisteX5" fmla="*/ 2305050 w 3876675"/>
                            <a:gd name="connsiteY5" fmla="*/ 809625 h 3857625"/>
                            <a:gd name="connisteX6" fmla="*/ 0 w 3876675"/>
                            <a:gd name="connsiteY6" fmla="*/ 1162050 h 3857625"/>
                            <a:gd name="connisteX7" fmla="*/ 19050 w 3876675"/>
                            <a:gd name="connsiteY7" fmla="*/ 1257300 h 38576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3876675" h="3857625">
                              <a:moveTo>
                                <a:pt x="19050" y="1257300"/>
                              </a:moveTo>
                              <a:lnTo>
                                <a:pt x="676275" y="3857625"/>
                              </a:lnTo>
                              <a:lnTo>
                                <a:pt x="3876675" y="3181350"/>
                              </a:lnTo>
                              <a:lnTo>
                                <a:pt x="3181350" y="0"/>
                              </a:lnTo>
                              <a:lnTo>
                                <a:pt x="2200275" y="209550"/>
                              </a:lnTo>
                              <a:lnTo>
                                <a:pt x="2305050" y="809625"/>
                              </a:lnTo>
                              <a:lnTo>
                                <a:pt x="0" y="1162050"/>
                              </a:lnTo>
                              <a:lnTo>
                                <a:pt x="19050" y="1257300"/>
                              </a:lnTo>
                              <a:close/>
                            </a:path>
                          </a:pathLst>
                        </a:custGeom>
                        <a:noFill/>
                        <a:ln w="2857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98.05pt;margin-top:58.8pt;height:290.35pt;width:303.1pt;z-index:251677696;mso-width-relative:page;mso-height-relative:page;" filled="f" stroked="t" coordsize="3876675,3857625" o:gfxdata="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Dq7wdu3AAAAAwBAAAPAAAAAAAAAAEAIAAAACIAAABk&#10;cnMvZG93bnJldi54bWxQSwECFAAUAAAACACHTuJAr43c85EDAADsCgAADgAAAAAAAAABACAAAAAr&#10;AQAAZHJzL2Uyb0RvYy54bWxQSwUGAAAAAAYABgBZAQAALgcAAAAA&#10;" path="m19050,1257300l676275,3857625,3876675,3181350,3181350,0,2200275,209550,2305050,809625,0,1162050,19050,1257300xe">
                <v:path o:connectlocs="18915,1201833;671511,3687445;3849370,3041004;3158942,0;2184777,200305;2288814,773908;0,1110785;18915,1201833" o:connectangles="0,0,0,0,0,0,0,0"/>
                <v:fill on="f" focussize="0,0"/>
                <v:stroke weight="2.25pt" color="#ED7D31 [3205]" miterlimit="8" joinstyle="miter" dashstyle="dash"/>
                <v:imagedata o:title=""/>
                <o:lock v:ext="edit" aspectratio="f"/>
              </v:shape>
            </w:pict>
          </mc:Fallback>
        </mc:AlternateContent>
      </w:r>
      <w:r>
        <w:drawing>
          <wp:inline distT="0" distB="0" distL="114300" distR="114300">
            <wp:extent cx="9317990" cy="5306060"/>
            <wp:effectExtent l="0" t="0" r="16510" b="889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32"/>
                    <a:stretch>
                      <a:fillRect/>
                    </a:stretch>
                  </pic:blipFill>
                  <pic:spPr>
                    <a:xfrm>
                      <a:off x="0" y="0"/>
                      <a:ext cx="9317990" cy="5306060"/>
                    </a:xfrm>
                    <a:prstGeom prst="rect">
                      <a:avLst/>
                    </a:prstGeom>
                    <a:noFill/>
                    <a:ln>
                      <a:noFill/>
                    </a:ln>
                  </pic:spPr>
                </pic:pic>
              </a:graphicData>
            </a:graphic>
          </wp:inline>
        </w:drawing>
      </w:r>
      <w:r>
        <w:rPr>
          <w:sz w:val="24"/>
        </w:rPr>
        <mc:AlternateContent>
          <mc:Choice Requires="wps">
            <w:drawing>
              <wp:anchor distT="0" distB="0" distL="114300" distR="114300" simplePos="0" relativeHeight="251672576" behindDoc="0" locked="0" layoutInCell="1" allowOverlap="1">
                <wp:simplePos x="0" y="0"/>
                <wp:positionH relativeFrom="column">
                  <wp:posOffset>4700270</wp:posOffset>
                </wp:positionH>
                <wp:positionV relativeFrom="paragraph">
                  <wp:posOffset>748665</wp:posOffset>
                </wp:positionV>
                <wp:extent cx="71755" cy="198120"/>
                <wp:effectExtent l="19685" t="3810" r="22860" b="7620"/>
                <wp:wrapNone/>
                <wp:docPr id="45" name="直接箭头连接符 45"/>
                <wp:cNvGraphicFramePr/>
                <a:graphic xmlns:a="http://schemas.openxmlformats.org/drawingml/2006/main">
                  <a:graphicData uri="http://schemas.microsoft.com/office/word/2010/wordprocessingShape">
                    <wps:wsp>
                      <wps:cNvCnPr>
                        <a:stCxn id="44" idx="2"/>
                        <a:endCxn id="20" idx="4"/>
                      </wps:cNvCnPr>
                      <wps:spPr>
                        <a:xfrm flipH="1">
                          <a:off x="4345940" y="2129790"/>
                          <a:ext cx="71755" cy="198120"/>
                        </a:xfrm>
                        <a:prstGeom prst="straightConnector1">
                          <a:avLst/>
                        </a:prstGeom>
                        <a:ln w="22225">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70.1pt;margin-top:58.95pt;height:15.6pt;width:5.65pt;z-index:251672576;mso-width-relative:page;mso-height-relative:page;" filled="f" stroked="t" coordsize="21600,21600" o:gfxdata="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SV69n2gAAAAsBAAAPAAAAAAAAAAEAIAAAACIAAABkcnMvZG93&#10;bnJldi54bWxQSwECFAAUAAAACACHTuJATQDGzjcCAAA8BAAADgAAAAAAAAABACAAAAApAQAAZHJz&#10;L2Uyb0RvYy54bWxQSwUGAAAAAAYABgBZAQAA0gUAAAAA&#10;">
                <v:fill on="f" focussize="0,0"/>
                <v:stroke weight="1.75pt" color="#FF0000 [3204]" miterlimit="8" joinstyle="miter" endarrow="open"/>
                <v:imagedata o:title=""/>
                <o:lock v:ext="edit" aspectratio="f"/>
              </v:shape>
            </w:pict>
          </mc:Fallback>
        </mc:AlternateContent>
      </w:r>
    </w:p>
    <w:p>
      <w:pPr>
        <w:jc w:val="center"/>
        <w:outlineLvl w:val="0"/>
        <w:rPr>
          <w:rFonts w:hint="default" w:eastAsia="宋体"/>
          <w:b/>
          <w:bCs/>
          <w:sz w:val="28"/>
          <w:szCs w:val="28"/>
          <w:lang w:val="en-US" w:eastAsia="zh-CN"/>
        </w:rPr>
        <w:sectPr>
          <w:footerReference r:id="rId11" w:type="default"/>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b/>
          <w:bCs/>
          <w:sz w:val="28"/>
          <w:szCs w:val="28"/>
        </w:rPr>
        <w:t>附图</w:t>
      </w:r>
      <w:r>
        <w:rPr>
          <w:rFonts w:hint="eastAsia"/>
          <w:b/>
          <w:bCs/>
          <w:sz w:val="28"/>
          <w:szCs w:val="28"/>
          <w:lang w:val="en-US" w:eastAsia="zh-CN"/>
        </w:rPr>
        <w:t>二</w:t>
      </w:r>
      <w:r>
        <w:rPr>
          <w:rFonts w:hint="eastAsia"/>
          <w:b/>
          <w:bCs/>
          <w:sz w:val="28"/>
          <w:szCs w:val="28"/>
        </w:rPr>
        <w:t xml:space="preserve"> 项目周围环境概况</w:t>
      </w:r>
      <w:r>
        <w:rPr>
          <w:rFonts w:hint="eastAsia"/>
          <w:b/>
          <w:bCs/>
          <w:sz w:val="28"/>
          <w:szCs w:val="28"/>
          <w:lang w:val="en-US" w:eastAsia="zh-CN"/>
        </w:rPr>
        <w:t>示意图</w:t>
      </w:r>
    </w:p>
    <w:p>
      <w:pPr>
        <w:bidi w:val="0"/>
        <w:jc w:val="center"/>
        <w:rPr>
          <w:rFonts w:hint="eastAsia" w:eastAsia="宋体"/>
          <w:lang w:eastAsia="zh-CN"/>
        </w:rPr>
      </w:pPr>
      <w:r>
        <w:rPr>
          <w:rFonts w:hint="eastAsia" w:eastAsia="宋体"/>
          <w:lang w:eastAsia="zh-CN"/>
        </w:rPr>
        <w:drawing>
          <wp:inline distT="0" distB="0" distL="114300" distR="114300">
            <wp:extent cx="9041765" cy="5255895"/>
            <wp:effectExtent l="0" t="0" r="6985" b="1905"/>
            <wp:docPr id="52" name="图片 52" descr="dd52c8230468485c756703e8dfb3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d52c8230468485c756703e8dfb391c"/>
                    <pic:cNvPicPr>
                      <a:picLocks noChangeAspect="1"/>
                    </pic:cNvPicPr>
                  </pic:nvPicPr>
                  <pic:blipFill>
                    <a:blip r:embed="rId33"/>
                    <a:stretch>
                      <a:fillRect/>
                    </a:stretch>
                  </pic:blipFill>
                  <pic:spPr>
                    <a:xfrm>
                      <a:off x="0" y="0"/>
                      <a:ext cx="9041765" cy="5255895"/>
                    </a:xfrm>
                    <a:prstGeom prst="rect">
                      <a:avLst/>
                    </a:prstGeom>
                  </pic:spPr>
                </pic:pic>
              </a:graphicData>
            </a:graphic>
          </wp:inline>
        </w:drawing>
      </w:r>
    </w:p>
    <w:p>
      <w:pPr>
        <w:jc w:val="center"/>
        <w:outlineLvl w:val="0"/>
        <w:rPr>
          <w:rFonts w:hint="eastAsia"/>
          <w:b/>
          <w:bCs/>
          <w:sz w:val="28"/>
          <w:szCs w:val="28"/>
        </w:rPr>
        <w:sectPr>
          <w:footerReference r:id="rId12" w:type="default"/>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b/>
          <w:bCs/>
          <w:sz w:val="28"/>
          <w:szCs w:val="28"/>
        </w:rPr>
        <w:t>附图</w:t>
      </w:r>
      <w:r>
        <w:rPr>
          <w:rFonts w:hint="eastAsia"/>
          <w:b/>
          <w:bCs/>
          <w:sz w:val="28"/>
          <w:szCs w:val="28"/>
          <w:lang w:val="en-US" w:eastAsia="zh-CN"/>
        </w:rPr>
        <w:t>三</w:t>
      </w:r>
      <w:r>
        <w:rPr>
          <w:rFonts w:hint="eastAsia"/>
          <w:b/>
          <w:bCs/>
          <w:sz w:val="28"/>
          <w:szCs w:val="28"/>
        </w:rPr>
        <w:t xml:space="preserve"> </w:t>
      </w:r>
      <w:r>
        <w:rPr>
          <w:rFonts w:hint="eastAsia"/>
          <w:b/>
          <w:bCs/>
          <w:sz w:val="28"/>
          <w:szCs w:val="28"/>
          <w:lang w:val="en-US" w:eastAsia="zh-CN"/>
        </w:rPr>
        <w:t>本项目位置与河南省“三线一单”成果查询系统对比</w:t>
      </w:r>
      <w:r>
        <w:rPr>
          <w:rFonts w:hint="eastAsia"/>
          <w:b/>
          <w:bCs/>
          <w:sz w:val="28"/>
          <w:szCs w:val="28"/>
        </w:rPr>
        <w:t>图</w:t>
      </w:r>
    </w:p>
    <w:p>
      <w:pPr>
        <w:jc w:val="center"/>
      </w:pPr>
      <w:r>
        <w:drawing>
          <wp:anchor distT="0" distB="0" distL="114300" distR="114300" simplePos="0" relativeHeight="251694080" behindDoc="0" locked="0" layoutInCell="1" allowOverlap="1">
            <wp:simplePos x="0" y="0"/>
            <wp:positionH relativeFrom="column">
              <wp:posOffset>7603490</wp:posOffset>
            </wp:positionH>
            <wp:positionV relativeFrom="paragraph">
              <wp:posOffset>4352925</wp:posOffset>
            </wp:positionV>
            <wp:extent cx="1123950" cy="276225"/>
            <wp:effectExtent l="0" t="0" r="0" b="9525"/>
            <wp:wrapNone/>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34"/>
                    <a:stretch>
                      <a:fillRect/>
                    </a:stretch>
                  </pic:blipFill>
                  <pic:spPr>
                    <a:xfrm>
                      <a:off x="0" y="0"/>
                      <a:ext cx="1123950" cy="276225"/>
                    </a:xfrm>
                    <a:prstGeom prst="rect">
                      <a:avLst/>
                    </a:prstGeom>
                    <a:noFill/>
                    <a:ln>
                      <a:noFill/>
                    </a:ln>
                  </pic:spPr>
                </pic:pic>
              </a:graphicData>
            </a:graphic>
          </wp:anchor>
        </w:drawing>
      </w:r>
      <w:r>
        <w:drawing>
          <wp:inline distT="0" distB="0" distL="114300" distR="114300">
            <wp:extent cx="7867650" cy="5048250"/>
            <wp:effectExtent l="0" t="0" r="0" b="0"/>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35"/>
                    <a:stretch>
                      <a:fillRect/>
                    </a:stretch>
                  </pic:blipFill>
                  <pic:spPr>
                    <a:xfrm>
                      <a:off x="0" y="0"/>
                      <a:ext cx="7867650" cy="5048250"/>
                    </a:xfrm>
                    <a:prstGeom prst="rect">
                      <a:avLst/>
                    </a:prstGeom>
                    <a:noFill/>
                    <a:ln>
                      <a:noFill/>
                    </a:ln>
                  </pic:spPr>
                </pic:pic>
              </a:graphicData>
            </a:graphic>
          </wp:inline>
        </w:drawing>
      </w:r>
      <w:r>
        <w:rPr>
          <w:rFonts w:hint="eastAsia" w:eastAsia="宋体"/>
          <w:snapToGrid w:val="0"/>
          <w:color w:val="auto"/>
          <w:kern w:val="0"/>
          <w:sz w:val="28"/>
          <w:szCs w:val="28"/>
          <w:u w:val="none"/>
          <w:lang w:eastAsia="zh-CN"/>
        </w:rPr>
        <w:drawing>
          <wp:anchor distT="0" distB="0" distL="114300" distR="114300" simplePos="0" relativeHeight="251691008" behindDoc="0" locked="0" layoutInCell="1" allowOverlap="1">
            <wp:simplePos x="0" y="0"/>
            <wp:positionH relativeFrom="column">
              <wp:posOffset>8422640</wp:posOffset>
            </wp:positionH>
            <wp:positionV relativeFrom="paragraph">
              <wp:posOffset>34290</wp:posOffset>
            </wp:positionV>
            <wp:extent cx="895350" cy="876300"/>
            <wp:effectExtent l="0" t="0" r="0" b="0"/>
            <wp:wrapNone/>
            <wp:docPr id="60" name="图片 2" descr="Snipaste_2023-04-18_11-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Snipaste_2023-04-18_11-24-51"/>
                    <pic:cNvPicPr>
                      <a:picLocks noChangeAspect="1"/>
                    </pic:cNvPicPr>
                  </pic:nvPicPr>
                  <pic:blipFill>
                    <a:blip r:embed="rId29"/>
                    <a:stretch>
                      <a:fillRect/>
                    </a:stretch>
                  </pic:blipFill>
                  <pic:spPr>
                    <a:xfrm>
                      <a:off x="0" y="0"/>
                      <a:ext cx="895350" cy="876300"/>
                    </a:xfrm>
                    <a:prstGeom prst="rect">
                      <a:avLst/>
                    </a:prstGeom>
                    <a:noFill/>
                    <a:ln>
                      <a:noFill/>
                    </a:ln>
                  </pic:spPr>
                </pic:pic>
              </a:graphicData>
            </a:graphic>
          </wp:anchor>
        </w:drawing>
      </w:r>
    </w:p>
    <w:p>
      <w:pPr>
        <w:jc w:val="center"/>
        <w:outlineLvl w:val="0"/>
        <w:rPr>
          <w:rFonts w:hint="eastAsia"/>
          <w:b/>
          <w:bCs/>
          <w:sz w:val="28"/>
          <w:szCs w:val="28"/>
        </w:rPr>
        <w:sectPr>
          <w:headerReference r:id="rId13" w:type="default"/>
          <w:footerReference r:id="rId14" w:type="default"/>
          <w:pgSz w:w="16838" w:h="11906" w:orient="landscape"/>
          <w:pgMar w:top="1440" w:right="1080" w:bottom="1440" w:left="1080" w:header="1134" w:footer="964"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b/>
          <w:bCs/>
          <w:sz w:val="28"/>
          <w:szCs w:val="28"/>
        </w:rPr>
        <w:t>附图</w:t>
      </w:r>
      <w:r>
        <w:rPr>
          <w:rFonts w:hint="eastAsia"/>
          <w:b/>
          <w:bCs/>
          <w:sz w:val="28"/>
          <w:szCs w:val="28"/>
          <w:lang w:val="en-US" w:eastAsia="zh-CN"/>
        </w:rPr>
        <w:t>四</w:t>
      </w:r>
      <w:r>
        <w:rPr>
          <w:rFonts w:hint="eastAsia"/>
          <w:b/>
          <w:bCs/>
          <w:sz w:val="28"/>
          <w:szCs w:val="28"/>
        </w:rPr>
        <w:t xml:space="preserve"> </w:t>
      </w:r>
      <w:r>
        <w:rPr>
          <w:rFonts w:hint="eastAsia"/>
          <w:b/>
          <w:bCs/>
          <w:sz w:val="28"/>
          <w:szCs w:val="28"/>
          <w:lang w:val="en-US" w:eastAsia="zh-CN"/>
        </w:rPr>
        <w:t>项目平面布置示意</w:t>
      </w:r>
      <w:r>
        <w:rPr>
          <w:rFonts w:hint="eastAsia"/>
          <w:b/>
          <w:bCs/>
          <w:sz w:val="28"/>
          <w:szCs w:val="28"/>
        </w:rPr>
        <w:t>图</w:t>
      </w:r>
    </w:p>
    <w:p>
      <w:pPr>
        <w:bidi w:val="0"/>
        <w:jc w:val="center"/>
        <w:rPr>
          <w:rFonts w:hint="eastAsia"/>
          <w:lang w:eastAsia="zh-CN"/>
        </w:rPr>
      </w:pPr>
      <w:r>
        <mc:AlternateContent>
          <mc:Choice Requires="wps">
            <w:drawing>
              <wp:anchor distT="0" distB="0" distL="114300" distR="114300" simplePos="0" relativeHeight="251674624" behindDoc="0" locked="0" layoutInCell="1" allowOverlap="1">
                <wp:simplePos x="0" y="0"/>
                <wp:positionH relativeFrom="column">
                  <wp:posOffset>2997835</wp:posOffset>
                </wp:positionH>
                <wp:positionV relativeFrom="paragraph">
                  <wp:posOffset>1040130</wp:posOffset>
                </wp:positionV>
                <wp:extent cx="1045845" cy="332105"/>
                <wp:effectExtent l="6350" t="321310" r="300355" b="13335"/>
                <wp:wrapNone/>
                <wp:docPr id="42" name="圆角矩形标注 42"/>
                <wp:cNvGraphicFramePr/>
                <a:graphic xmlns:a="http://schemas.openxmlformats.org/drawingml/2006/main">
                  <a:graphicData uri="http://schemas.microsoft.com/office/word/2010/wordprocessingShape">
                    <wps:wsp>
                      <wps:cNvSpPr/>
                      <wps:spPr>
                        <a:xfrm>
                          <a:off x="0" y="0"/>
                          <a:ext cx="1045845" cy="332105"/>
                        </a:xfrm>
                        <a:prstGeom prst="wedgeRoundRectCallout">
                          <a:avLst>
                            <a:gd name="adj1" fmla="val 74106"/>
                            <a:gd name="adj2" fmla="val -138912"/>
                            <a:gd name="adj3" fmla="val 16667"/>
                          </a:avLst>
                        </a:prstGeom>
                        <a:solidFill>
                          <a:srgbClr val="92D050"/>
                        </a:solidFill>
                        <a:ln w="12700" cap="flat" cmpd="sng">
                          <a:solidFill>
                            <a:srgbClr val="243F60"/>
                          </a:solidFill>
                          <a:prstDash val="solid"/>
                          <a:miter/>
                          <a:headEnd type="none" w="med" len="med"/>
                          <a:tailEnd type="none" w="med" len="med"/>
                        </a:ln>
                      </wps:spPr>
                      <wps:txbx>
                        <w:txbxContent>
                          <w:p>
                            <w:pPr>
                              <w:jc w:val="center"/>
                              <w:rPr>
                                <w:b/>
                                <w:color w:val="000000"/>
                                <w:sz w:val="24"/>
                                <w:szCs w:val="24"/>
                              </w:rPr>
                            </w:pPr>
                            <w:r>
                              <w:rPr>
                                <w:rFonts w:hint="eastAsia"/>
                                <w:b/>
                                <w:color w:val="000000"/>
                                <w:sz w:val="24"/>
                                <w:szCs w:val="24"/>
                              </w:rPr>
                              <w:t>本项目位置</w:t>
                            </w:r>
                          </w:p>
                        </w:txbxContent>
                      </wps:txbx>
                      <wps:bodyPr anchor="ctr" anchorCtr="0" upright="1"/>
                    </wps:wsp>
                  </a:graphicData>
                </a:graphic>
              </wp:anchor>
            </w:drawing>
          </mc:Choice>
          <mc:Fallback>
            <w:pict>
              <v:shape id="_x0000_s1026" o:spid="_x0000_s1026" o:spt="62" type="#_x0000_t62" style="position:absolute;left:0pt;margin-left:236.05pt;margin-top:81.9pt;height:26.15pt;width:82.35pt;z-index:251674624;v-text-anchor:middle;mso-width-relative:page;mso-height-relative:page;" fillcolor="#92D050" filled="t" stroked="t" coordsize="21600,21600" o:gfxdata="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ydll89cAAAALAQAADwAAAAAAAAABACAAAAAiAAAAZHJzL2Rvd25yZXYueG1s&#10;UEsBAhQAFAAAAAgAh07iQDFdAltrAgAA2wQAAA4AAAAAAAAAAQAgAAAAJgEAAGRycy9lMm9Eb2Mu&#10;eG1sUEsFBgAAAAAGAAYAWQEAAAMGAAAAAA==&#10;" adj="26807,-19205,14400">
                <v:fill on="t" focussize="0,0"/>
                <v:stroke weight="1pt" color="#243F60" joinstyle="miter"/>
                <v:imagedata o:title=""/>
                <o:lock v:ext="edit" aspectratio="f"/>
                <v:textbox>
                  <w:txbxContent>
                    <w:p>
                      <w:pPr>
                        <w:jc w:val="center"/>
                        <w:rPr>
                          <w:b/>
                          <w:color w:val="000000"/>
                          <w:sz w:val="24"/>
                          <w:szCs w:val="24"/>
                        </w:rPr>
                      </w:pPr>
                      <w:r>
                        <w:rPr>
                          <w:rFonts w:hint="eastAsia"/>
                          <w:b/>
                          <w:color w:val="000000"/>
                          <w:sz w:val="24"/>
                          <w:szCs w:val="24"/>
                        </w:rPr>
                        <w:t>本项目位置</w:t>
                      </w:r>
                    </w:p>
                  </w:txbxContent>
                </v:textbox>
              </v:shape>
            </w:pict>
          </mc:Fallback>
        </mc:AlternateContent>
      </w:r>
      <w:r>
        <w:rPr>
          <w:rFonts w:hint="eastAsia" w:eastAsia="宋体"/>
          <w:lang w:eastAsia="zh-CN"/>
        </w:rPr>
        <w:drawing>
          <wp:inline distT="0" distB="0" distL="114300" distR="114300">
            <wp:extent cx="8333105" cy="5238115"/>
            <wp:effectExtent l="0" t="0" r="10795" b="635"/>
            <wp:docPr id="40" name="图片 12" descr="图2.1-3 集聚区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图2.1-3 集聚区土地利用规划图"/>
                    <pic:cNvPicPr>
                      <a:picLocks noChangeAspect="1"/>
                    </pic:cNvPicPr>
                  </pic:nvPicPr>
                  <pic:blipFill>
                    <a:blip r:embed="rId36"/>
                    <a:srcRect l="3589" t="6076" r="3709" b="11423"/>
                    <a:stretch>
                      <a:fillRect/>
                    </a:stretch>
                  </pic:blipFill>
                  <pic:spPr>
                    <a:xfrm>
                      <a:off x="0" y="0"/>
                      <a:ext cx="8333105" cy="5238115"/>
                    </a:xfrm>
                    <a:prstGeom prst="rect">
                      <a:avLst/>
                    </a:prstGeom>
                    <a:noFill/>
                    <a:ln>
                      <a:noFill/>
                    </a:ln>
                  </pic:spPr>
                </pic:pic>
              </a:graphicData>
            </a:graphic>
          </wp:inline>
        </w:drawing>
      </w:r>
      <w:r>
        <w:rPr>
          <w:sz w:val="21"/>
        </w:rPr>
        <mc:AlternateContent>
          <mc:Choice Requires="wps">
            <w:drawing>
              <wp:anchor distT="0" distB="0" distL="114300" distR="114300" simplePos="0" relativeHeight="251670528" behindDoc="0" locked="0" layoutInCell="1" allowOverlap="1">
                <wp:simplePos x="0" y="0"/>
                <wp:positionH relativeFrom="column">
                  <wp:posOffset>6071235</wp:posOffset>
                </wp:positionH>
                <wp:positionV relativeFrom="paragraph">
                  <wp:posOffset>2954655</wp:posOffset>
                </wp:positionV>
                <wp:extent cx="650240" cy="309880"/>
                <wp:effectExtent l="0" t="4445" r="16510" b="9525"/>
                <wp:wrapNone/>
                <wp:docPr id="37" name="直接箭头连接符 37"/>
                <wp:cNvGraphicFramePr/>
                <a:graphic xmlns:a="http://schemas.openxmlformats.org/drawingml/2006/main">
                  <a:graphicData uri="http://schemas.microsoft.com/office/word/2010/wordprocessingShape">
                    <wps:wsp>
                      <wps:cNvCnPr>
                        <a:stCxn id="36" idx="2"/>
                        <a:endCxn id="35" idx="5"/>
                      </wps:cNvCnPr>
                      <wps:spPr>
                        <a:xfrm flipH="1">
                          <a:off x="6757035" y="3869055"/>
                          <a:ext cx="650240" cy="3098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78.05pt;margin-top:232.65pt;height:24.4pt;width:51.2pt;z-index:251670528;mso-width-relative:page;mso-height-relative:page;" filled="f" stroked="t" coordsize="21600,21600" o:gfxdata="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be2YtoAAAAMAQAADwAAAAAAAAABACAAAAAiAAAAZHJzL2Rv&#10;d25yZXYueG1sUEsBAhQAFAAAAAgAh07iQFA9AeY4AgAAPQQAAA4AAAAAAAAAAQAgAAAAKQEAAGRy&#10;cy9lMm9Eb2MueG1sUEsFBgAAAAAGAAYAWQEAANMFAAAAAA==&#10;">
                <v:fill on="f" focussize="0,0"/>
                <v:stroke weight="1.5pt" color="#FF00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6325870</wp:posOffset>
                </wp:positionH>
                <wp:positionV relativeFrom="paragraph">
                  <wp:posOffset>2630805</wp:posOffset>
                </wp:positionV>
                <wp:extent cx="790575" cy="323850"/>
                <wp:effectExtent l="0" t="0" r="0" b="0"/>
                <wp:wrapNone/>
                <wp:docPr id="36" name="文本框 36"/>
                <wp:cNvGraphicFramePr/>
                <a:graphic xmlns:a="http://schemas.openxmlformats.org/drawingml/2006/main">
                  <a:graphicData uri="http://schemas.microsoft.com/office/word/2010/wordprocessingShape">
                    <wps:wsp>
                      <wps:cNvSpPr txBox="1"/>
                      <wps:spPr>
                        <a:xfrm>
                          <a:off x="7011670" y="3545205"/>
                          <a:ext cx="7905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8.1pt;margin-top:207.15pt;height:25.5pt;width:62.25pt;z-index:251669504;mso-width-relative:page;mso-height-relative:page;" filled="f" stroked="f" coordsize="21600,21600" o:gfxdata="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0xVTHdAAAADAEAAA8AAAAA&#10;AAAAAQAgAAAAIgAAAGRycy9kb3ducmV2LnhtbFBLAQIUABQAAAAIAIdO4kDxhGCFSAIAAHMEAAAO&#10;AAAAAAAAAAEAIAAAACwBAABkcnMvZTJvRG9jLnhtbFBLBQYAAAAABgAGAFkBAADmBQ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项目位置</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5935345</wp:posOffset>
                </wp:positionH>
                <wp:positionV relativeFrom="paragraph">
                  <wp:posOffset>3183255</wp:posOffset>
                </wp:positionV>
                <wp:extent cx="180975" cy="161925"/>
                <wp:effectExtent l="10795" t="12700" r="17780" b="15875"/>
                <wp:wrapNone/>
                <wp:docPr id="35" name="等腰三角形 35"/>
                <wp:cNvGraphicFramePr/>
                <a:graphic xmlns:a="http://schemas.openxmlformats.org/drawingml/2006/main">
                  <a:graphicData uri="http://schemas.microsoft.com/office/word/2010/wordprocessingShape">
                    <wps:wsp>
                      <wps:cNvSpPr/>
                      <wps:spPr>
                        <a:xfrm>
                          <a:off x="6678295" y="4154805"/>
                          <a:ext cx="180975" cy="1619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67.35pt;margin-top:250.65pt;height:12.75pt;width:14.25pt;z-index:251668480;v-text-anchor:middle;mso-width-relative:page;mso-height-relative:page;" fillcolor="#FF0000" filled="t" stroked="t" coordsize="21600,21600" o:gfxdata="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PYtkDaAAAACwEAAA8AAAAAAAAAAQAgAAAAIgAAAGRycy9kb3ducmV2Lnht&#10;bFBLAQIUABQAAAAIAIdO4kC5W3spogIAAC8FAAAOAAAAAAAAAAEAIAAAACkBAABkcnMvZTJvRG9j&#10;LnhtbFBLBQYAAAAABgAGAFkBAAA9BgAAAAA=&#10;" adj="10800">
                <v:fill on="t" focussize="0,0"/>
                <v:stroke weight="1pt" color="#41719C [3204]" miterlimit="8" joinstyle="miter"/>
                <v:imagedata o:title=""/>
                <o:lock v:ext="edit" aspectratio="f"/>
              </v:shape>
            </w:pict>
          </mc:Fallback>
        </mc:AlternateContent>
      </w:r>
    </w:p>
    <w:p>
      <w:pPr>
        <w:jc w:val="center"/>
        <w:outlineLvl w:val="0"/>
        <w:rPr>
          <w:rFonts w:hint="eastAsia"/>
          <w:b/>
          <w:bCs/>
          <w:sz w:val="28"/>
          <w:szCs w:val="28"/>
          <w:lang w:val="en-US" w:eastAsia="zh-CN"/>
        </w:rPr>
        <w:sectPr>
          <w:headerReference r:id="rId15" w:type="default"/>
          <w:footerReference r:id="rId16" w:type="default"/>
          <w:pgSz w:w="16838" w:h="11906" w:orient="landscape"/>
          <w:pgMar w:top="1440" w:right="1080" w:bottom="1440" w:left="1080" w:header="1134" w:footer="964"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b/>
          <w:bCs/>
          <w:sz w:val="28"/>
          <w:szCs w:val="28"/>
        </w:rPr>
        <w:t>附图</w:t>
      </w:r>
      <w:r>
        <w:rPr>
          <w:rFonts w:hint="eastAsia"/>
          <w:b/>
          <w:bCs/>
          <w:sz w:val="28"/>
          <w:szCs w:val="28"/>
          <w:lang w:val="en-US" w:eastAsia="zh-CN"/>
        </w:rPr>
        <w:t>五</w:t>
      </w:r>
      <w:r>
        <w:rPr>
          <w:rFonts w:hint="eastAsia"/>
          <w:b/>
          <w:bCs/>
          <w:sz w:val="28"/>
          <w:szCs w:val="28"/>
        </w:rPr>
        <w:t xml:space="preserve"> </w:t>
      </w:r>
      <w:r>
        <w:rPr>
          <w:rFonts w:hint="eastAsia"/>
          <w:b/>
          <w:bCs/>
          <w:sz w:val="28"/>
          <w:szCs w:val="28"/>
          <w:lang w:val="en-US" w:eastAsia="zh-CN"/>
        </w:rPr>
        <w:t>本项目在鲁山县产业集聚区土地利用规划图中的位置</w:t>
      </w:r>
    </w:p>
    <w:p>
      <w:pPr>
        <w:pStyle w:val="10"/>
        <w:rPr>
          <w:rFonts w:hint="eastAsia"/>
          <w:lang w:eastAsia="zh-CN"/>
        </w:rPr>
      </w:pPr>
      <w:r>
        <mc:AlternateContent>
          <mc:Choice Requires="wps">
            <w:drawing>
              <wp:anchor distT="0" distB="0" distL="114300" distR="114300" simplePos="0" relativeHeight="251676672" behindDoc="0" locked="0" layoutInCell="1" allowOverlap="1">
                <wp:simplePos x="0" y="0"/>
                <wp:positionH relativeFrom="column">
                  <wp:posOffset>2892425</wp:posOffset>
                </wp:positionH>
                <wp:positionV relativeFrom="paragraph">
                  <wp:posOffset>1007745</wp:posOffset>
                </wp:positionV>
                <wp:extent cx="1045845" cy="332105"/>
                <wp:effectExtent l="6350" t="321310" r="300355" b="13335"/>
                <wp:wrapNone/>
                <wp:docPr id="47" name="圆角矩形标注 47"/>
                <wp:cNvGraphicFramePr/>
                <a:graphic xmlns:a="http://schemas.openxmlformats.org/drawingml/2006/main">
                  <a:graphicData uri="http://schemas.microsoft.com/office/word/2010/wordprocessingShape">
                    <wps:wsp>
                      <wps:cNvSpPr/>
                      <wps:spPr>
                        <a:xfrm>
                          <a:off x="0" y="0"/>
                          <a:ext cx="1045845" cy="332105"/>
                        </a:xfrm>
                        <a:prstGeom prst="wedgeRoundRectCallout">
                          <a:avLst>
                            <a:gd name="adj1" fmla="val 74106"/>
                            <a:gd name="adj2" fmla="val -138912"/>
                            <a:gd name="adj3" fmla="val 16667"/>
                          </a:avLst>
                        </a:prstGeom>
                        <a:solidFill>
                          <a:srgbClr val="92D050"/>
                        </a:solidFill>
                        <a:ln w="12700" cap="flat" cmpd="sng">
                          <a:solidFill>
                            <a:srgbClr val="243F60"/>
                          </a:solidFill>
                          <a:prstDash val="solid"/>
                          <a:miter/>
                          <a:headEnd type="none" w="med" len="med"/>
                          <a:tailEnd type="none" w="med" len="med"/>
                        </a:ln>
                      </wps:spPr>
                      <wps:txbx>
                        <w:txbxContent>
                          <w:p>
                            <w:pPr>
                              <w:jc w:val="center"/>
                              <w:rPr>
                                <w:b/>
                                <w:color w:val="000000"/>
                                <w:sz w:val="24"/>
                                <w:szCs w:val="24"/>
                              </w:rPr>
                            </w:pPr>
                            <w:r>
                              <w:rPr>
                                <w:rFonts w:hint="eastAsia"/>
                                <w:b/>
                                <w:color w:val="000000"/>
                                <w:sz w:val="24"/>
                                <w:szCs w:val="24"/>
                              </w:rPr>
                              <w:t>本项目位置</w:t>
                            </w:r>
                          </w:p>
                        </w:txbxContent>
                      </wps:txbx>
                      <wps:bodyPr anchor="ctr" anchorCtr="0" upright="1"/>
                    </wps:wsp>
                  </a:graphicData>
                </a:graphic>
              </wp:anchor>
            </w:drawing>
          </mc:Choice>
          <mc:Fallback>
            <w:pict>
              <v:shape id="_x0000_s1026" o:spid="_x0000_s1026" o:spt="62" type="#_x0000_t62" style="position:absolute;left:0pt;margin-left:227.75pt;margin-top:79.35pt;height:26.15pt;width:82.35pt;z-index:251676672;v-text-anchor:middle;mso-width-relative:page;mso-height-relative:page;" fillcolor="#92D050" filled="t" stroked="t" coordsize="21600,21600" o:gfxdata="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le6o91wAAAAsBAAAPAAAAAAAAAAEAIAAAACIAAABkcnMvZG93bnJldi54bWxQSwEC&#10;FAAUAAAACACHTuJAMoXaHWcCAADbBAAADgAAAAAAAAABACAAAAAmAQAAZHJzL2Uyb0RvYy54bWxQ&#10;SwUGAAAAAAYABgBZAQAA/wUAAAAA&#10;" adj="26807,-19205,14400">
                <v:fill on="t" focussize="0,0"/>
                <v:stroke weight="1pt" color="#243F60" joinstyle="miter"/>
                <v:imagedata o:title=""/>
                <o:lock v:ext="edit" aspectratio="f"/>
                <v:textbox>
                  <w:txbxContent>
                    <w:p>
                      <w:pPr>
                        <w:jc w:val="center"/>
                        <w:rPr>
                          <w:b/>
                          <w:color w:val="000000"/>
                          <w:sz w:val="24"/>
                          <w:szCs w:val="24"/>
                        </w:rPr>
                      </w:pPr>
                      <w:r>
                        <w:rPr>
                          <w:rFonts w:hint="eastAsia"/>
                          <w:b/>
                          <w:color w:val="000000"/>
                          <w:sz w:val="24"/>
                          <w:szCs w:val="24"/>
                        </w:rPr>
                        <w:t>本项目位置</w:t>
                      </w:r>
                    </w:p>
                  </w:txbxContent>
                </v:textbox>
              </v:shape>
            </w:pict>
          </mc:Fallback>
        </mc:AlternateContent>
      </w:r>
      <w:r>
        <w:rPr>
          <w:rFonts w:hint="eastAsia"/>
          <w:lang w:eastAsia="zh-CN"/>
        </w:rPr>
        <w:drawing>
          <wp:inline distT="0" distB="0" distL="114300" distR="114300">
            <wp:extent cx="8430895" cy="5155565"/>
            <wp:effectExtent l="0" t="0" r="8255" b="6985"/>
            <wp:docPr id="43" name="图片 13" descr="图2.1-4 集聚区产业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图2.1-4 集聚区产业布局规划图"/>
                    <pic:cNvPicPr>
                      <a:picLocks noChangeAspect="1"/>
                    </pic:cNvPicPr>
                  </pic:nvPicPr>
                  <pic:blipFill>
                    <a:blip r:embed="rId37"/>
                    <a:srcRect l="2934" t="7799" r="3365" b="9584"/>
                    <a:stretch>
                      <a:fillRect/>
                    </a:stretch>
                  </pic:blipFill>
                  <pic:spPr>
                    <a:xfrm>
                      <a:off x="0" y="0"/>
                      <a:ext cx="8430895" cy="5155565"/>
                    </a:xfrm>
                    <a:prstGeom prst="rect">
                      <a:avLst/>
                    </a:prstGeom>
                    <a:noFill/>
                    <a:ln>
                      <a:noFill/>
                    </a:ln>
                  </pic:spPr>
                </pic:pic>
              </a:graphicData>
            </a:graphic>
          </wp:inline>
        </w:drawing>
      </w:r>
    </w:p>
    <w:p>
      <w:pPr>
        <w:rPr>
          <w:rFonts w:hint="eastAsia"/>
          <w:lang w:eastAsia="zh-CN"/>
        </w:rPr>
      </w:pPr>
    </w:p>
    <w:p>
      <w:pPr>
        <w:pStyle w:val="10"/>
        <w:jc w:val="center"/>
        <w:outlineLvl w:val="0"/>
        <w:rPr>
          <w:rFonts w:hint="eastAsia"/>
        </w:rPr>
        <w:sectPr>
          <w:pgSz w:w="16838" w:h="11906" w:orient="landscape"/>
          <w:pgMar w:top="1440" w:right="1080" w:bottom="1440" w:left="1080" w:header="1134" w:footer="964"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b/>
          <w:bCs/>
          <w:kern w:val="2"/>
          <w:sz w:val="28"/>
          <w:szCs w:val="28"/>
          <w:lang w:val="en-US" w:eastAsia="zh-CN" w:bidi="ar-SA"/>
        </w:rPr>
        <w:t xml:space="preserve">附图六 </w:t>
      </w:r>
      <w:r>
        <mc:AlternateContent>
          <mc:Choice Requires="wps">
            <w:drawing>
              <wp:anchor distT="0" distB="0" distL="114300" distR="114300" simplePos="0" relativeHeight="251675648" behindDoc="0" locked="0" layoutInCell="1" allowOverlap="1">
                <wp:simplePos x="0" y="0"/>
                <wp:positionH relativeFrom="column">
                  <wp:posOffset>3265170</wp:posOffset>
                </wp:positionH>
                <wp:positionV relativeFrom="paragraph">
                  <wp:posOffset>2289175</wp:posOffset>
                </wp:positionV>
                <wp:extent cx="1045845" cy="332105"/>
                <wp:effectExtent l="6350" t="321310" r="300355" b="13335"/>
                <wp:wrapNone/>
                <wp:docPr id="46" name="圆角矩形标注 46"/>
                <wp:cNvGraphicFramePr/>
                <a:graphic xmlns:a="http://schemas.openxmlformats.org/drawingml/2006/main">
                  <a:graphicData uri="http://schemas.microsoft.com/office/word/2010/wordprocessingShape">
                    <wps:wsp>
                      <wps:cNvSpPr/>
                      <wps:spPr>
                        <a:xfrm>
                          <a:off x="0" y="0"/>
                          <a:ext cx="1045845" cy="332105"/>
                        </a:xfrm>
                        <a:prstGeom prst="wedgeRoundRectCallout">
                          <a:avLst>
                            <a:gd name="adj1" fmla="val 74106"/>
                            <a:gd name="adj2" fmla="val -138912"/>
                            <a:gd name="adj3" fmla="val 16667"/>
                          </a:avLst>
                        </a:prstGeom>
                        <a:solidFill>
                          <a:srgbClr val="92D050"/>
                        </a:solidFill>
                        <a:ln w="12700" cap="flat" cmpd="sng">
                          <a:solidFill>
                            <a:srgbClr val="243F60"/>
                          </a:solidFill>
                          <a:prstDash val="solid"/>
                          <a:miter/>
                          <a:headEnd type="none" w="med" len="med"/>
                          <a:tailEnd type="none" w="med" len="med"/>
                        </a:ln>
                      </wps:spPr>
                      <wps:txbx>
                        <w:txbxContent>
                          <w:p>
                            <w:pPr>
                              <w:jc w:val="center"/>
                              <w:rPr>
                                <w:b/>
                                <w:color w:val="000000"/>
                                <w:sz w:val="24"/>
                                <w:szCs w:val="24"/>
                              </w:rPr>
                            </w:pPr>
                            <w:r>
                              <w:rPr>
                                <w:rFonts w:hint="eastAsia"/>
                                <w:b/>
                                <w:color w:val="000000"/>
                                <w:sz w:val="24"/>
                                <w:szCs w:val="24"/>
                              </w:rPr>
                              <w:t>本项目位置</w:t>
                            </w:r>
                          </w:p>
                        </w:txbxContent>
                      </wps:txbx>
                      <wps:bodyPr anchor="ctr" anchorCtr="0" upright="1"/>
                    </wps:wsp>
                  </a:graphicData>
                </a:graphic>
              </wp:anchor>
            </w:drawing>
          </mc:Choice>
          <mc:Fallback>
            <w:pict>
              <v:shape id="_x0000_s1026" o:spid="_x0000_s1026" o:spt="62" type="#_x0000_t62" style="position:absolute;left:0pt;margin-left:257.1pt;margin-top:180.25pt;height:26.15pt;width:82.35pt;z-index:251675648;v-text-anchor:middle;mso-width-relative:page;mso-height-relative:page;" fillcolor="#92D050" filled="t" stroked="t" coordsize="21600,21600" o:gfxdata="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yLZQrZAAAACwEAAA8AAAAAAAAAAQAgAAAAIgAAAGRycy9kb3ducmV2Lnht&#10;bFBLAQIUABQAAAAIAIdO4kDnvijSagIAANsEAAAOAAAAAAAAAAEAIAAAACgBAABkcnMvZTJvRG9j&#10;LnhtbFBLBQYAAAAABgAGAFkBAAAEBgAAAAA=&#10;" adj="26807,-19205,14400">
                <v:fill on="t" focussize="0,0"/>
                <v:stroke weight="1pt" color="#243F60" joinstyle="miter"/>
                <v:imagedata o:title=""/>
                <o:lock v:ext="edit" aspectratio="f"/>
                <v:textbox>
                  <w:txbxContent>
                    <w:p>
                      <w:pPr>
                        <w:jc w:val="center"/>
                        <w:rPr>
                          <w:b/>
                          <w:color w:val="000000"/>
                          <w:sz w:val="24"/>
                          <w:szCs w:val="24"/>
                        </w:rPr>
                      </w:pPr>
                      <w:r>
                        <w:rPr>
                          <w:rFonts w:hint="eastAsia"/>
                          <w:b/>
                          <w:color w:val="000000"/>
                          <w:sz w:val="24"/>
                          <w:szCs w:val="24"/>
                        </w:rPr>
                        <w:t>本项目位置</w:t>
                      </w:r>
                    </w:p>
                  </w:txbxContent>
                </v:textbox>
              </v:shape>
            </w:pict>
          </mc:Fallback>
        </mc:AlternateContent>
      </w:r>
      <w:r>
        <w:rPr>
          <w:rFonts w:hint="eastAsia" w:ascii="Times New Roman" w:hAnsi="Times New Roman" w:eastAsia="宋体" w:cs="Times New Roman"/>
          <w:b/>
          <w:bCs/>
          <w:kern w:val="2"/>
          <w:sz w:val="28"/>
          <w:szCs w:val="28"/>
          <w:lang w:val="en-US" w:eastAsia="zh-CN" w:bidi="ar-SA"/>
        </w:rPr>
        <w:t>本项目在鲁山县产业集聚区产业布局图中的位</w:t>
      </w:r>
      <w:r>
        <w:rPr>
          <w:rFonts w:hint="eastAsia" w:eastAsia="宋体"/>
          <w:b/>
          <w:bCs/>
          <w:snapToGrid w:val="0"/>
          <w:color w:val="auto"/>
          <w:kern w:val="0"/>
          <w:sz w:val="28"/>
          <w:szCs w:val="28"/>
        </w:rPr>
        <w:t>置</w:t>
      </w:r>
    </w:p>
    <w:tbl>
      <w:tblPr>
        <w:tblStyle w:val="25"/>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29"/>
        <w:gridCol w:w="4717"/>
        <w:gridCol w:w="47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69" w:type="pct"/>
            <w:tcBorders>
              <w:tl2br w:val="nil"/>
              <w:tr2bl w:val="nil"/>
            </w:tcBorders>
            <w:vAlign w:val="center"/>
          </w:tcPr>
          <w:p>
            <w:pPr>
              <w:spacing w:line="240" w:lineRule="auto"/>
              <w:jc w:val="center"/>
              <w:rPr>
                <w:rFonts w:hint="eastAsia" w:eastAsia="宋体"/>
                <w:lang w:eastAsia="zh-CN"/>
              </w:rPr>
            </w:pPr>
            <w:r>
              <w:rPr>
                <w:rFonts w:hint="eastAsia" w:eastAsia="宋体"/>
                <w:lang w:eastAsia="zh-CN"/>
              </w:rPr>
              <w:drawing>
                <wp:inline distT="0" distB="0" distL="114300" distR="114300">
                  <wp:extent cx="2614295" cy="1960245"/>
                  <wp:effectExtent l="0" t="0" r="14605" b="1905"/>
                  <wp:docPr id="17" name="图片 17" descr="IMG_20230404_10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30404_103134"/>
                          <pic:cNvPicPr>
                            <a:picLocks noChangeAspect="1"/>
                          </pic:cNvPicPr>
                        </pic:nvPicPr>
                        <pic:blipFill>
                          <a:blip r:embed="rId38"/>
                          <a:stretch>
                            <a:fillRect/>
                          </a:stretch>
                        </pic:blipFill>
                        <pic:spPr>
                          <a:xfrm>
                            <a:off x="0" y="0"/>
                            <a:ext cx="2614295" cy="1960245"/>
                          </a:xfrm>
                          <a:prstGeom prst="rect">
                            <a:avLst/>
                          </a:prstGeom>
                        </pic:spPr>
                      </pic:pic>
                    </a:graphicData>
                  </a:graphic>
                </wp:inline>
              </w:drawing>
            </w:r>
          </w:p>
        </w:tc>
        <w:tc>
          <w:tcPr>
            <w:tcW w:w="1665" w:type="pct"/>
            <w:tcBorders>
              <w:tl2br w:val="nil"/>
              <w:tr2bl w:val="nil"/>
            </w:tcBorders>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eastAsia="宋体"/>
                <w:lang w:eastAsia="zh-CN"/>
              </w:rPr>
              <w:drawing>
                <wp:inline distT="0" distB="0" distL="114300" distR="114300">
                  <wp:extent cx="2644140" cy="1983105"/>
                  <wp:effectExtent l="0" t="0" r="3810" b="17145"/>
                  <wp:docPr id="15" name="图片 15" descr="IMG_20230328_17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30328_170320"/>
                          <pic:cNvPicPr>
                            <a:picLocks noChangeAspect="1"/>
                          </pic:cNvPicPr>
                        </pic:nvPicPr>
                        <pic:blipFill>
                          <a:blip r:embed="rId39"/>
                          <a:stretch>
                            <a:fillRect/>
                          </a:stretch>
                        </pic:blipFill>
                        <pic:spPr>
                          <a:xfrm>
                            <a:off x="0" y="0"/>
                            <a:ext cx="2644140" cy="1983105"/>
                          </a:xfrm>
                          <a:prstGeom prst="rect">
                            <a:avLst/>
                          </a:prstGeom>
                        </pic:spPr>
                      </pic:pic>
                    </a:graphicData>
                  </a:graphic>
                </wp:inline>
              </w:drawing>
            </w:r>
          </w:p>
        </w:tc>
        <w:tc>
          <w:tcPr>
            <w:tcW w:w="1665" w:type="pct"/>
            <w:tcBorders>
              <w:tl2br w:val="nil"/>
              <w:tr2bl w:val="nil"/>
            </w:tcBorders>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eastAsia="宋体"/>
                <w:lang w:eastAsia="zh-CN"/>
              </w:rPr>
              <w:drawing>
                <wp:inline distT="0" distB="0" distL="114300" distR="114300">
                  <wp:extent cx="2653030" cy="1990090"/>
                  <wp:effectExtent l="0" t="0" r="13970" b="10160"/>
                  <wp:docPr id="13" name="图片 13" descr="IMG_20230328_17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0328_170055"/>
                          <pic:cNvPicPr>
                            <a:picLocks noChangeAspect="1"/>
                          </pic:cNvPicPr>
                        </pic:nvPicPr>
                        <pic:blipFill>
                          <a:blip r:embed="rId40"/>
                          <a:stretch>
                            <a:fillRect/>
                          </a:stretch>
                        </pic:blipFill>
                        <pic:spPr>
                          <a:xfrm>
                            <a:off x="0" y="0"/>
                            <a:ext cx="2653030" cy="19900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669" w:type="pct"/>
            <w:tcBorders>
              <w:tl2br w:val="nil"/>
              <w:tr2bl w:val="nil"/>
            </w:tcBorders>
            <w:vAlign w:val="center"/>
          </w:tcPr>
          <w:p>
            <w:pPr>
              <w:spacing w:line="240" w:lineRule="auto"/>
              <w:jc w:val="center"/>
              <w:rPr>
                <w:rFonts w:hint="default" w:eastAsia="宋体"/>
                <w:lang w:val="en-US" w:eastAsia="zh-CN"/>
              </w:rPr>
            </w:pPr>
            <w:r>
              <w:rPr>
                <w:rFonts w:hint="eastAsia" w:ascii="Times New Roman" w:hAnsi="Times New Roman" w:eastAsia="宋体" w:cs="Times New Roman"/>
                <w:b/>
                <w:bCs/>
                <w:sz w:val="24"/>
                <w:lang w:val="en-US" w:eastAsia="zh-CN"/>
              </w:rPr>
              <w:t>河南方圆炭素集团大门</w:t>
            </w:r>
          </w:p>
        </w:tc>
        <w:tc>
          <w:tcPr>
            <w:tcW w:w="1665" w:type="pct"/>
            <w:tcBorders>
              <w:tl2br w:val="nil"/>
              <w:tr2bl w:val="nil"/>
            </w:tcBorders>
            <w:vAlign w:val="center"/>
          </w:tcPr>
          <w:p>
            <w:pPr>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b/>
                <w:bCs/>
                <w:sz w:val="24"/>
                <w:lang w:val="en-US" w:eastAsia="zh-CN"/>
              </w:rPr>
              <w:t>本项目租赁厂房</w:t>
            </w:r>
          </w:p>
        </w:tc>
        <w:tc>
          <w:tcPr>
            <w:tcW w:w="1665" w:type="pct"/>
            <w:tcBorders>
              <w:tl2br w:val="nil"/>
              <w:tr2bl w:val="nil"/>
            </w:tcBorders>
            <w:vAlign w:val="center"/>
          </w:tcPr>
          <w:p>
            <w:pPr>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b/>
                <w:bCs/>
                <w:sz w:val="24"/>
                <w:lang w:val="en-US" w:eastAsia="zh-CN"/>
              </w:rPr>
              <w:t>租赁厂房内部实景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5" w:hRule="atLeast"/>
          <w:jc w:val="center"/>
        </w:trPr>
        <w:tc>
          <w:tcPr>
            <w:tcW w:w="1669" w:type="pct"/>
            <w:tcBorders>
              <w:tl2br w:val="nil"/>
              <w:tr2bl w:val="nil"/>
            </w:tcBorders>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b/>
                <w:bCs/>
                <w:sz w:val="24"/>
                <w:szCs w:val="28"/>
              </w:rPr>
              <w:drawing>
                <wp:inline distT="0" distB="0" distL="114300" distR="114300">
                  <wp:extent cx="2578735" cy="2087880"/>
                  <wp:effectExtent l="0" t="0" r="12065" b="7620"/>
                  <wp:docPr id="18" name="图片 4" descr="9c6657319ede8048e59fd7676cc3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9c6657319ede8048e59fd7676cc3bda"/>
                          <pic:cNvPicPr>
                            <a:picLocks noChangeAspect="1"/>
                          </pic:cNvPicPr>
                        </pic:nvPicPr>
                        <pic:blipFill>
                          <a:blip r:embed="rId41"/>
                          <a:stretch>
                            <a:fillRect/>
                          </a:stretch>
                        </pic:blipFill>
                        <pic:spPr>
                          <a:xfrm>
                            <a:off x="0" y="0"/>
                            <a:ext cx="2578735" cy="2087880"/>
                          </a:xfrm>
                          <a:prstGeom prst="rect">
                            <a:avLst/>
                          </a:prstGeom>
                          <a:noFill/>
                          <a:ln>
                            <a:noFill/>
                          </a:ln>
                        </pic:spPr>
                      </pic:pic>
                    </a:graphicData>
                  </a:graphic>
                </wp:inline>
              </w:drawing>
            </w:r>
          </w:p>
        </w:tc>
        <w:tc>
          <w:tcPr>
            <w:tcW w:w="1665" w:type="pct"/>
            <w:tcBorders>
              <w:tl2br w:val="nil"/>
              <w:tr2bl w:val="nil"/>
            </w:tcBorders>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2809240" cy="2106930"/>
                  <wp:effectExtent l="0" t="0" r="10160" b="7620"/>
                  <wp:docPr id="19" name="图片 19" descr="IMG_20230328_17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30328_173221"/>
                          <pic:cNvPicPr>
                            <a:picLocks noChangeAspect="1"/>
                          </pic:cNvPicPr>
                        </pic:nvPicPr>
                        <pic:blipFill>
                          <a:blip r:embed="rId42"/>
                          <a:stretch>
                            <a:fillRect/>
                          </a:stretch>
                        </pic:blipFill>
                        <pic:spPr>
                          <a:xfrm>
                            <a:off x="0" y="0"/>
                            <a:ext cx="2809240" cy="2106930"/>
                          </a:xfrm>
                          <a:prstGeom prst="rect">
                            <a:avLst/>
                          </a:prstGeom>
                        </pic:spPr>
                      </pic:pic>
                    </a:graphicData>
                  </a:graphic>
                </wp:inline>
              </w:drawing>
            </w:r>
          </w:p>
        </w:tc>
        <w:tc>
          <w:tcPr>
            <w:tcW w:w="1665" w:type="pct"/>
            <w:tcBorders>
              <w:tl2br w:val="nil"/>
              <w:tr2bl w:val="nil"/>
            </w:tcBorders>
            <w:vAlign w:val="center"/>
          </w:tcPr>
          <w:p>
            <w:pPr>
              <w:spacing w:line="240" w:lineRule="auto"/>
              <w:jc w:val="center"/>
              <w:rPr>
                <w:rFonts w:hint="eastAsia" w:eastAsia="宋体"/>
                <w:lang w:eastAsia="zh-CN"/>
              </w:rPr>
            </w:pPr>
            <w:r>
              <w:rPr>
                <w:rFonts w:hint="eastAsia" w:eastAsia="宋体"/>
                <w:lang w:eastAsia="zh-CN"/>
              </w:rPr>
              <w:drawing>
                <wp:inline distT="0" distB="0" distL="114300" distR="114300">
                  <wp:extent cx="2809240" cy="2106930"/>
                  <wp:effectExtent l="0" t="0" r="10160" b="7620"/>
                  <wp:docPr id="61" name="图片 61" descr="53f2e3b88222004fe8308c7d7c52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3f2e3b88222004fe8308c7d7c52bfe"/>
                          <pic:cNvPicPr>
                            <a:picLocks noChangeAspect="1"/>
                          </pic:cNvPicPr>
                        </pic:nvPicPr>
                        <pic:blipFill>
                          <a:blip r:embed="rId43"/>
                          <a:stretch>
                            <a:fillRect/>
                          </a:stretch>
                        </pic:blipFill>
                        <pic:spPr>
                          <a:xfrm>
                            <a:off x="0" y="0"/>
                            <a:ext cx="2809240" cy="2106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69" w:type="pct"/>
            <w:tcBorders>
              <w:tl2br w:val="nil"/>
              <w:tr2bl w:val="nil"/>
            </w:tcBorders>
            <w:vAlign w:val="center"/>
          </w:tcPr>
          <w:p>
            <w:pPr>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b/>
                <w:bCs/>
                <w:sz w:val="24"/>
                <w:lang w:val="en-US" w:eastAsia="zh-CN"/>
              </w:rPr>
              <w:t>项目西侧中心路</w:t>
            </w:r>
          </w:p>
        </w:tc>
        <w:tc>
          <w:tcPr>
            <w:tcW w:w="1665" w:type="pct"/>
            <w:tcBorders>
              <w:tl2br w:val="nil"/>
              <w:tr2bl w:val="nil"/>
            </w:tcBorders>
            <w:vAlign w:val="center"/>
          </w:tcPr>
          <w:p>
            <w:pPr>
              <w:spacing w:line="240" w:lineRule="auto"/>
              <w:jc w:val="center"/>
              <w:rPr>
                <w:rFonts w:hint="default" w:ascii="Times New Roman" w:hAnsi="Times New Roman" w:eastAsia="宋体" w:cs="Times New Roman"/>
                <w:kern w:val="2"/>
                <w:sz w:val="21"/>
                <w:szCs w:val="24"/>
                <w:lang w:val="en-US" w:eastAsia="zh-CN" w:bidi="ar-SA"/>
              </w:rPr>
            </w:pPr>
            <w:r>
              <w:rPr>
                <w:rFonts w:hint="eastAsia" w:cs="Times New Roman"/>
                <w:b/>
                <w:bCs/>
                <w:sz w:val="24"/>
                <w:lang w:val="en-US" w:eastAsia="zh-CN"/>
              </w:rPr>
              <w:t>项目南侧</w:t>
            </w:r>
            <w:r>
              <w:rPr>
                <w:rFonts w:hint="eastAsia" w:ascii="Times New Roman" w:hAnsi="Times New Roman" w:eastAsia="宋体" w:cs="Times New Roman"/>
                <w:b/>
                <w:bCs/>
                <w:sz w:val="24"/>
                <w:lang w:val="en-US" w:eastAsia="zh-CN"/>
              </w:rPr>
              <w:t>兴</w:t>
            </w:r>
            <w:r>
              <w:rPr>
                <w:rFonts w:hint="eastAsia" w:cs="Times New Roman"/>
                <w:b/>
                <w:bCs/>
                <w:sz w:val="24"/>
                <w:lang w:val="en-US" w:eastAsia="zh-CN"/>
              </w:rPr>
              <w:t>工</w:t>
            </w:r>
            <w:r>
              <w:rPr>
                <w:rFonts w:hint="eastAsia" w:ascii="Times New Roman" w:hAnsi="Times New Roman" w:eastAsia="宋体" w:cs="Times New Roman"/>
                <w:b/>
                <w:bCs/>
                <w:sz w:val="24"/>
                <w:lang w:val="en-US" w:eastAsia="zh-CN"/>
              </w:rPr>
              <w:t>路</w:t>
            </w:r>
          </w:p>
        </w:tc>
        <w:tc>
          <w:tcPr>
            <w:tcW w:w="1665" w:type="pct"/>
            <w:tcBorders>
              <w:tl2br w:val="nil"/>
              <w:tr2bl w:val="nil"/>
            </w:tcBorders>
            <w:vAlign w:val="center"/>
          </w:tcPr>
          <w:p>
            <w:pPr>
              <w:spacing w:line="240" w:lineRule="auto"/>
              <w:jc w:val="center"/>
              <w:rPr>
                <w:rFonts w:hint="default" w:cs="Times New Roman"/>
                <w:b/>
                <w:bCs/>
                <w:sz w:val="24"/>
                <w:lang w:val="en-US" w:eastAsia="zh-CN"/>
              </w:rPr>
            </w:pPr>
            <w:r>
              <w:rPr>
                <w:rFonts w:hint="eastAsia" w:cs="Times New Roman"/>
                <w:b/>
                <w:bCs/>
                <w:sz w:val="24"/>
                <w:lang w:val="en-US" w:eastAsia="zh-CN"/>
              </w:rPr>
              <w:t>现场勘察图</w:t>
            </w:r>
          </w:p>
        </w:tc>
      </w:tr>
    </w:tbl>
    <w:p>
      <w:pPr>
        <w:jc w:val="center"/>
        <w:outlineLvl w:val="0"/>
        <w:rPr>
          <w:rFonts w:hint="eastAsia"/>
          <w:b/>
          <w:bCs/>
          <w:sz w:val="28"/>
          <w:szCs w:val="28"/>
        </w:rPr>
        <w:sectPr>
          <w:pgSz w:w="16838" w:h="11906" w:orient="landscape"/>
          <w:pgMar w:top="1083" w:right="1440" w:bottom="1083" w:left="1440" w:header="851" w:footer="850" w:gutter="0"/>
          <w:pgBorders>
            <w:top w:val="none" w:sz="0" w:space="0"/>
            <w:left w:val="none" w:sz="0" w:space="0"/>
            <w:bottom w:val="none" w:sz="0" w:space="0"/>
            <w:right w:val="none" w:sz="0" w:space="0"/>
          </w:pgBorders>
          <w:cols w:space="0" w:num="1"/>
          <w:rtlGutter w:val="0"/>
          <w:docGrid w:linePitch="312" w:charSpace="0"/>
        </w:sectPr>
      </w:pPr>
      <w:r>
        <w:rPr>
          <w:rFonts w:hint="eastAsia"/>
          <w:b/>
          <w:bCs/>
          <w:sz w:val="28"/>
          <w:szCs w:val="28"/>
        </w:rPr>
        <w:t>附图</w:t>
      </w:r>
      <w:r>
        <w:rPr>
          <w:rFonts w:hint="eastAsia"/>
          <w:b/>
          <w:bCs/>
          <w:sz w:val="28"/>
          <w:szCs w:val="28"/>
          <w:lang w:val="en-US" w:eastAsia="zh-CN"/>
        </w:rPr>
        <w:t>五</w:t>
      </w:r>
      <w:r>
        <w:rPr>
          <w:rFonts w:hint="eastAsia"/>
          <w:b/>
          <w:bCs/>
          <w:sz w:val="28"/>
          <w:szCs w:val="28"/>
        </w:rPr>
        <w:t xml:space="preserve"> 项目现状实景图</w:t>
      </w:r>
    </w:p>
    <w:p>
      <w:pPr>
        <w:spacing w:line="240" w:lineRule="auto"/>
        <w:jc w:val="left"/>
        <w:outlineLvl w:val="0"/>
        <w:rPr>
          <w:rFonts w:hint="eastAsia"/>
          <w:b/>
          <w:bCs/>
          <w:sz w:val="28"/>
          <w:szCs w:val="28"/>
          <w:lang w:val="en-US" w:eastAsia="zh-CN"/>
        </w:rPr>
      </w:pPr>
      <w:r>
        <w:rPr>
          <w:rFonts w:hint="eastAsia"/>
          <w:b/>
          <w:bCs/>
          <w:sz w:val="28"/>
          <w:szCs w:val="28"/>
          <w:lang w:val="en-US" w:eastAsia="zh-CN"/>
        </w:rPr>
        <w:t>附件一 委托书</w:t>
      </w:r>
    </w:p>
    <w:p>
      <w:pPr>
        <w:bidi w:val="0"/>
        <w:jc w:val="center"/>
        <w:rPr>
          <w:rFonts w:hint="eastAsia"/>
          <w:lang w:val="en-US" w:eastAsia="zh-CN"/>
        </w:rPr>
      </w:pPr>
      <w:r>
        <w:rPr>
          <w:rFonts w:hint="eastAsia"/>
          <w:lang w:val="en-US" w:eastAsia="zh-CN"/>
        </w:rPr>
        <w:drawing>
          <wp:inline distT="0" distB="0" distL="114300" distR="114300">
            <wp:extent cx="6038850" cy="8542655"/>
            <wp:effectExtent l="0" t="0" r="0" b="10795"/>
            <wp:docPr id="63" name="图片 63" descr="委托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委托书_00"/>
                    <pic:cNvPicPr>
                      <a:picLocks noChangeAspect="1"/>
                    </pic:cNvPicPr>
                  </pic:nvPicPr>
                  <pic:blipFill>
                    <a:blip r:embed="rId44"/>
                    <a:stretch>
                      <a:fillRect/>
                    </a:stretch>
                  </pic:blipFill>
                  <pic:spPr>
                    <a:xfrm>
                      <a:off x="0" y="0"/>
                      <a:ext cx="6038850" cy="8542655"/>
                    </a:xfrm>
                    <a:prstGeom prst="rect">
                      <a:avLst/>
                    </a:prstGeom>
                  </pic:spPr>
                </pic:pic>
              </a:graphicData>
            </a:graphic>
          </wp:inline>
        </w:drawing>
      </w:r>
    </w:p>
    <w:p>
      <w:pPr>
        <w:rPr>
          <w:rFonts w:hint="eastAsia"/>
          <w:lang w:val="en-US" w:eastAsia="zh-CN"/>
        </w:rPr>
        <w:sectPr>
          <w:pgSz w:w="11906" w:h="16838"/>
          <w:pgMar w:top="1440" w:right="1083" w:bottom="1440" w:left="1083" w:header="851" w:footer="850" w:gutter="0"/>
          <w:pgBorders>
            <w:top w:val="none" w:sz="0" w:space="0"/>
            <w:left w:val="none" w:sz="0" w:space="0"/>
            <w:bottom w:val="none" w:sz="0" w:space="0"/>
            <w:right w:val="none" w:sz="0" w:space="0"/>
          </w:pgBorders>
          <w:cols w:space="0" w:num="1"/>
          <w:rtlGutter w:val="0"/>
          <w:docGrid w:linePitch="312" w:charSpace="0"/>
        </w:sectPr>
      </w:pPr>
    </w:p>
    <w:p>
      <w:pPr>
        <w:spacing w:line="240" w:lineRule="auto"/>
        <w:jc w:val="both"/>
        <w:outlineLvl w:val="0"/>
        <w:rPr>
          <w:rFonts w:hint="eastAsia"/>
          <w:b/>
          <w:bCs/>
          <w:sz w:val="28"/>
          <w:szCs w:val="28"/>
          <w:lang w:val="en-US" w:eastAsia="zh-CN"/>
        </w:rPr>
      </w:pPr>
      <w:r>
        <w:rPr>
          <w:rFonts w:hint="eastAsia"/>
          <w:b/>
          <w:bCs/>
          <w:sz w:val="28"/>
          <w:szCs w:val="28"/>
          <w:lang w:val="en-US" w:eastAsia="zh-CN"/>
        </w:rPr>
        <w:t>附件二 备案证</w:t>
      </w:r>
    </w:p>
    <w:p>
      <w:pPr>
        <w:bidi w:val="0"/>
        <w:rPr>
          <w:rFonts w:hint="eastAsia"/>
          <w:lang w:val="en-US" w:eastAsia="zh-CN"/>
        </w:rPr>
      </w:pPr>
      <w:r>
        <w:rPr>
          <w:rFonts w:hint="eastAsia"/>
          <w:lang w:val="en-US" w:eastAsia="zh-CN"/>
        </w:rPr>
        <w:drawing>
          <wp:inline distT="0" distB="0" distL="114300" distR="114300">
            <wp:extent cx="6055995" cy="8614410"/>
            <wp:effectExtent l="0" t="0" r="1905" b="15240"/>
            <wp:docPr id="8" name="图片 8" descr="巨典备案证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巨典备案证明_00"/>
                    <pic:cNvPicPr>
                      <a:picLocks noChangeAspect="1"/>
                    </pic:cNvPicPr>
                  </pic:nvPicPr>
                  <pic:blipFill>
                    <a:blip r:embed="rId45"/>
                    <a:stretch>
                      <a:fillRect/>
                    </a:stretch>
                  </pic:blipFill>
                  <pic:spPr>
                    <a:xfrm>
                      <a:off x="0" y="0"/>
                      <a:ext cx="6055995" cy="8614410"/>
                    </a:xfrm>
                    <a:prstGeom prst="rect">
                      <a:avLst/>
                    </a:prstGeom>
                  </pic:spPr>
                </pic:pic>
              </a:graphicData>
            </a:graphic>
          </wp:inline>
        </w:drawing>
      </w:r>
    </w:p>
    <w:p>
      <w:pPr>
        <w:jc w:val="center"/>
        <w:rPr>
          <w:rFonts w:hint="eastAsia"/>
          <w:lang w:val="en-US" w:eastAsia="zh-CN"/>
        </w:rPr>
        <w:sectPr>
          <w:pgSz w:w="11906" w:h="16838"/>
          <w:pgMar w:top="1440" w:right="1083" w:bottom="1440" w:left="1083" w:header="851" w:footer="850" w:gutter="0"/>
          <w:pgBorders>
            <w:top w:val="none" w:sz="0" w:space="0"/>
            <w:left w:val="none" w:sz="0" w:space="0"/>
            <w:bottom w:val="none" w:sz="0" w:space="0"/>
            <w:right w:val="none" w:sz="0" w:space="0"/>
          </w:pgBorders>
          <w:cols w:space="0" w:num="1"/>
          <w:rtlGutter w:val="0"/>
          <w:docGrid w:linePitch="312" w:charSpace="0"/>
        </w:sectPr>
      </w:pPr>
    </w:p>
    <w:p>
      <w:pPr>
        <w:spacing w:line="240" w:lineRule="auto"/>
        <w:jc w:val="left"/>
        <w:outlineLvl w:val="0"/>
        <w:rPr>
          <w:rFonts w:hint="eastAsia"/>
          <w:b/>
          <w:bCs/>
          <w:sz w:val="28"/>
          <w:szCs w:val="28"/>
          <w:lang w:val="en-US" w:eastAsia="zh-CN"/>
        </w:rPr>
      </w:pPr>
      <w:r>
        <w:rPr>
          <w:rFonts w:hint="eastAsia"/>
          <w:b/>
          <w:bCs/>
          <w:sz w:val="28"/>
          <w:szCs w:val="28"/>
          <w:lang w:val="en-US" w:eastAsia="zh-CN"/>
        </w:rPr>
        <w:t>附件三 集聚区入驻证明</w:t>
      </w:r>
    </w:p>
    <w:p>
      <w:pPr>
        <w:pStyle w:val="10"/>
        <w:ind w:left="0" w:leftChars="0" w:firstLine="0" w:firstLineChars="0"/>
        <w:jc w:val="center"/>
        <w:rPr>
          <w:rFonts w:hint="default"/>
          <w:lang w:val="en-US" w:eastAsia="zh-CN"/>
        </w:rPr>
      </w:pPr>
      <w:r>
        <w:rPr>
          <w:rFonts w:hint="default"/>
          <w:lang w:val="en-US" w:eastAsia="zh-CN"/>
        </w:rPr>
        <w:drawing>
          <wp:inline distT="0" distB="0" distL="114300" distR="114300">
            <wp:extent cx="6181090" cy="8392160"/>
            <wp:effectExtent l="0" t="0" r="10160" b="8890"/>
            <wp:docPr id="14" name="图片 14" descr="巨典证明(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巨典证明(1)_00"/>
                    <pic:cNvPicPr>
                      <a:picLocks noChangeAspect="1"/>
                    </pic:cNvPicPr>
                  </pic:nvPicPr>
                  <pic:blipFill>
                    <a:blip r:embed="rId46"/>
                    <a:stretch>
                      <a:fillRect/>
                    </a:stretch>
                  </pic:blipFill>
                  <pic:spPr>
                    <a:xfrm>
                      <a:off x="0" y="0"/>
                      <a:ext cx="6181090" cy="8392160"/>
                    </a:xfrm>
                    <a:prstGeom prst="rect">
                      <a:avLst/>
                    </a:prstGeom>
                  </pic:spPr>
                </pic:pic>
              </a:graphicData>
            </a:graphic>
          </wp:inline>
        </w:drawing>
      </w:r>
    </w:p>
    <w:p>
      <w:pPr>
        <w:spacing w:line="240" w:lineRule="auto"/>
        <w:jc w:val="center"/>
        <w:outlineLvl w:val="0"/>
        <w:rPr>
          <w:rFonts w:hint="eastAsia"/>
          <w:b/>
          <w:bCs/>
          <w:sz w:val="28"/>
          <w:szCs w:val="28"/>
          <w:lang w:val="en-US" w:eastAsia="zh-CN"/>
        </w:rPr>
        <w:sectPr>
          <w:pgSz w:w="11906" w:h="16838"/>
          <w:pgMar w:top="1440" w:right="1083" w:bottom="1440" w:left="1083" w:header="851" w:footer="850" w:gutter="0"/>
          <w:pgBorders>
            <w:top w:val="none" w:sz="0" w:space="0"/>
            <w:left w:val="none" w:sz="0" w:space="0"/>
            <w:bottom w:val="none" w:sz="0" w:space="0"/>
            <w:right w:val="none" w:sz="0" w:space="0"/>
          </w:pgBorders>
          <w:cols w:space="0" w:num="1"/>
          <w:rtlGutter w:val="0"/>
          <w:docGrid w:linePitch="312" w:charSpace="0"/>
        </w:sectPr>
      </w:pPr>
    </w:p>
    <w:p>
      <w:pPr>
        <w:spacing w:line="240" w:lineRule="auto"/>
        <w:jc w:val="left"/>
        <w:outlineLvl w:val="0"/>
        <w:rPr>
          <w:rFonts w:hint="eastAsia"/>
          <w:b/>
          <w:bCs/>
          <w:sz w:val="28"/>
          <w:szCs w:val="28"/>
          <w:lang w:val="en-US" w:eastAsia="zh-CN"/>
        </w:rPr>
      </w:pPr>
      <w:r>
        <w:rPr>
          <w:rFonts w:hint="eastAsia"/>
          <w:b/>
          <w:bCs/>
          <w:sz w:val="28"/>
          <w:szCs w:val="28"/>
          <w:lang w:val="en-US" w:eastAsia="zh-CN"/>
        </w:rPr>
        <w:t>附件四 租赁协议</w:t>
      </w:r>
    </w:p>
    <w:p>
      <w:pPr>
        <w:pStyle w:val="23"/>
        <w:ind w:left="0" w:leftChars="0" w:firstLine="0" w:firstLineChars="0"/>
        <w:rPr>
          <w:rFonts w:hint="default"/>
          <w:lang w:val="en-US" w:eastAsia="zh-CN"/>
        </w:rPr>
      </w:pPr>
      <w:r>
        <w:rPr>
          <w:rFonts w:hint="default"/>
          <w:lang w:val="en-US" w:eastAsia="zh-CN"/>
        </w:rPr>
        <w:drawing>
          <wp:inline distT="0" distB="0" distL="114300" distR="114300">
            <wp:extent cx="6181090" cy="8230870"/>
            <wp:effectExtent l="0" t="0" r="10160" b="17780"/>
            <wp:docPr id="16" name="图片 16" descr="巨典厂房租赁合同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巨典厂房租赁合同1_00"/>
                    <pic:cNvPicPr>
                      <a:picLocks noChangeAspect="1"/>
                    </pic:cNvPicPr>
                  </pic:nvPicPr>
                  <pic:blipFill>
                    <a:blip r:embed="rId47"/>
                    <a:stretch>
                      <a:fillRect/>
                    </a:stretch>
                  </pic:blipFill>
                  <pic:spPr>
                    <a:xfrm>
                      <a:off x="0" y="0"/>
                      <a:ext cx="6181090" cy="8230870"/>
                    </a:xfrm>
                    <a:prstGeom prst="rect">
                      <a:avLst/>
                    </a:prstGeom>
                  </pic:spPr>
                </pic:pic>
              </a:graphicData>
            </a:graphic>
          </wp:inline>
        </w:drawing>
      </w:r>
    </w:p>
    <w:p>
      <w:pPr>
        <w:spacing w:line="240" w:lineRule="auto"/>
        <w:jc w:val="left"/>
        <w:outlineLvl w:val="0"/>
        <w:rPr>
          <w:rFonts w:hint="eastAsia"/>
          <w:b/>
          <w:bCs/>
          <w:sz w:val="28"/>
          <w:szCs w:val="28"/>
          <w:lang w:val="en-US" w:eastAsia="zh-CN"/>
        </w:rPr>
        <w:sectPr>
          <w:pgSz w:w="11906" w:h="16838"/>
          <w:pgMar w:top="1440" w:right="1083" w:bottom="1440" w:left="1083" w:header="851" w:footer="850" w:gutter="0"/>
          <w:pgBorders>
            <w:top w:val="none" w:sz="0" w:space="0"/>
            <w:left w:val="none" w:sz="0" w:space="0"/>
            <w:bottom w:val="none" w:sz="0" w:space="0"/>
            <w:right w:val="none" w:sz="0" w:space="0"/>
          </w:pgBorders>
          <w:cols w:space="0" w:num="1"/>
          <w:rtlGutter w:val="0"/>
          <w:docGrid w:linePitch="312" w:charSpace="0"/>
        </w:sectPr>
      </w:pPr>
      <w:r>
        <w:rPr>
          <w:rFonts w:hint="eastAsia"/>
          <w:b/>
          <w:bCs/>
          <w:sz w:val="28"/>
          <w:szCs w:val="28"/>
          <w:lang w:val="en-US" w:eastAsia="zh-CN"/>
        </w:rPr>
        <w:drawing>
          <wp:inline distT="0" distB="0" distL="114300" distR="114300">
            <wp:extent cx="6181090" cy="8792210"/>
            <wp:effectExtent l="0" t="0" r="10160" b="8890"/>
            <wp:docPr id="29" name="图片 29" descr="巨典厂房租赁合同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巨典厂房租赁合同1_01"/>
                    <pic:cNvPicPr>
                      <a:picLocks noChangeAspect="1"/>
                    </pic:cNvPicPr>
                  </pic:nvPicPr>
                  <pic:blipFill>
                    <a:blip r:embed="rId48"/>
                    <a:stretch>
                      <a:fillRect/>
                    </a:stretch>
                  </pic:blipFill>
                  <pic:spPr>
                    <a:xfrm>
                      <a:off x="0" y="0"/>
                      <a:ext cx="6181090" cy="879221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outlineLvl w:val="0"/>
        <w:rPr>
          <w:rFonts w:hint="eastAsia"/>
          <w:b/>
          <w:bCs/>
          <w:color w:val="auto"/>
          <w:sz w:val="28"/>
          <w:szCs w:val="28"/>
          <w:lang w:val="en-US" w:eastAsia="zh-CN"/>
        </w:rPr>
      </w:pPr>
      <w:r>
        <w:rPr>
          <w:rFonts w:hint="eastAsia"/>
          <w:b/>
          <w:bCs/>
          <w:color w:val="auto"/>
          <w:sz w:val="28"/>
          <w:szCs w:val="28"/>
          <w:lang w:val="en-US" w:eastAsia="zh-CN"/>
        </w:rPr>
        <w:t>附件五 执行标准</w:t>
      </w:r>
    </w:p>
    <w:p>
      <w:pPr>
        <w:jc w:val="center"/>
        <w:rPr>
          <w:rFonts w:hint="default"/>
          <w:lang w:val="en-US" w:eastAsia="zh-CN"/>
        </w:rPr>
      </w:pPr>
      <w:r>
        <w:rPr>
          <w:rFonts w:hint="default"/>
          <w:lang w:val="en-US" w:eastAsia="zh-CN"/>
        </w:rPr>
        <w:drawing>
          <wp:inline distT="0" distB="0" distL="114300" distR="114300">
            <wp:extent cx="5643880" cy="8505825"/>
            <wp:effectExtent l="0" t="0" r="13970" b="9525"/>
            <wp:docPr id="39" name="图片 39" descr="f0406547de42745ed43cb11b12c2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0406547de42745ed43cb11b12c21e1"/>
                    <pic:cNvPicPr>
                      <a:picLocks noChangeAspect="1"/>
                    </pic:cNvPicPr>
                  </pic:nvPicPr>
                  <pic:blipFill>
                    <a:blip r:embed="rId49"/>
                    <a:srcRect r="779"/>
                    <a:stretch>
                      <a:fillRect/>
                    </a:stretch>
                  </pic:blipFill>
                  <pic:spPr>
                    <a:xfrm>
                      <a:off x="0" y="0"/>
                      <a:ext cx="5643880" cy="8505825"/>
                    </a:xfrm>
                    <a:prstGeom prst="rect">
                      <a:avLst/>
                    </a:prstGeom>
                  </pic:spPr>
                </pic:pic>
              </a:graphicData>
            </a:graphic>
          </wp:inline>
        </w:drawing>
      </w:r>
    </w:p>
    <w:p>
      <w:pPr>
        <w:pStyle w:val="10"/>
        <w:rPr>
          <w:rFonts w:hint="default"/>
          <w:lang w:val="en-US" w:eastAsia="zh-CN"/>
        </w:rPr>
        <w:sectPr>
          <w:pgSz w:w="11906" w:h="16838"/>
          <w:pgMar w:top="1440" w:right="1083" w:bottom="1440" w:left="1083" w:header="851" w:footer="850" w:gutter="0"/>
          <w:pgBorders>
            <w:top w:val="none" w:sz="0" w:space="0"/>
            <w:left w:val="none" w:sz="0" w:space="0"/>
            <w:bottom w:val="none" w:sz="0" w:space="0"/>
            <w:right w:val="none" w:sz="0" w:space="0"/>
          </w:pgBorders>
          <w:cols w:space="0" w:num="1"/>
          <w:rtlGutter w:val="0"/>
          <w:docGrid w:linePitch="312" w:charSpace="0"/>
        </w:sectPr>
      </w:pPr>
    </w:p>
    <w:p>
      <w:pPr>
        <w:keepNext w:val="0"/>
        <w:keepLines w:val="0"/>
        <w:pageBreakBefore w:val="0"/>
        <w:widowControl w:val="0"/>
        <w:kinsoku/>
        <w:wordWrap w:val="0"/>
        <w:overflowPunct w:val="0"/>
        <w:topLinePunct w:val="0"/>
        <w:autoSpaceDE/>
        <w:autoSpaceDN/>
        <w:bidi w:val="0"/>
        <w:adjustRightInd/>
        <w:snapToGrid/>
        <w:spacing w:line="240" w:lineRule="auto"/>
        <w:jc w:val="left"/>
        <w:textAlignment w:val="auto"/>
        <w:outlineLvl w:val="0"/>
        <w:rPr>
          <w:rFonts w:hint="eastAsia"/>
          <w:b/>
          <w:bCs/>
          <w:sz w:val="28"/>
          <w:szCs w:val="28"/>
          <w:lang w:val="en-US" w:eastAsia="zh-CN"/>
        </w:rPr>
      </w:pPr>
      <w:r>
        <w:rPr>
          <w:rFonts w:hint="eastAsia"/>
          <w:b/>
          <w:bCs/>
          <w:sz w:val="28"/>
          <w:szCs w:val="28"/>
          <w:lang w:val="en-US" w:eastAsia="zh-CN"/>
        </w:rPr>
        <w:t>附件六 检测报告</w:t>
      </w:r>
    </w:p>
    <w:p>
      <w:pPr>
        <w:pStyle w:val="10"/>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lang w:val="en-US" w:eastAsia="zh-CN"/>
        </w:rPr>
      </w:pPr>
      <w:r>
        <w:rPr>
          <w:rFonts w:hint="default"/>
          <w:lang w:val="en-US" w:eastAsia="zh-CN"/>
        </w:rPr>
        <w:drawing>
          <wp:inline distT="0" distB="0" distL="114300" distR="114300">
            <wp:extent cx="6182360" cy="8126730"/>
            <wp:effectExtent l="0" t="0" r="8890" b="7620"/>
            <wp:docPr id="49" name="图片 49" descr="扫描件_MA(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扫描件_MA(2)_00"/>
                    <pic:cNvPicPr>
                      <a:picLocks noChangeAspect="1"/>
                    </pic:cNvPicPr>
                  </pic:nvPicPr>
                  <pic:blipFill>
                    <a:blip r:embed="rId50"/>
                    <a:stretch>
                      <a:fillRect/>
                    </a:stretch>
                  </pic:blipFill>
                  <pic:spPr>
                    <a:xfrm>
                      <a:off x="0" y="0"/>
                      <a:ext cx="6182360" cy="8126730"/>
                    </a:xfrm>
                    <a:prstGeom prst="rect">
                      <a:avLst/>
                    </a:prstGeom>
                  </pic:spPr>
                </pic:pic>
              </a:graphicData>
            </a:graphic>
          </wp:inline>
        </w:drawing>
      </w:r>
      <w:r>
        <w:rPr>
          <w:rFonts w:hint="default"/>
          <w:lang w:val="en-US" w:eastAsia="zh-CN"/>
        </w:rPr>
        <w:drawing>
          <wp:inline distT="0" distB="0" distL="114300" distR="114300">
            <wp:extent cx="6182360" cy="8736330"/>
            <wp:effectExtent l="0" t="0" r="8890" b="7620"/>
            <wp:docPr id="48" name="图片 48" descr="扫描件_MA(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扫描件_MA(2)_01"/>
                    <pic:cNvPicPr>
                      <a:picLocks noChangeAspect="1"/>
                    </pic:cNvPicPr>
                  </pic:nvPicPr>
                  <pic:blipFill>
                    <a:blip r:embed="rId51"/>
                    <a:stretch>
                      <a:fillRect/>
                    </a:stretch>
                  </pic:blipFill>
                  <pic:spPr>
                    <a:xfrm>
                      <a:off x="0" y="0"/>
                      <a:ext cx="6182360" cy="8736330"/>
                    </a:xfrm>
                    <a:prstGeom prst="rect">
                      <a:avLst/>
                    </a:prstGeom>
                  </pic:spPr>
                </pic:pic>
              </a:graphicData>
            </a:graphic>
          </wp:inline>
        </w:drawing>
      </w:r>
      <w:r>
        <w:rPr>
          <w:rFonts w:hint="default"/>
          <w:lang w:val="en-US" w:eastAsia="zh-CN"/>
        </w:rPr>
        <w:drawing>
          <wp:inline distT="0" distB="0" distL="114300" distR="114300">
            <wp:extent cx="6182360" cy="8736330"/>
            <wp:effectExtent l="0" t="0" r="8890" b="7620"/>
            <wp:docPr id="33" name="图片 33" descr="扫描件_MA(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扫描件_MA(2)_02"/>
                    <pic:cNvPicPr>
                      <a:picLocks noChangeAspect="1"/>
                    </pic:cNvPicPr>
                  </pic:nvPicPr>
                  <pic:blipFill>
                    <a:blip r:embed="rId52"/>
                    <a:stretch>
                      <a:fillRect/>
                    </a:stretch>
                  </pic:blipFill>
                  <pic:spPr>
                    <a:xfrm>
                      <a:off x="0" y="0"/>
                      <a:ext cx="6182360" cy="8736330"/>
                    </a:xfrm>
                    <a:prstGeom prst="rect">
                      <a:avLst/>
                    </a:prstGeom>
                  </pic:spPr>
                </pic:pic>
              </a:graphicData>
            </a:graphic>
          </wp:inline>
        </w:drawing>
      </w:r>
      <w:r>
        <w:rPr>
          <w:rFonts w:hint="default"/>
          <w:lang w:val="en-US" w:eastAsia="zh-CN"/>
        </w:rPr>
        <w:drawing>
          <wp:inline distT="0" distB="0" distL="114300" distR="114300">
            <wp:extent cx="6182360" cy="8736330"/>
            <wp:effectExtent l="0" t="0" r="8890" b="7620"/>
            <wp:docPr id="26" name="图片 26" descr="扫描件_MA(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扫描件_MA(2)_03"/>
                    <pic:cNvPicPr>
                      <a:picLocks noChangeAspect="1"/>
                    </pic:cNvPicPr>
                  </pic:nvPicPr>
                  <pic:blipFill>
                    <a:blip r:embed="rId53"/>
                    <a:stretch>
                      <a:fillRect/>
                    </a:stretch>
                  </pic:blipFill>
                  <pic:spPr>
                    <a:xfrm>
                      <a:off x="0" y="0"/>
                      <a:ext cx="6182360" cy="8736330"/>
                    </a:xfrm>
                    <a:prstGeom prst="rect">
                      <a:avLst/>
                    </a:prstGeom>
                  </pic:spPr>
                </pic:pic>
              </a:graphicData>
            </a:graphic>
          </wp:inline>
        </w:drawing>
      </w:r>
      <w:r>
        <w:rPr>
          <w:rFonts w:hint="default"/>
          <w:lang w:val="en-US" w:eastAsia="zh-CN"/>
        </w:rPr>
        <w:drawing>
          <wp:inline distT="0" distB="0" distL="114300" distR="114300">
            <wp:extent cx="6182360" cy="8736330"/>
            <wp:effectExtent l="0" t="0" r="8890" b="7620"/>
            <wp:docPr id="24" name="图片 24" descr="扫描件_MA(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扫描件_MA(2)_04"/>
                    <pic:cNvPicPr>
                      <a:picLocks noChangeAspect="1"/>
                    </pic:cNvPicPr>
                  </pic:nvPicPr>
                  <pic:blipFill>
                    <a:blip r:embed="rId54"/>
                    <a:stretch>
                      <a:fillRect/>
                    </a:stretch>
                  </pic:blipFill>
                  <pic:spPr>
                    <a:xfrm>
                      <a:off x="0" y="0"/>
                      <a:ext cx="6182360" cy="8736330"/>
                    </a:xfrm>
                    <a:prstGeom prst="rect">
                      <a:avLst/>
                    </a:prstGeom>
                  </pic:spPr>
                </pic:pic>
              </a:graphicData>
            </a:graphic>
          </wp:inline>
        </w:drawing>
      </w:r>
    </w:p>
    <w:sectPr>
      <w:pgSz w:w="11906" w:h="16838"/>
      <w:pgMar w:top="1440" w:right="1083" w:bottom="1440" w:left="1083" w:header="851" w:footer="850" w:gutter="0"/>
      <w:pgBorders>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7"/>
      </w:rPr>
    </w:pPr>
    <w:r>
      <w:fldChar w:fldCharType="begin"/>
    </w:r>
    <w:r>
      <w:rPr>
        <w:rStyle w:val="27"/>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Xpq1coBAACb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1+S4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Xpq1coBAACbAwAADgAAAAAAAAABACAAAAAeAQAAZHJzL2Uyb0Rv&#10;Yy54bWxQSwUGAAAAAAYABgBZAQAAWg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D2A876"/>
    <w:multiLevelType w:val="singleLevel"/>
    <w:tmpl w:val="9BD2A876"/>
    <w:lvl w:ilvl="0" w:tentative="0">
      <w:start w:val="4"/>
      <w:numFmt w:val="decimal"/>
      <w:suff w:val="nothing"/>
      <w:lvlText w:val="（%1）"/>
      <w:lvlJc w:val="left"/>
    </w:lvl>
  </w:abstractNum>
  <w:abstractNum w:abstractNumId="1">
    <w:nsid w:val="BE201DD2"/>
    <w:multiLevelType w:val="singleLevel"/>
    <w:tmpl w:val="BE201DD2"/>
    <w:lvl w:ilvl="0" w:tentative="0">
      <w:start w:val="1"/>
      <w:numFmt w:val="decimal"/>
      <w:suff w:val="nothing"/>
      <w:lvlText w:val="%1、"/>
      <w:lvlJc w:val="left"/>
    </w:lvl>
  </w:abstractNum>
  <w:abstractNum w:abstractNumId="2">
    <w:nsid w:val="BEC51761"/>
    <w:multiLevelType w:val="singleLevel"/>
    <w:tmpl w:val="BEC51761"/>
    <w:lvl w:ilvl="0" w:tentative="0">
      <w:start w:val="1"/>
      <w:numFmt w:val="bullet"/>
      <w:lvlText w:val=""/>
      <w:lvlJc w:val="left"/>
      <w:pPr>
        <w:ind w:left="420" w:hanging="420"/>
      </w:pPr>
      <w:rPr>
        <w:rFonts w:hint="default" w:ascii="Wingdings" w:hAnsi="Wingdings"/>
      </w:rPr>
    </w:lvl>
  </w:abstractNum>
  <w:abstractNum w:abstractNumId="3">
    <w:nsid w:val="F2FA59D8"/>
    <w:multiLevelType w:val="singleLevel"/>
    <w:tmpl w:val="F2FA59D8"/>
    <w:lvl w:ilvl="0" w:tentative="0">
      <w:start w:val="1"/>
      <w:numFmt w:val="bullet"/>
      <w:lvlText w:val=""/>
      <w:lvlJc w:val="left"/>
      <w:pPr>
        <w:ind w:left="420" w:hanging="420"/>
      </w:pPr>
      <w:rPr>
        <w:rFonts w:hint="default" w:ascii="Wingdings" w:hAnsi="Wingdings"/>
      </w:rPr>
    </w:lvl>
  </w:abstractNum>
  <w:abstractNum w:abstractNumId="4">
    <w:nsid w:val="F513A8E6"/>
    <w:multiLevelType w:val="singleLevel"/>
    <w:tmpl w:val="F513A8E6"/>
    <w:lvl w:ilvl="0" w:tentative="0">
      <w:start w:val="1"/>
      <w:numFmt w:val="bullet"/>
      <w:lvlText w:val=""/>
      <w:lvlJc w:val="left"/>
      <w:pPr>
        <w:ind w:left="420" w:hanging="420"/>
      </w:pPr>
      <w:rPr>
        <w:rFonts w:hint="default" w:ascii="Wingdings" w:hAnsi="Wingdings"/>
      </w:rPr>
    </w:lvl>
  </w:abstractNum>
  <w:abstractNum w:abstractNumId="5">
    <w:nsid w:val="FCE68F94"/>
    <w:multiLevelType w:val="singleLevel"/>
    <w:tmpl w:val="FCE68F94"/>
    <w:lvl w:ilvl="0" w:tentative="0">
      <w:start w:val="1"/>
      <w:numFmt w:val="upperLetter"/>
      <w:suff w:val="nothing"/>
      <w:lvlText w:val="%1、"/>
      <w:lvlJc w:val="left"/>
    </w:lvl>
  </w:abstractNum>
  <w:abstractNum w:abstractNumId="6">
    <w:nsid w:val="26290551"/>
    <w:multiLevelType w:val="singleLevel"/>
    <w:tmpl w:val="26290551"/>
    <w:lvl w:ilvl="0" w:tentative="0">
      <w:start w:val="1"/>
      <w:numFmt w:val="bullet"/>
      <w:lvlText w:val=""/>
      <w:lvlJc w:val="left"/>
      <w:pPr>
        <w:ind w:left="420" w:hanging="420"/>
      </w:pPr>
      <w:rPr>
        <w:rFonts w:hint="default" w:ascii="Wingdings" w:hAnsi="Wingdings"/>
      </w:rPr>
    </w:lvl>
  </w:abstractNum>
  <w:abstractNum w:abstractNumId="7">
    <w:nsid w:val="28B6E63B"/>
    <w:multiLevelType w:val="singleLevel"/>
    <w:tmpl w:val="28B6E63B"/>
    <w:lvl w:ilvl="0" w:tentative="0">
      <w:start w:val="1"/>
      <w:numFmt w:val="bullet"/>
      <w:lvlText w:val=""/>
      <w:lvlJc w:val="left"/>
      <w:pPr>
        <w:ind w:left="420" w:hanging="420"/>
      </w:pPr>
      <w:rPr>
        <w:rFonts w:hint="default" w:ascii="Wingdings" w:hAnsi="Wingdings"/>
      </w:rPr>
    </w:lvl>
  </w:abstractNum>
  <w:abstractNum w:abstractNumId="8">
    <w:nsid w:val="36964876"/>
    <w:multiLevelType w:val="singleLevel"/>
    <w:tmpl w:val="36964876"/>
    <w:lvl w:ilvl="0" w:tentative="0">
      <w:start w:val="1"/>
      <w:numFmt w:val="bullet"/>
      <w:lvlText w:val=""/>
      <w:lvlJc w:val="left"/>
      <w:pPr>
        <w:ind w:left="420" w:hanging="420"/>
      </w:pPr>
      <w:rPr>
        <w:rFonts w:hint="default" w:ascii="Wingdings" w:hAnsi="Wingdings"/>
      </w:rPr>
    </w:lvl>
  </w:abstractNum>
  <w:abstractNum w:abstractNumId="9">
    <w:nsid w:val="7503B911"/>
    <w:multiLevelType w:val="singleLevel"/>
    <w:tmpl w:val="7503B911"/>
    <w:lvl w:ilvl="0" w:tentative="0">
      <w:start w:val="1"/>
      <w:numFmt w:val="bullet"/>
      <w:lvlText w:val=""/>
      <w:lvlJc w:val="left"/>
      <w:pPr>
        <w:ind w:left="420" w:hanging="420"/>
      </w:pPr>
      <w:rPr>
        <w:rFonts w:hint="default" w:ascii="Wingdings" w:hAnsi="Wingdings"/>
      </w:rPr>
    </w:lvl>
  </w:abstractNum>
  <w:abstractNum w:abstractNumId="10">
    <w:nsid w:val="75973145"/>
    <w:multiLevelType w:val="singleLevel"/>
    <w:tmpl w:val="75973145"/>
    <w:lvl w:ilvl="0" w:tentative="0">
      <w:start w:val="1"/>
      <w:numFmt w:val="bullet"/>
      <w:lvlText w:val=""/>
      <w:lvlJc w:val="left"/>
      <w:pPr>
        <w:ind w:left="420" w:hanging="420"/>
      </w:pPr>
      <w:rPr>
        <w:rFonts w:hint="default" w:ascii="Wingdings" w:hAnsi="Wingdings"/>
      </w:rPr>
    </w:lvl>
  </w:abstractNum>
  <w:abstractNum w:abstractNumId="11">
    <w:nsid w:val="75B22ABA"/>
    <w:multiLevelType w:val="singleLevel"/>
    <w:tmpl w:val="75B22ABA"/>
    <w:lvl w:ilvl="0" w:tentative="0">
      <w:start w:val="2"/>
      <w:numFmt w:val="decimal"/>
      <w:suff w:val="nothing"/>
      <w:lvlText w:val="（%1）"/>
      <w:lvlJc w:val="left"/>
    </w:lvl>
  </w:abstractNum>
  <w:num w:numId="1">
    <w:abstractNumId w:val="0"/>
  </w:num>
  <w:num w:numId="2">
    <w:abstractNumId w:val="4"/>
  </w:num>
  <w:num w:numId="3">
    <w:abstractNumId w:val="11"/>
  </w:num>
  <w:num w:numId="4">
    <w:abstractNumId w:val="1"/>
  </w:num>
  <w:num w:numId="5">
    <w:abstractNumId w:val="10"/>
  </w:num>
  <w:num w:numId="6">
    <w:abstractNumId w:val="8"/>
  </w:num>
  <w:num w:numId="7">
    <w:abstractNumId w:val="2"/>
  </w:num>
  <w:num w:numId="8">
    <w:abstractNumId w:val="7"/>
  </w:num>
  <w:num w:numId="9">
    <w:abstractNumId w:val="6"/>
  </w:num>
  <w:num w:numId="10">
    <w:abstractNumId w:val="3"/>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19"/>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2ZDA2ZDk2MzA0YmQ3YTZlZGQ4ZGU5MjQxZjFiMmEifQ=="/>
  </w:docVars>
  <w:rsids>
    <w:rsidRoot w:val="7B352473"/>
    <w:rsid w:val="000273CC"/>
    <w:rsid w:val="00060C6A"/>
    <w:rsid w:val="000C617C"/>
    <w:rsid w:val="001058CA"/>
    <w:rsid w:val="001F6EFF"/>
    <w:rsid w:val="002F6A85"/>
    <w:rsid w:val="00462F37"/>
    <w:rsid w:val="005A6523"/>
    <w:rsid w:val="00691E5F"/>
    <w:rsid w:val="00873A12"/>
    <w:rsid w:val="00902C2A"/>
    <w:rsid w:val="00943609"/>
    <w:rsid w:val="00A232A0"/>
    <w:rsid w:val="00AD10E6"/>
    <w:rsid w:val="00B20DF2"/>
    <w:rsid w:val="00B2683C"/>
    <w:rsid w:val="00DD6189"/>
    <w:rsid w:val="00EE4F6B"/>
    <w:rsid w:val="00F1191B"/>
    <w:rsid w:val="01034A70"/>
    <w:rsid w:val="010F585C"/>
    <w:rsid w:val="01105C85"/>
    <w:rsid w:val="011164C1"/>
    <w:rsid w:val="0122364D"/>
    <w:rsid w:val="012344F2"/>
    <w:rsid w:val="012E12A0"/>
    <w:rsid w:val="0144789F"/>
    <w:rsid w:val="014A5F72"/>
    <w:rsid w:val="014D1EEC"/>
    <w:rsid w:val="0167398B"/>
    <w:rsid w:val="01695955"/>
    <w:rsid w:val="016C71F3"/>
    <w:rsid w:val="01831A44"/>
    <w:rsid w:val="018362EB"/>
    <w:rsid w:val="018E1FF8"/>
    <w:rsid w:val="01941722"/>
    <w:rsid w:val="01BB3CD7"/>
    <w:rsid w:val="01C97AF1"/>
    <w:rsid w:val="01CC7C92"/>
    <w:rsid w:val="01D50BD5"/>
    <w:rsid w:val="01F4023E"/>
    <w:rsid w:val="01FD609D"/>
    <w:rsid w:val="02094A42"/>
    <w:rsid w:val="02135161"/>
    <w:rsid w:val="0216427A"/>
    <w:rsid w:val="021B4929"/>
    <w:rsid w:val="021F7DC1"/>
    <w:rsid w:val="02296E92"/>
    <w:rsid w:val="02450C3A"/>
    <w:rsid w:val="0246375F"/>
    <w:rsid w:val="024D1A9A"/>
    <w:rsid w:val="024E06A7"/>
    <w:rsid w:val="02536AB5"/>
    <w:rsid w:val="02592604"/>
    <w:rsid w:val="027125E7"/>
    <w:rsid w:val="02741561"/>
    <w:rsid w:val="02741D5B"/>
    <w:rsid w:val="027528EB"/>
    <w:rsid w:val="02781BC8"/>
    <w:rsid w:val="02994853"/>
    <w:rsid w:val="02A71A6B"/>
    <w:rsid w:val="02AF383B"/>
    <w:rsid w:val="02B32626"/>
    <w:rsid w:val="02B349AE"/>
    <w:rsid w:val="02B415C0"/>
    <w:rsid w:val="02D212D8"/>
    <w:rsid w:val="02D77736"/>
    <w:rsid w:val="02E334E5"/>
    <w:rsid w:val="02FE3E7B"/>
    <w:rsid w:val="03074C27"/>
    <w:rsid w:val="03080DA8"/>
    <w:rsid w:val="0315393B"/>
    <w:rsid w:val="032D29B2"/>
    <w:rsid w:val="03403750"/>
    <w:rsid w:val="034877EC"/>
    <w:rsid w:val="036252B1"/>
    <w:rsid w:val="03675F18"/>
    <w:rsid w:val="039256C8"/>
    <w:rsid w:val="03A26EFC"/>
    <w:rsid w:val="03B94246"/>
    <w:rsid w:val="03BC55EC"/>
    <w:rsid w:val="03C03826"/>
    <w:rsid w:val="03D618A6"/>
    <w:rsid w:val="03DD1CE2"/>
    <w:rsid w:val="03DE446B"/>
    <w:rsid w:val="03DE5A5A"/>
    <w:rsid w:val="03E312C3"/>
    <w:rsid w:val="03E33071"/>
    <w:rsid w:val="03E47515"/>
    <w:rsid w:val="03F67248"/>
    <w:rsid w:val="03FD74A1"/>
    <w:rsid w:val="040743DA"/>
    <w:rsid w:val="041F2A5C"/>
    <w:rsid w:val="042C577E"/>
    <w:rsid w:val="04304C21"/>
    <w:rsid w:val="043B27E8"/>
    <w:rsid w:val="043F299D"/>
    <w:rsid w:val="0442248D"/>
    <w:rsid w:val="044E6E1E"/>
    <w:rsid w:val="0452144E"/>
    <w:rsid w:val="04763EE5"/>
    <w:rsid w:val="04863E90"/>
    <w:rsid w:val="04872CE3"/>
    <w:rsid w:val="04893066"/>
    <w:rsid w:val="04931C01"/>
    <w:rsid w:val="04976040"/>
    <w:rsid w:val="04A71B2A"/>
    <w:rsid w:val="04A722F0"/>
    <w:rsid w:val="04BC1F2C"/>
    <w:rsid w:val="04C708E6"/>
    <w:rsid w:val="04D066E7"/>
    <w:rsid w:val="04DD3F64"/>
    <w:rsid w:val="04FF274E"/>
    <w:rsid w:val="050B2FD3"/>
    <w:rsid w:val="0513674D"/>
    <w:rsid w:val="052D4EEB"/>
    <w:rsid w:val="05305425"/>
    <w:rsid w:val="05311419"/>
    <w:rsid w:val="05495645"/>
    <w:rsid w:val="05622E1E"/>
    <w:rsid w:val="05642F40"/>
    <w:rsid w:val="05862977"/>
    <w:rsid w:val="05946929"/>
    <w:rsid w:val="059A106B"/>
    <w:rsid w:val="05A0289F"/>
    <w:rsid w:val="05A36F5B"/>
    <w:rsid w:val="05B2719F"/>
    <w:rsid w:val="05C22CB5"/>
    <w:rsid w:val="05C64E34"/>
    <w:rsid w:val="05D134E8"/>
    <w:rsid w:val="05D93824"/>
    <w:rsid w:val="05EF150D"/>
    <w:rsid w:val="06005A13"/>
    <w:rsid w:val="06007F0A"/>
    <w:rsid w:val="060B692C"/>
    <w:rsid w:val="06316315"/>
    <w:rsid w:val="0634109D"/>
    <w:rsid w:val="06373C53"/>
    <w:rsid w:val="063B53E6"/>
    <w:rsid w:val="0661744D"/>
    <w:rsid w:val="0667442D"/>
    <w:rsid w:val="069167D4"/>
    <w:rsid w:val="06A02AAA"/>
    <w:rsid w:val="06AE33F4"/>
    <w:rsid w:val="06BA4AFE"/>
    <w:rsid w:val="06C65CB3"/>
    <w:rsid w:val="06D04EAE"/>
    <w:rsid w:val="06DD190B"/>
    <w:rsid w:val="06E267C0"/>
    <w:rsid w:val="06E4603F"/>
    <w:rsid w:val="06FD08ED"/>
    <w:rsid w:val="071B0024"/>
    <w:rsid w:val="072514A2"/>
    <w:rsid w:val="072D11D3"/>
    <w:rsid w:val="07300676"/>
    <w:rsid w:val="07337FA1"/>
    <w:rsid w:val="07481B68"/>
    <w:rsid w:val="07546909"/>
    <w:rsid w:val="075A7AEE"/>
    <w:rsid w:val="076A61FC"/>
    <w:rsid w:val="07852680"/>
    <w:rsid w:val="078B7CA7"/>
    <w:rsid w:val="07953088"/>
    <w:rsid w:val="079B3B21"/>
    <w:rsid w:val="07B37C1F"/>
    <w:rsid w:val="07BD48A5"/>
    <w:rsid w:val="07C25ACA"/>
    <w:rsid w:val="07CF4A2A"/>
    <w:rsid w:val="07D63618"/>
    <w:rsid w:val="07D93108"/>
    <w:rsid w:val="07E72487"/>
    <w:rsid w:val="07F817E1"/>
    <w:rsid w:val="08005D58"/>
    <w:rsid w:val="08033CE1"/>
    <w:rsid w:val="080C528C"/>
    <w:rsid w:val="0814042B"/>
    <w:rsid w:val="081D2FF5"/>
    <w:rsid w:val="081E3453"/>
    <w:rsid w:val="081E5A2F"/>
    <w:rsid w:val="083B47AE"/>
    <w:rsid w:val="08420CAE"/>
    <w:rsid w:val="084541EE"/>
    <w:rsid w:val="08615753"/>
    <w:rsid w:val="086C5D2B"/>
    <w:rsid w:val="08797E1E"/>
    <w:rsid w:val="08A05F2E"/>
    <w:rsid w:val="08A65589"/>
    <w:rsid w:val="08B9322F"/>
    <w:rsid w:val="08BD7590"/>
    <w:rsid w:val="08BE7902"/>
    <w:rsid w:val="08CE5BAE"/>
    <w:rsid w:val="08D21CBE"/>
    <w:rsid w:val="08DA1223"/>
    <w:rsid w:val="08E151E8"/>
    <w:rsid w:val="08E972AA"/>
    <w:rsid w:val="08FC0E5C"/>
    <w:rsid w:val="08FC1A71"/>
    <w:rsid w:val="09192D4B"/>
    <w:rsid w:val="092C4CF1"/>
    <w:rsid w:val="093C3386"/>
    <w:rsid w:val="094C2332"/>
    <w:rsid w:val="095C2450"/>
    <w:rsid w:val="095D02B8"/>
    <w:rsid w:val="09637844"/>
    <w:rsid w:val="096609CC"/>
    <w:rsid w:val="09694018"/>
    <w:rsid w:val="097B4C20"/>
    <w:rsid w:val="09874E1E"/>
    <w:rsid w:val="09944F2E"/>
    <w:rsid w:val="09975029"/>
    <w:rsid w:val="09C676BC"/>
    <w:rsid w:val="09CB082F"/>
    <w:rsid w:val="09CE33EE"/>
    <w:rsid w:val="09D033F0"/>
    <w:rsid w:val="09D83DD8"/>
    <w:rsid w:val="09DF755C"/>
    <w:rsid w:val="09E0077E"/>
    <w:rsid w:val="09E65669"/>
    <w:rsid w:val="09F47D86"/>
    <w:rsid w:val="09F558AC"/>
    <w:rsid w:val="0A157CFC"/>
    <w:rsid w:val="0A2D5046"/>
    <w:rsid w:val="0A310FDA"/>
    <w:rsid w:val="0A344626"/>
    <w:rsid w:val="0A345525"/>
    <w:rsid w:val="0A5442A8"/>
    <w:rsid w:val="0A6A1E9D"/>
    <w:rsid w:val="0A6B6D3D"/>
    <w:rsid w:val="0A7B267C"/>
    <w:rsid w:val="0A887251"/>
    <w:rsid w:val="0AB67731"/>
    <w:rsid w:val="0AD35BED"/>
    <w:rsid w:val="0AD60AAD"/>
    <w:rsid w:val="0AE92A74"/>
    <w:rsid w:val="0AED4F51"/>
    <w:rsid w:val="0AF642EC"/>
    <w:rsid w:val="0AFF2E86"/>
    <w:rsid w:val="0B293767"/>
    <w:rsid w:val="0B5331D2"/>
    <w:rsid w:val="0B5C6778"/>
    <w:rsid w:val="0B60664D"/>
    <w:rsid w:val="0B637AFC"/>
    <w:rsid w:val="0B6B7318"/>
    <w:rsid w:val="0B6D6042"/>
    <w:rsid w:val="0B70007C"/>
    <w:rsid w:val="0B707905"/>
    <w:rsid w:val="0B857622"/>
    <w:rsid w:val="0B872693"/>
    <w:rsid w:val="0B996FFF"/>
    <w:rsid w:val="0BAD28E2"/>
    <w:rsid w:val="0BB47566"/>
    <w:rsid w:val="0BC1319E"/>
    <w:rsid w:val="0BD440B8"/>
    <w:rsid w:val="0BEF7A9F"/>
    <w:rsid w:val="0C0119E4"/>
    <w:rsid w:val="0C0B642A"/>
    <w:rsid w:val="0C1314E3"/>
    <w:rsid w:val="0C2C7C83"/>
    <w:rsid w:val="0C2F779B"/>
    <w:rsid w:val="0C3469FA"/>
    <w:rsid w:val="0C3E29A4"/>
    <w:rsid w:val="0C4E5300"/>
    <w:rsid w:val="0C67635D"/>
    <w:rsid w:val="0C681E9F"/>
    <w:rsid w:val="0C6C4F7F"/>
    <w:rsid w:val="0C6E357B"/>
    <w:rsid w:val="0C7B29E0"/>
    <w:rsid w:val="0C890523"/>
    <w:rsid w:val="0C990ADE"/>
    <w:rsid w:val="0C9C64B3"/>
    <w:rsid w:val="0C9D2956"/>
    <w:rsid w:val="0C9E222B"/>
    <w:rsid w:val="0CA42D4A"/>
    <w:rsid w:val="0D022820"/>
    <w:rsid w:val="0D063097"/>
    <w:rsid w:val="0D0C188A"/>
    <w:rsid w:val="0D4B23B2"/>
    <w:rsid w:val="0D4E2852"/>
    <w:rsid w:val="0D4E3C51"/>
    <w:rsid w:val="0D735465"/>
    <w:rsid w:val="0D74731F"/>
    <w:rsid w:val="0D767325"/>
    <w:rsid w:val="0D875541"/>
    <w:rsid w:val="0D8D6B9F"/>
    <w:rsid w:val="0DA466A2"/>
    <w:rsid w:val="0DC46A03"/>
    <w:rsid w:val="0DC51506"/>
    <w:rsid w:val="0DD0126A"/>
    <w:rsid w:val="0DD31353"/>
    <w:rsid w:val="0DD36B79"/>
    <w:rsid w:val="0DFE11D3"/>
    <w:rsid w:val="0E4137B5"/>
    <w:rsid w:val="0E451A43"/>
    <w:rsid w:val="0E4F5ED2"/>
    <w:rsid w:val="0E5A4271"/>
    <w:rsid w:val="0E611762"/>
    <w:rsid w:val="0E6B6BF9"/>
    <w:rsid w:val="0EA929E2"/>
    <w:rsid w:val="0EAE415C"/>
    <w:rsid w:val="0EBF433E"/>
    <w:rsid w:val="0EC35F79"/>
    <w:rsid w:val="0EC42910"/>
    <w:rsid w:val="0EEE46F4"/>
    <w:rsid w:val="0EF40C0A"/>
    <w:rsid w:val="0EF56A7A"/>
    <w:rsid w:val="0EF6634E"/>
    <w:rsid w:val="0F117F6B"/>
    <w:rsid w:val="0F4F3A1C"/>
    <w:rsid w:val="0F5D5A42"/>
    <w:rsid w:val="0F5F2145"/>
    <w:rsid w:val="0F664178"/>
    <w:rsid w:val="0F700D01"/>
    <w:rsid w:val="0F784FB5"/>
    <w:rsid w:val="0FA22205"/>
    <w:rsid w:val="0FA66BBA"/>
    <w:rsid w:val="0FA77648"/>
    <w:rsid w:val="0FA8775E"/>
    <w:rsid w:val="0FB052A2"/>
    <w:rsid w:val="0FB56209"/>
    <w:rsid w:val="0FB62EDB"/>
    <w:rsid w:val="0FBA737B"/>
    <w:rsid w:val="0FBD6E6C"/>
    <w:rsid w:val="0FD442E6"/>
    <w:rsid w:val="0FDA67AF"/>
    <w:rsid w:val="0FDE67AE"/>
    <w:rsid w:val="0FE5076F"/>
    <w:rsid w:val="0FF26B15"/>
    <w:rsid w:val="0FFC3E38"/>
    <w:rsid w:val="100434CA"/>
    <w:rsid w:val="100827DD"/>
    <w:rsid w:val="101C3B92"/>
    <w:rsid w:val="1034511B"/>
    <w:rsid w:val="10370023"/>
    <w:rsid w:val="103A1EC5"/>
    <w:rsid w:val="103B682F"/>
    <w:rsid w:val="103E694A"/>
    <w:rsid w:val="104E4A61"/>
    <w:rsid w:val="10502620"/>
    <w:rsid w:val="10523E8E"/>
    <w:rsid w:val="10581C25"/>
    <w:rsid w:val="105D4C73"/>
    <w:rsid w:val="10606175"/>
    <w:rsid w:val="10664D8D"/>
    <w:rsid w:val="106A2B50"/>
    <w:rsid w:val="108C7336"/>
    <w:rsid w:val="108D5B01"/>
    <w:rsid w:val="10914580"/>
    <w:rsid w:val="109167D7"/>
    <w:rsid w:val="10953945"/>
    <w:rsid w:val="10AE588D"/>
    <w:rsid w:val="10B6112D"/>
    <w:rsid w:val="10C36704"/>
    <w:rsid w:val="10D21AD4"/>
    <w:rsid w:val="10D66437"/>
    <w:rsid w:val="10D733CA"/>
    <w:rsid w:val="10D95F99"/>
    <w:rsid w:val="10E15F34"/>
    <w:rsid w:val="10ED13FA"/>
    <w:rsid w:val="10ED4953"/>
    <w:rsid w:val="10F90377"/>
    <w:rsid w:val="10FB686D"/>
    <w:rsid w:val="1115008D"/>
    <w:rsid w:val="1118286D"/>
    <w:rsid w:val="111909B9"/>
    <w:rsid w:val="112076B2"/>
    <w:rsid w:val="112E2296"/>
    <w:rsid w:val="112E7567"/>
    <w:rsid w:val="113A0986"/>
    <w:rsid w:val="114A472F"/>
    <w:rsid w:val="114C66F9"/>
    <w:rsid w:val="11A71B81"/>
    <w:rsid w:val="11B5732A"/>
    <w:rsid w:val="11B645B7"/>
    <w:rsid w:val="11BE2DE2"/>
    <w:rsid w:val="11C049F1"/>
    <w:rsid w:val="11C826A1"/>
    <w:rsid w:val="11CC3396"/>
    <w:rsid w:val="11FA0C81"/>
    <w:rsid w:val="11FF3CE1"/>
    <w:rsid w:val="120772F5"/>
    <w:rsid w:val="120B7717"/>
    <w:rsid w:val="123C49C0"/>
    <w:rsid w:val="124949E7"/>
    <w:rsid w:val="125E0CD1"/>
    <w:rsid w:val="126E269F"/>
    <w:rsid w:val="1291044F"/>
    <w:rsid w:val="12AA6813"/>
    <w:rsid w:val="12B509B0"/>
    <w:rsid w:val="12D47F8E"/>
    <w:rsid w:val="12DE6CAE"/>
    <w:rsid w:val="12E73814"/>
    <w:rsid w:val="12ED5CBA"/>
    <w:rsid w:val="12F83F92"/>
    <w:rsid w:val="12FD27F6"/>
    <w:rsid w:val="1318638F"/>
    <w:rsid w:val="13307F6B"/>
    <w:rsid w:val="13427DB4"/>
    <w:rsid w:val="1347361C"/>
    <w:rsid w:val="134D0FBA"/>
    <w:rsid w:val="134D45D7"/>
    <w:rsid w:val="134D4B46"/>
    <w:rsid w:val="13511DA5"/>
    <w:rsid w:val="1360023A"/>
    <w:rsid w:val="13710699"/>
    <w:rsid w:val="137A5CA7"/>
    <w:rsid w:val="137E3987"/>
    <w:rsid w:val="139A6783"/>
    <w:rsid w:val="13A6253A"/>
    <w:rsid w:val="13AC16D1"/>
    <w:rsid w:val="13AE3921"/>
    <w:rsid w:val="13B05512"/>
    <w:rsid w:val="13DF23CC"/>
    <w:rsid w:val="13E42C19"/>
    <w:rsid w:val="13E7683E"/>
    <w:rsid w:val="13F015BE"/>
    <w:rsid w:val="13F240A8"/>
    <w:rsid w:val="140212F1"/>
    <w:rsid w:val="14071D85"/>
    <w:rsid w:val="14076907"/>
    <w:rsid w:val="1408655D"/>
    <w:rsid w:val="140C2BB9"/>
    <w:rsid w:val="14107EB2"/>
    <w:rsid w:val="14244699"/>
    <w:rsid w:val="142676D5"/>
    <w:rsid w:val="142D315A"/>
    <w:rsid w:val="14393190"/>
    <w:rsid w:val="1444190A"/>
    <w:rsid w:val="1454382F"/>
    <w:rsid w:val="14577AC6"/>
    <w:rsid w:val="14684678"/>
    <w:rsid w:val="1476752B"/>
    <w:rsid w:val="147A2651"/>
    <w:rsid w:val="147B234C"/>
    <w:rsid w:val="148517E8"/>
    <w:rsid w:val="148F0E44"/>
    <w:rsid w:val="14A55E93"/>
    <w:rsid w:val="14B45368"/>
    <w:rsid w:val="14D02BBA"/>
    <w:rsid w:val="14D64013"/>
    <w:rsid w:val="14D72ADA"/>
    <w:rsid w:val="14EE7694"/>
    <w:rsid w:val="14F055ED"/>
    <w:rsid w:val="14F11A91"/>
    <w:rsid w:val="150D43F1"/>
    <w:rsid w:val="150D619F"/>
    <w:rsid w:val="151B6B0E"/>
    <w:rsid w:val="15200185"/>
    <w:rsid w:val="152945D9"/>
    <w:rsid w:val="153D03DC"/>
    <w:rsid w:val="154222ED"/>
    <w:rsid w:val="1542409B"/>
    <w:rsid w:val="154361C8"/>
    <w:rsid w:val="1562473D"/>
    <w:rsid w:val="1571672E"/>
    <w:rsid w:val="15757437"/>
    <w:rsid w:val="15761F97"/>
    <w:rsid w:val="1578577E"/>
    <w:rsid w:val="15791A87"/>
    <w:rsid w:val="157D548C"/>
    <w:rsid w:val="158D108E"/>
    <w:rsid w:val="159552F0"/>
    <w:rsid w:val="159863B1"/>
    <w:rsid w:val="15A85EC8"/>
    <w:rsid w:val="15A90E19"/>
    <w:rsid w:val="15B526AD"/>
    <w:rsid w:val="15C960E4"/>
    <w:rsid w:val="15CA6DCF"/>
    <w:rsid w:val="15D078F9"/>
    <w:rsid w:val="15F641F9"/>
    <w:rsid w:val="160D59ED"/>
    <w:rsid w:val="160E21CF"/>
    <w:rsid w:val="162719D3"/>
    <w:rsid w:val="163276D2"/>
    <w:rsid w:val="16351C1C"/>
    <w:rsid w:val="1638372A"/>
    <w:rsid w:val="163F05DA"/>
    <w:rsid w:val="165556AF"/>
    <w:rsid w:val="16585B40"/>
    <w:rsid w:val="165878EE"/>
    <w:rsid w:val="166C76D6"/>
    <w:rsid w:val="16752024"/>
    <w:rsid w:val="167C538B"/>
    <w:rsid w:val="16870F53"/>
    <w:rsid w:val="168E1562"/>
    <w:rsid w:val="168F319A"/>
    <w:rsid w:val="16A3500D"/>
    <w:rsid w:val="16A3587A"/>
    <w:rsid w:val="16AA639C"/>
    <w:rsid w:val="16C7529A"/>
    <w:rsid w:val="16CA07EC"/>
    <w:rsid w:val="16CA24DA"/>
    <w:rsid w:val="16CB617E"/>
    <w:rsid w:val="16E3365C"/>
    <w:rsid w:val="16E84621"/>
    <w:rsid w:val="16F245C5"/>
    <w:rsid w:val="16F56C5C"/>
    <w:rsid w:val="16F75761"/>
    <w:rsid w:val="16F86F13"/>
    <w:rsid w:val="16FD77F0"/>
    <w:rsid w:val="1708294D"/>
    <w:rsid w:val="171001C9"/>
    <w:rsid w:val="17141A67"/>
    <w:rsid w:val="1752369D"/>
    <w:rsid w:val="17575DF8"/>
    <w:rsid w:val="176C53FF"/>
    <w:rsid w:val="176E1B03"/>
    <w:rsid w:val="177223D2"/>
    <w:rsid w:val="17761B4A"/>
    <w:rsid w:val="1783099B"/>
    <w:rsid w:val="1789621C"/>
    <w:rsid w:val="178F10EE"/>
    <w:rsid w:val="179A0284"/>
    <w:rsid w:val="179C538F"/>
    <w:rsid w:val="179E27B9"/>
    <w:rsid w:val="17A50911"/>
    <w:rsid w:val="17AD7F3D"/>
    <w:rsid w:val="17C854A2"/>
    <w:rsid w:val="17CF1E32"/>
    <w:rsid w:val="17D20269"/>
    <w:rsid w:val="17E5229C"/>
    <w:rsid w:val="18012D90"/>
    <w:rsid w:val="181F7D2E"/>
    <w:rsid w:val="1838202B"/>
    <w:rsid w:val="18423B2F"/>
    <w:rsid w:val="185145F5"/>
    <w:rsid w:val="185B04CB"/>
    <w:rsid w:val="18695DE3"/>
    <w:rsid w:val="18702E37"/>
    <w:rsid w:val="187A4AA8"/>
    <w:rsid w:val="188350F6"/>
    <w:rsid w:val="18867D10"/>
    <w:rsid w:val="18915DE9"/>
    <w:rsid w:val="18916A32"/>
    <w:rsid w:val="189270E7"/>
    <w:rsid w:val="189277FD"/>
    <w:rsid w:val="18970F8B"/>
    <w:rsid w:val="18AF7063"/>
    <w:rsid w:val="18B1382B"/>
    <w:rsid w:val="18B90B18"/>
    <w:rsid w:val="18CB22C0"/>
    <w:rsid w:val="18CD0120"/>
    <w:rsid w:val="18CD6371"/>
    <w:rsid w:val="18D360D8"/>
    <w:rsid w:val="18F7523E"/>
    <w:rsid w:val="19007DFE"/>
    <w:rsid w:val="19067429"/>
    <w:rsid w:val="19105640"/>
    <w:rsid w:val="191A70DD"/>
    <w:rsid w:val="192018D2"/>
    <w:rsid w:val="19274CCF"/>
    <w:rsid w:val="19307489"/>
    <w:rsid w:val="193D16D6"/>
    <w:rsid w:val="194B507F"/>
    <w:rsid w:val="194F6D87"/>
    <w:rsid w:val="196850C9"/>
    <w:rsid w:val="196F11D7"/>
    <w:rsid w:val="1977008B"/>
    <w:rsid w:val="198033E4"/>
    <w:rsid w:val="19854FE5"/>
    <w:rsid w:val="19A85F4D"/>
    <w:rsid w:val="19BD0194"/>
    <w:rsid w:val="19C534ED"/>
    <w:rsid w:val="19D0740C"/>
    <w:rsid w:val="19E5593D"/>
    <w:rsid w:val="19E716B5"/>
    <w:rsid w:val="19EC76AC"/>
    <w:rsid w:val="19F3421C"/>
    <w:rsid w:val="19F85670"/>
    <w:rsid w:val="1A0C3913"/>
    <w:rsid w:val="1A0C4C78"/>
    <w:rsid w:val="1A100A0D"/>
    <w:rsid w:val="1A2646F6"/>
    <w:rsid w:val="1A30063A"/>
    <w:rsid w:val="1A31156C"/>
    <w:rsid w:val="1A3366A8"/>
    <w:rsid w:val="1A3B5FD7"/>
    <w:rsid w:val="1A433816"/>
    <w:rsid w:val="1A461C65"/>
    <w:rsid w:val="1A4729C7"/>
    <w:rsid w:val="1A582032"/>
    <w:rsid w:val="1A6E256B"/>
    <w:rsid w:val="1A6F1757"/>
    <w:rsid w:val="1A7E355A"/>
    <w:rsid w:val="1A7E3C31"/>
    <w:rsid w:val="1A9A5A78"/>
    <w:rsid w:val="1AA650CC"/>
    <w:rsid w:val="1AA80E44"/>
    <w:rsid w:val="1ACA660A"/>
    <w:rsid w:val="1AE9320B"/>
    <w:rsid w:val="1AF26D6C"/>
    <w:rsid w:val="1AF424A5"/>
    <w:rsid w:val="1AF776D6"/>
    <w:rsid w:val="1AFD138A"/>
    <w:rsid w:val="1B03607B"/>
    <w:rsid w:val="1B0D0CA7"/>
    <w:rsid w:val="1B171B26"/>
    <w:rsid w:val="1B1A1A74"/>
    <w:rsid w:val="1B1A7868"/>
    <w:rsid w:val="1B1D2B8C"/>
    <w:rsid w:val="1B325AE4"/>
    <w:rsid w:val="1B393673"/>
    <w:rsid w:val="1B3E5305"/>
    <w:rsid w:val="1B46065D"/>
    <w:rsid w:val="1B477640"/>
    <w:rsid w:val="1B4B1A5B"/>
    <w:rsid w:val="1B4F3C37"/>
    <w:rsid w:val="1B7725C5"/>
    <w:rsid w:val="1B862808"/>
    <w:rsid w:val="1B895F87"/>
    <w:rsid w:val="1B8D003A"/>
    <w:rsid w:val="1B8D3B96"/>
    <w:rsid w:val="1B8F2822"/>
    <w:rsid w:val="1B932FB9"/>
    <w:rsid w:val="1BB26287"/>
    <w:rsid w:val="1BC30577"/>
    <w:rsid w:val="1BCA4D64"/>
    <w:rsid w:val="1BE70553"/>
    <w:rsid w:val="1BFB52D4"/>
    <w:rsid w:val="1BFF7D06"/>
    <w:rsid w:val="1C0E117B"/>
    <w:rsid w:val="1C2A5B45"/>
    <w:rsid w:val="1C374107"/>
    <w:rsid w:val="1C484E01"/>
    <w:rsid w:val="1C542906"/>
    <w:rsid w:val="1C5F731B"/>
    <w:rsid w:val="1C627F58"/>
    <w:rsid w:val="1C654B13"/>
    <w:rsid w:val="1C685FA7"/>
    <w:rsid w:val="1C6A5EEE"/>
    <w:rsid w:val="1C72324A"/>
    <w:rsid w:val="1C7B7604"/>
    <w:rsid w:val="1C860BBB"/>
    <w:rsid w:val="1C8B27CB"/>
    <w:rsid w:val="1C973083"/>
    <w:rsid w:val="1C9F1DD3"/>
    <w:rsid w:val="1CA7512B"/>
    <w:rsid w:val="1CAC44F0"/>
    <w:rsid w:val="1CAF3722"/>
    <w:rsid w:val="1CB54A38"/>
    <w:rsid w:val="1CB76E59"/>
    <w:rsid w:val="1D5200DE"/>
    <w:rsid w:val="1D570900"/>
    <w:rsid w:val="1D573933"/>
    <w:rsid w:val="1D60226C"/>
    <w:rsid w:val="1D6B33BC"/>
    <w:rsid w:val="1D714FE8"/>
    <w:rsid w:val="1D772D50"/>
    <w:rsid w:val="1D7A639C"/>
    <w:rsid w:val="1D7B61DB"/>
    <w:rsid w:val="1D807281"/>
    <w:rsid w:val="1D864D41"/>
    <w:rsid w:val="1D905BC0"/>
    <w:rsid w:val="1D913ADF"/>
    <w:rsid w:val="1DBE272D"/>
    <w:rsid w:val="1DC064A5"/>
    <w:rsid w:val="1DC13F9D"/>
    <w:rsid w:val="1DD67A76"/>
    <w:rsid w:val="1DDF3A86"/>
    <w:rsid w:val="1DE70A99"/>
    <w:rsid w:val="1DF56E58"/>
    <w:rsid w:val="1DFB128B"/>
    <w:rsid w:val="1E026ABD"/>
    <w:rsid w:val="1E0740D4"/>
    <w:rsid w:val="1E0F5540"/>
    <w:rsid w:val="1E1711EB"/>
    <w:rsid w:val="1E1B22BE"/>
    <w:rsid w:val="1E203F56"/>
    <w:rsid w:val="1E2B5AF5"/>
    <w:rsid w:val="1E325F11"/>
    <w:rsid w:val="1E340C41"/>
    <w:rsid w:val="1E3B1FCF"/>
    <w:rsid w:val="1E524D56"/>
    <w:rsid w:val="1E5B2ED9"/>
    <w:rsid w:val="1E5F5CBE"/>
    <w:rsid w:val="1E6A39BE"/>
    <w:rsid w:val="1E89755B"/>
    <w:rsid w:val="1E8A59C9"/>
    <w:rsid w:val="1E926084"/>
    <w:rsid w:val="1E990DE2"/>
    <w:rsid w:val="1E9D67E6"/>
    <w:rsid w:val="1EAD1AA0"/>
    <w:rsid w:val="1EAE09F3"/>
    <w:rsid w:val="1EAF15EC"/>
    <w:rsid w:val="1ED61CF8"/>
    <w:rsid w:val="1EDF0BAD"/>
    <w:rsid w:val="1EE57937"/>
    <w:rsid w:val="1EED5D6F"/>
    <w:rsid w:val="1EFA3C38"/>
    <w:rsid w:val="1F047E39"/>
    <w:rsid w:val="1F083275"/>
    <w:rsid w:val="1F0A3D6A"/>
    <w:rsid w:val="1F0F5319"/>
    <w:rsid w:val="1F341E4C"/>
    <w:rsid w:val="1F345854"/>
    <w:rsid w:val="1F35114D"/>
    <w:rsid w:val="1F3A5DE3"/>
    <w:rsid w:val="1F56287C"/>
    <w:rsid w:val="1F6B0692"/>
    <w:rsid w:val="1F9956F1"/>
    <w:rsid w:val="1FA6791C"/>
    <w:rsid w:val="1FA83694"/>
    <w:rsid w:val="1FAE057F"/>
    <w:rsid w:val="1FC44D4F"/>
    <w:rsid w:val="1FCD41B5"/>
    <w:rsid w:val="1FCF29CF"/>
    <w:rsid w:val="1FD051F2"/>
    <w:rsid w:val="1FD61FB0"/>
    <w:rsid w:val="1FD81BEF"/>
    <w:rsid w:val="1FE2318E"/>
    <w:rsid w:val="1FF57F5C"/>
    <w:rsid w:val="20104D96"/>
    <w:rsid w:val="2015367F"/>
    <w:rsid w:val="201D1F72"/>
    <w:rsid w:val="201D22DD"/>
    <w:rsid w:val="201D29B4"/>
    <w:rsid w:val="20234AC9"/>
    <w:rsid w:val="202F4BE7"/>
    <w:rsid w:val="203012DB"/>
    <w:rsid w:val="203E5DA7"/>
    <w:rsid w:val="204333BD"/>
    <w:rsid w:val="20464723"/>
    <w:rsid w:val="20490B43"/>
    <w:rsid w:val="205664B2"/>
    <w:rsid w:val="20633C30"/>
    <w:rsid w:val="206F5B3B"/>
    <w:rsid w:val="2080124B"/>
    <w:rsid w:val="208B227A"/>
    <w:rsid w:val="20930826"/>
    <w:rsid w:val="20A87E46"/>
    <w:rsid w:val="20AE6A88"/>
    <w:rsid w:val="20B939D9"/>
    <w:rsid w:val="20BB4809"/>
    <w:rsid w:val="20D74B79"/>
    <w:rsid w:val="20D90C0A"/>
    <w:rsid w:val="20E31073"/>
    <w:rsid w:val="20E56222"/>
    <w:rsid w:val="20E702D4"/>
    <w:rsid w:val="20E93F65"/>
    <w:rsid w:val="20EA5156"/>
    <w:rsid w:val="20F411EC"/>
    <w:rsid w:val="20FE0F48"/>
    <w:rsid w:val="210466A8"/>
    <w:rsid w:val="21090163"/>
    <w:rsid w:val="21247AE2"/>
    <w:rsid w:val="212B3679"/>
    <w:rsid w:val="21463165"/>
    <w:rsid w:val="214B077B"/>
    <w:rsid w:val="215616B4"/>
    <w:rsid w:val="215D6ED9"/>
    <w:rsid w:val="21760FC8"/>
    <w:rsid w:val="219300FB"/>
    <w:rsid w:val="21B715C3"/>
    <w:rsid w:val="21BE719F"/>
    <w:rsid w:val="21C81DCC"/>
    <w:rsid w:val="21CA203F"/>
    <w:rsid w:val="21E0738A"/>
    <w:rsid w:val="21EF28F2"/>
    <w:rsid w:val="21FF50C2"/>
    <w:rsid w:val="221052B2"/>
    <w:rsid w:val="22211B71"/>
    <w:rsid w:val="22242A10"/>
    <w:rsid w:val="222443D1"/>
    <w:rsid w:val="222D1C2F"/>
    <w:rsid w:val="223034CD"/>
    <w:rsid w:val="22317971"/>
    <w:rsid w:val="223D53C5"/>
    <w:rsid w:val="2241392C"/>
    <w:rsid w:val="22452225"/>
    <w:rsid w:val="22474377"/>
    <w:rsid w:val="224B64FD"/>
    <w:rsid w:val="22504345"/>
    <w:rsid w:val="22595ABD"/>
    <w:rsid w:val="225A54FA"/>
    <w:rsid w:val="22857975"/>
    <w:rsid w:val="22910F9E"/>
    <w:rsid w:val="22966B6E"/>
    <w:rsid w:val="22A10BD0"/>
    <w:rsid w:val="22AD4B1E"/>
    <w:rsid w:val="22B30402"/>
    <w:rsid w:val="22C60F24"/>
    <w:rsid w:val="22CD4623"/>
    <w:rsid w:val="22D16A5E"/>
    <w:rsid w:val="22ED45A5"/>
    <w:rsid w:val="22EE1E2D"/>
    <w:rsid w:val="22FB3DFD"/>
    <w:rsid w:val="230F294A"/>
    <w:rsid w:val="2318004D"/>
    <w:rsid w:val="231E77CA"/>
    <w:rsid w:val="231F3C6E"/>
    <w:rsid w:val="232626C7"/>
    <w:rsid w:val="23287C8F"/>
    <w:rsid w:val="232A7970"/>
    <w:rsid w:val="233B0DF3"/>
    <w:rsid w:val="233F40A4"/>
    <w:rsid w:val="23431AEA"/>
    <w:rsid w:val="2346744C"/>
    <w:rsid w:val="234C7445"/>
    <w:rsid w:val="2355768F"/>
    <w:rsid w:val="23650C6E"/>
    <w:rsid w:val="23671992"/>
    <w:rsid w:val="236C6787"/>
    <w:rsid w:val="237263C4"/>
    <w:rsid w:val="23767AA0"/>
    <w:rsid w:val="237A543E"/>
    <w:rsid w:val="23A71392"/>
    <w:rsid w:val="23C15C65"/>
    <w:rsid w:val="23D31517"/>
    <w:rsid w:val="23DB0FD0"/>
    <w:rsid w:val="23DE60CA"/>
    <w:rsid w:val="23E63A5A"/>
    <w:rsid w:val="23E97315"/>
    <w:rsid w:val="23F92711"/>
    <w:rsid w:val="240B2444"/>
    <w:rsid w:val="24146CC3"/>
    <w:rsid w:val="2427242E"/>
    <w:rsid w:val="24292B31"/>
    <w:rsid w:val="243279D1"/>
    <w:rsid w:val="24374FE7"/>
    <w:rsid w:val="24496CBE"/>
    <w:rsid w:val="24516FE0"/>
    <w:rsid w:val="245453A1"/>
    <w:rsid w:val="245C5446"/>
    <w:rsid w:val="246B3F01"/>
    <w:rsid w:val="246E34E4"/>
    <w:rsid w:val="24833D88"/>
    <w:rsid w:val="24925E82"/>
    <w:rsid w:val="24B76870"/>
    <w:rsid w:val="24BE4734"/>
    <w:rsid w:val="24C5153B"/>
    <w:rsid w:val="24DD56B0"/>
    <w:rsid w:val="24DF1B29"/>
    <w:rsid w:val="24E54A43"/>
    <w:rsid w:val="24F5112A"/>
    <w:rsid w:val="24F578C0"/>
    <w:rsid w:val="24F9488C"/>
    <w:rsid w:val="250550E5"/>
    <w:rsid w:val="252235A1"/>
    <w:rsid w:val="252A50D3"/>
    <w:rsid w:val="252E63EA"/>
    <w:rsid w:val="25434AFA"/>
    <w:rsid w:val="25456927"/>
    <w:rsid w:val="2556149D"/>
    <w:rsid w:val="255B7FD4"/>
    <w:rsid w:val="256E33A2"/>
    <w:rsid w:val="257B2259"/>
    <w:rsid w:val="258807C1"/>
    <w:rsid w:val="258A2152"/>
    <w:rsid w:val="25950982"/>
    <w:rsid w:val="259F1096"/>
    <w:rsid w:val="25B368EF"/>
    <w:rsid w:val="25B7199B"/>
    <w:rsid w:val="25C24D84"/>
    <w:rsid w:val="25DC3C3F"/>
    <w:rsid w:val="25DD417F"/>
    <w:rsid w:val="25E940BF"/>
    <w:rsid w:val="25FB753C"/>
    <w:rsid w:val="260B7198"/>
    <w:rsid w:val="260C44CD"/>
    <w:rsid w:val="2621075A"/>
    <w:rsid w:val="26217CFD"/>
    <w:rsid w:val="262C6222"/>
    <w:rsid w:val="262D48F3"/>
    <w:rsid w:val="26324304"/>
    <w:rsid w:val="263E6899"/>
    <w:rsid w:val="265359DC"/>
    <w:rsid w:val="265C4314"/>
    <w:rsid w:val="26675200"/>
    <w:rsid w:val="26676DE2"/>
    <w:rsid w:val="267A3099"/>
    <w:rsid w:val="26801911"/>
    <w:rsid w:val="26867B60"/>
    <w:rsid w:val="2691170C"/>
    <w:rsid w:val="26A3473C"/>
    <w:rsid w:val="26C76066"/>
    <w:rsid w:val="26E23520"/>
    <w:rsid w:val="26F8409C"/>
    <w:rsid w:val="26FD334B"/>
    <w:rsid w:val="270C275B"/>
    <w:rsid w:val="27220ADA"/>
    <w:rsid w:val="2725381D"/>
    <w:rsid w:val="272551B5"/>
    <w:rsid w:val="272C4BAB"/>
    <w:rsid w:val="27302409"/>
    <w:rsid w:val="27383550"/>
    <w:rsid w:val="273E043A"/>
    <w:rsid w:val="273F48DE"/>
    <w:rsid w:val="27443278"/>
    <w:rsid w:val="274E07D9"/>
    <w:rsid w:val="2755016C"/>
    <w:rsid w:val="27561C28"/>
    <w:rsid w:val="276E1194"/>
    <w:rsid w:val="27765E90"/>
    <w:rsid w:val="278B00CC"/>
    <w:rsid w:val="278D3841"/>
    <w:rsid w:val="279465B6"/>
    <w:rsid w:val="2799066D"/>
    <w:rsid w:val="279A773D"/>
    <w:rsid w:val="279D7857"/>
    <w:rsid w:val="27A444AE"/>
    <w:rsid w:val="27A46C26"/>
    <w:rsid w:val="27A50D40"/>
    <w:rsid w:val="27AB12E0"/>
    <w:rsid w:val="27AC4366"/>
    <w:rsid w:val="27C274D6"/>
    <w:rsid w:val="27C51050"/>
    <w:rsid w:val="27E37F3E"/>
    <w:rsid w:val="27ED090D"/>
    <w:rsid w:val="27EF4BD9"/>
    <w:rsid w:val="28096C9A"/>
    <w:rsid w:val="2812669E"/>
    <w:rsid w:val="28136142"/>
    <w:rsid w:val="28305BE1"/>
    <w:rsid w:val="28307B03"/>
    <w:rsid w:val="283F62A0"/>
    <w:rsid w:val="286C1E2D"/>
    <w:rsid w:val="28760EC1"/>
    <w:rsid w:val="28931158"/>
    <w:rsid w:val="289A5B44"/>
    <w:rsid w:val="28AB2CE1"/>
    <w:rsid w:val="28B1534A"/>
    <w:rsid w:val="28B36645"/>
    <w:rsid w:val="28B440D8"/>
    <w:rsid w:val="28C85FAF"/>
    <w:rsid w:val="28D01F1F"/>
    <w:rsid w:val="28EA7E34"/>
    <w:rsid w:val="28EB309B"/>
    <w:rsid w:val="28EF5A53"/>
    <w:rsid w:val="28F90FE5"/>
    <w:rsid w:val="29065C02"/>
    <w:rsid w:val="290B0522"/>
    <w:rsid w:val="290E6CE7"/>
    <w:rsid w:val="290F292F"/>
    <w:rsid w:val="292766FC"/>
    <w:rsid w:val="292F44DF"/>
    <w:rsid w:val="29357A87"/>
    <w:rsid w:val="29477A7A"/>
    <w:rsid w:val="29480DD6"/>
    <w:rsid w:val="29554558"/>
    <w:rsid w:val="29583A35"/>
    <w:rsid w:val="295A02AA"/>
    <w:rsid w:val="295C5E52"/>
    <w:rsid w:val="2964687E"/>
    <w:rsid w:val="29674854"/>
    <w:rsid w:val="29992AB1"/>
    <w:rsid w:val="299B78C3"/>
    <w:rsid w:val="29AE4426"/>
    <w:rsid w:val="29D15596"/>
    <w:rsid w:val="29F06C58"/>
    <w:rsid w:val="29F86FC6"/>
    <w:rsid w:val="2A043BBD"/>
    <w:rsid w:val="2A0D6239"/>
    <w:rsid w:val="2A27651A"/>
    <w:rsid w:val="2A321881"/>
    <w:rsid w:val="2A497822"/>
    <w:rsid w:val="2A542369"/>
    <w:rsid w:val="2A5F18AB"/>
    <w:rsid w:val="2A6D1762"/>
    <w:rsid w:val="2A6E415F"/>
    <w:rsid w:val="2A71698C"/>
    <w:rsid w:val="2A7A651D"/>
    <w:rsid w:val="2A8645D2"/>
    <w:rsid w:val="2A8874E4"/>
    <w:rsid w:val="2AB945DD"/>
    <w:rsid w:val="2AD57308"/>
    <w:rsid w:val="2AD74E2E"/>
    <w:rsid w:val="2AE65071"/>
    <w:rsid w:val="2AF754D0"/>
    <w:rsid w:val="2AF87E24"/>
    <w:rsid w:val="2AF929B6"/>
    <w:rsid w:val="2B064F5E"/>
    <w:rsid w:val="2B193769"/>
    <w:rsid w:val="2B2313F4"/>
    <w:rsid w:val="2B28217F"/>
    <w:rsid w:val="2B2C517A"/>
    <w:rsid w:val="2B434DC0"/>
    <w:rsid w:val="2B480E67"/>
    <w:rsid w:val="2B536BAA"/>
    <w:rsid w:val="2B612D43"/>
    <w:rsid w:val="2B626DED"/>
    <w:rsid w:val="2B801021"/>
    <w:rsid w:val="2B816C81"/>
    <w:rsid w:val="2B8C14DD"/>
    <w:rsid w:val="2B8E6048"/>
    <w:rsid w:val="2BAB7407"/>
    <w:rsid w:val="2BD55811"/>
    <w:rsid w:val="2BD94D4B"/>
    <w:rsid w:val="2BE40904"/>
    <w:rsid w:val="2BEA1E17"/>
    <w:rsid w:val="2C1817EC"/>
    <w:rsid w:val="2C232193"/>
    <w:rsid w:val="2C2959EE"/>
    <w:rsid w:val="2C3336BA"/>
    <w:rsid w:val="2C377033"/>
    <w:rsid w:val="2C414955"/>
    <w:rsid w:val="2C424529"/>
    <w:rsid w:val="2C4D2575"/>
    <w:rsid w:val="2C4E1120"/>
    <w:rsid w:val="2C5219A4"/>
    <w:rsid w:val="2C606A0C"/>
    <w:rsid w:val="2C6E0FCA"/>
    <w:rsid w:val="2C756E19"/>
    <w:rsid w:val="2C8822F5"/>
    <w:rsid w:val="2C8F3526"/>
    <w:rsid w:val="2C901738"/>
    <w:rsid w:val="2C9249B6"/>
    <w:rsid w:val="2C947680"/>
    <w:rsid w:val="2C9C5940"/>
    <w:rsid w:val="2C9E20A7"/>
    <w:rsid w:val="2C9F2793"/>
    <w:rsid w:val="2CA84549"/>
    <w:rsid w:val="2CA90A4C"/>
    <w:rsid w:val="2CBA476B"/>
    <w:rsid w:val="2CBE44F7"/>
    <w:rsid w:val="2CBF1F1D"/>
    <w:rsid w:val="2CC6523A"/>
    <w:rsid w:val="2CCD06BC"/>
    <w:rsid w:val="2D0451C7"/>
    <w:rsid w:val="2D075DD2"/>
    <w:rsid w:val="2D553E4F"/>
    <w:rsid w:val="2D683D7E"/>
    <w:rsid w:val="2D77020B"/>
    <w:rsid w:val="2D7C1CBC"/>
    <w:rsid w:val="2D7D7F0E"/>
    <w:rsid w:val="2D85710D"/>
    <w:rsid w:val="2D8B5F7C"/>
    <w:rsid w:val="2D972FC0"/>
    <w:rsid w:val="2D986AF6"/>
    <w:rsid w:val="2DA51213"/>
    <w:rsid w:val="2DAA0AE3"/>
    <w:rsid w:val="2DB06383"/>
    <w:rsid w:val="2DB722A8"/>
    <w:rsid w:val="2DBF048A"/>
    <w:rsid w:val="2DC21E30"/>
    <w:rsid w:val="2DC27374"/>
    <w:rsid w:val="2DCD7844"/>
    <w:rsid w:val="2DE03DC4"/>
    <w:rsid w:val="2DE675FC"/>
    <w:rsid w:val="2DF45CF7"/>
    <w:rsid w:val="2DF857E7"/>
    <w:rsid w:val="2DF9330D"/>
    <w:rsid w:val="2E0504E2"/>
    <w:rsid w:val="2E0A69B2"/>
    <w:rsid w:val="2E0E18A4"/>
    <w:rsid w:val="2E1D402E"/>
    <w:rsid w:val="2E283D2E"/>
    <w:rsid w:val="2E2C5491"/>
    <w:rsid w:val="2E383E35"/>
    <w:rsid w:val="2E3E46DB"/>
    <w:rsid w:val="2E4554CC"/>
    <w:rsid w:val="2E627104"/>
    <w:rsid w:val="2E8452CD"/>
    <w:rsid w:val="2E855EC8"/>
    <w:rsid w:val="2E89643F"/>
    <w:rsid w:val="2E8B026B"/>
    <w:rsid w:val="2E8B0409"/>
    <w:rsid w:val="2E941601"/>
    <w:rsid w:val="2E9A689E"/>
    <w:rsid w:val="2EA94D33"/>
    <w:rsid w:val="2EC22E4F"/>
    <w:rsid w:val="2EC41B6D"/>
    <w:rsid w:val="2EF064BE"/>
    <w:rsid w:val="2EF91817"/>
    <w:rsid w:val="2F020D8A"/>
    <w:rsid w:val="2F034443"/>
    <w:rsid w:val="2F0974B6"/>
    <w:rsid w:val="2F125328"/>
    <w:rsid w:val="2F1B66AC"/>
    <w:rsid w:val="2F1D6D82"/>
    <w:rsid w:val="2F234AE5"/>
    <w:rsid w:val="2F3356E0"/>
    <w:rsid w:val="2F37233F"/>
    <w:rsid w:val="2F3960B7"/>
    <w:rsid w:val="2F396887"/>
    <w:rsid w:val="2F494525"/>
    <w:rsid w:val="2F4B2EEF"/>
    <w:rsid w:val="2F554889"/>
    <w:rsid w:val="2F57653D"/>
    <w:rsid w:val="2F592AA9"/>
    <w:rsid w:val="2F6F134B"/>
    <w:rsid w:val="2F7D7173"/>
    <w:rsid w:val="2F817A26"/>
    <w:rsid w:val="2F831B88"/>
    <w:rsid w:val="2F867D0B"/>
    <w:rsid w:val="2F8E13A4"/>
    <w:rsid w:val="2F8E1F35"/>
    <w:rsid w:val="2F9525CD"/>
    <w:rsid w:val="2FB12DAD"/>
    <w:rsid w:val="2FB76D39"/>
    <w:rsid w:val="2FB94D09"/>
    <w:rsid w:val="2FC02334"/>
    <w:rsid w:val="2FD80B98"/>
    <w:rsid w:val="2FE31C96"/>
    <w:rsid w:val="2FE54716"/>
    <w:rsid w:val="2FE64173"/>
    <w:rsid w:val="2FE96D43"/>
    <w:rsid w:val="2FEE6FC0"/>
    <w:rsid w:val="2FFE656E"/>
    <w:rsid w:val="300551AF"/>
    <w:rsid w:val="3010670B"/>
    <w:rsid w:val="302C6DB4"/>
    <w:rsid w:val="302D7FAF"/>
    <w:rsid w:val="30316D8E"/>
    <w:rsid w:val="3034062C"/>
    <w:rsid w:val="30445D25"/>
    <w:rsid w:val="304A60A2"/>
    <w:rsid w:val="304C7364"/>
    <w:rsid w:val="304D7600"/>
    <w:rsid w:val="304F5466"/>
    <w:rsid w:val="30532E99"/>
    <w:rsid w:val="305E38D0"/>
    <w:rsid w:val="30646D66"/>
    <w:rsid w:val="30692ED6"/>
    <w:rsid w:val="30711263"/>
    <w:rsid w:val="308C69D2"/>
    <w:rsid w:val="309013EB"/>
    <w:rsid w:val="30954A7B"/>
    <w:rsid w:val="30974E20"/>
    <w:rsid w:val="30AE18B5"/>
    <w:rsid w:val="30B643F6"/>
    <w:rsid w:val="30BA0ECE"/>
    <w:rsid w:val="30DD01BF"/>
    <w:rsid w:val="30F625CD"/>
    <w:rsid w:val="30FB6B39"/>
    <w:rsid w:val="31132938"/>
    <w:rsid w:val="31143D11"/>
    <w:rsid w:val="311E2E94"/>
    <w:rsid w:val="31220719"/>
    <w:rsid w:val="314C172B"/>
    <w:rsid w:val="314F17F5"/>
    <w:rsid w:val="31532E23"/>
    <w:rsid w:val="315E1253"/>
    <w:rsid w:val="31633FC8"/>
    <w:rsid w:val="31647A1E"/>
    <w:rsid w:val="316E6796"/>
    <w:rsid w:val="317038E6"/>
    <w:rsid w:val="318D6041"/>
    <w:rsid w:val="31A55C86"/>
    <w:rsid w:val="31B71515"/>
    <w:rsid w:val="31BA4A62"/>
    <w:rsid w:val="31BE5521"/>
    <w:rsid w:val="31CC472B"/>
    <w:rsid w:val="31E51E01"/>
    <w:rsid w:val="31F82A70"/>
    <w:rsid w:val="31FD148B"/>
    <w:rsid w:val="31FD161E"/>
    <w:rsid w:val="3207249C"/>
    <w:rsid w:val="32096215"/>
    <w:rsid w:val="3216448E"/>
    <w:rsid w:val="32192DA0"/>
    <w:rsid w:val="321F2339"/>
    <w:rsid w:val="3220383C"/>
    <w:rsid w:val="32205719"/>
    <w:rsid w:val="32294F76"/>
    <w:rsid w:val="324234D5"/>
    <w:rsid w:val="32537490"/>
    <w:rsid w:val="32735D0B"/>
    <w:rsid w:val="32756AED"/>
    <w:rsid w:val="327A02A2"/>
    <w:rsid w:val="32847020"/>
    <w:rsid w:val="328C128E"/>
    <w:rsid w:val="32960DA6"/>
    <w:rsid w:val="32B06690"/>
    <w:rsid w:val="32B67A1F"/>
    <w:rsid w:val="32B866EB"/>
    <w:rsid w:val="32C20171"/>
    <w:rsid w:val="32C9428A"/>
    <w:rsid w:val="32E80BDD"/>
    <w:rsid w:val="32ED5A55"/>
    <w:rsid w:val="32F04C70"/>
    <w:rsid w:val="32FA5B5D"/>
    <w:rsid w:val="32FB444D"/>
    <w:rsid w:val="330B7F60"/>
    <w:rsid w:val="3317670F"/>
    <w:rsid w:val="331D7A9E"/>
    <w:rsid w:val="33222E5D"/>
    <w:rsid w:val="333C7F24"/>
    <w:rsid w:val="334E52E0"/>
    <w:rsid w:val="3351443E"/>
    <w:rsid w:val="33535528"/>
    <w:rsid w:val="33681E65"/>
    <w:rsid w:val="33775400"/>
    <w:rsid w:val="337B4EF0"/>
    <w:rsid w:val="337D37B5"/>
    <w:rsid w:val="337E7D84"/>
    <w:rsid w:val="33811DDB"/>
    <w:rsid w:val="338A5133"/>
    <w:rsid w:val="338C5F2B"/>
    <w:rsid w:val="3392223A"/>
    <w:rsid w:val="33D36C88"/>
    <w:rsid w:val="33D77605"/>
    <w:rsid w:val="33D83786"/>
    <w:rsid w:val="33ED289E"/>
    <w:rsid w:val="33F367A4"/>
    <w:rsid w:val="33F46B2D"/>
    <w:rsid w:val="33F86EBE"/>
    <w:rsid w:val="34064A4B"/>
    <w:rsid w:val="340C0F9D"/>
    <w:rsid w:val="34245A91"/>
    <w:rsid w:val="343155AF"/>
    <w:rsid w:val="3434509F"/>
    <w:rsid w:val="34371472"/>
    <w:rsid w:val="34372032"/>
    <w:rsid w:val="343F0A0B"/>
    <w:rsid w:val="34417ED9"/>
    <w:rsid w:val="34441786"/>
    <w:rsid w:val="34496D9C"/>
    <w:rsid w:val="345D2848"/>
    <w:rsid w:val="3474193F"/>
    <w:rsid w:val="348854D5"/>
    <w:rsid w:val="348953EB"/>
    <w:rsid w:val="349602B9"/>
    <w:rsid w:val="34963664"/>
    <w:rsid w:val="349813B2"/>
    <w:rsid w:val="349A2451"/>
    <w:rsid w:val="349E1E18"/>
    <w:rsid w:val="34AB35B3"/>
    <w:rsid w:val="34AE6BFF"/>
    <w:rsid w:val="34C06223"/>
    <w:rsid w:val="34C40D15"/>
    <w:rsid w:val="34DA759E"/>
    <w:rsid w:val="3509652C"/>
    <w:rsid w:val="352A7547"/>
    <w:rsid w:val="354E03E2"/>
    <w:rsid w:val="35553883"/>
    <w:rsid w:val="35555DA0"/>
    <w:rsid w:val="35585865"/>
    <w:rsid w:val="355D6A34"/>
    <w:rsid w:val="355F7839"/>
    <w:rsid w:val="35697320"/>
    <w:rsid w:val="356B689E"/>
    <w:rsid w:val="35776378"/>
    <w:rsid w:val="35781820"/>
    <w:rsid w:val="358463F8"/>
    <w:rsid w:val="358D0490"/>
    <w:rsid w:val="358F4C83"/>
    <w:rsid w:val="35917C0B"/>
    <w:rsid w:val="359F479A"/>
    <w:rsid w:val="35AA386B"/>
    <w:rsid w:val="35AB2FB9"/>
    <w:rsid w:val="35CA5862"/>
    <w:rsid w:val="35CA5CBB"/>
    <w:rsid w:val="35CC58DC"/>
    <w:rsid w:val="35D06CB9"/>
    <w:rsid w:val="35D07CD5"/>
    <w:rsid w:val="35E127F3"/>
    <w:rsid w:val="35E30B2B"/>
    <w:rsid w:val="35FD201D"/>
    <w:rsid w:val="3612225A"/>
    <w:rsid w:val="361E7DB5"/>
    <w:rsid w:val="361F77A5"/>
    <w:rsid w:val="362107C4"/>
    <w:rsid w:val="3629686E"/>
    <w:rsid w:val="362B7EB7"/>
    <w:rsid w:val="36314ACE"/>
    <w:rsid w:val="363B1CF4"/>
    <w:rsid w:val="364A2958"/>
    <w:rsid w:val="364C52F8"/>
    <w:rsid w:val="3650615D"/>
    <w:rsid w:val="36525ECA"/>
    <w:rsid w:val="365262A7"/>
    <w:rsid w:val="36590DED"/>
    <w:rsid w:val="365B6030"/>
    <w:rsid w:val="3660393B"/>
    <w:rsid w:val="366559E4"/>
    <w:rsid w:val="366E4712"/>
    <w:rsid w:val="3673599E"/>
    <w:rsid w:val="3676374D"/>
    <w:rsid w:val="36773296"/>
    <w:rsid w:val="368220F2"/>
    <w:rsid w:val="36894F05"/>
    <w:rsid w:val="36897924"/>
    <w:rsid w:val="368C7FAF"/>
    <w:rsid w:val="369011EB"/>
    <w:rsid w:val="36907BF8"/>
    <w:rsid w:val="369462C9"/>
    <w:rsid w:val="36A101AE"/>
    <w:rsid w:val="36A422C5"/>
    <w:rsid w:val="36A52284"/>
    <w:rsid w:val="36AA33F6"/>
    <w:rsid w:val="36AC2EC9"/>
    <w:rsid w:val="36B863D5"/>
    <w:rsid w:val="36BB5604"/>
    <w:rsid w:val="36D111CC"/>
    <w:rsid w:val="36D91034"/>
    <w:rsid w:val="36DA1F9A"/>
    <w:rsid w:val="36E62819"/>
    <w:rsid w:val="36E837A2"/>
    <w:rsid w:val="36E94C81"/>
    <w:rsid w:val="36F45261"/>
    <w:rsid w:val="36FA437E"/>
    <w:rsid w:val="36FD79CA"/>
    <w:rsid w:val="3709636F"/>
    <w:rsid w:val="370A20E7"/>
    <w:rsid w:val="370B2DE6"/>
    <w:rsid w:val="370D1A83"/>
    <w:rsid w:val="37117919"/>
    <w:rsid w:val="371C7F9E"/>
    <w:rsid w:val="371D489F"/>
    <w:rsid w:val="372061CC"/>
    <w:rsid w:val="372A3E14"/>
    <w:rsid w:val="373B4B0B"/>
    <w:rsid w:val="373B6744"/>
    <w:rsid w:val="37401E7C"/>
    <w:rsid w:val="3744677F"/>
    <w:rsid w:val="374C0952"/>
    <w:rsid w:val="374E5E20"/>
    <w:rsid w:val="374F6981"/>
    <w:rsid w:val="37543CF6"/>
    <w:rsid w:val="37553D3C"/>
    <w:rsid w:val="37624BE8"/>
    <w:rsid w:val="37661A13"/>
    <w:rsid w:val="37745E5D"/>
    <w:rsid w:val="378944E2"/>
    <w:rsid w:val="378E1ECC"/>
    <w:rsid w:val="378E2D18"/>
    <w:rsid w:val="37A115EB"/>
    <w:rsid w:val="37C56D30"/>
    <w:rsid w:val="37C8622A"/>
    <w:rsid w:val="37D55406"/>
    <w:rsid w:val="37DB3DC4"/>
    <w:rsid w:val="37DE137B"/>
    <w:rsid w:val="38044D88"/>
    <w:rsid w:val="38091B5B"/>
    <w:rsid w:val="382526BC"/>
    <w:rsid w:val="382D0783"/>
    <w:rsid w:val="3837515E"/>
    <w:rsid w:val="383A26CD"/>
    <w:rsid w:val="38434BA9"/>
    <w:rsid w:val="384715D5"/>
    <w:rsid w:val="384C0889"/>
    <w:rsid w:val="384E0961"/>
    <w:rsid w:val="384F457A"/>
    <w:rsid w:val="3858499D"/>
    <w:rsid w:val="3864713B"/>
    <w:rsid w:val="386615D1"/>
    <w:rsid w:val="386D6DD1"/>
    <w:rsid w:val="38704C80"/>
    <w:rsid w:val="38A57FFE"/>
    <w:rsid w:val="38AA3B82"/>
    <w:rsid w:val="38AC78FA"/>
    <w:rsid w:val="38AF1198"/>
    <w:rsid w:val="38B63734"/>
    <w:rsid w:val="38B86C6E"/>
    <w:rsid w:val="38DB1F8D"/>
    <w:rsid w:val="38DD3F57"/>
    <w:rsid w:val="38DE382B"/>
    <w:rsid w:val="38F65019"/>
    <w:rsid w:val="38F66BD4"/>
    <w:rsid w:val="38F82B3F"/>
    <w:rsid w:val="39030A9D"/>
    <w:rsid w:val="39227BBC"/>
    <w:rsid w:val="392576AC"/>
    <w:rsid w:val="39292CF8"/>
    <w:rsid w:val="393A3157"/>
    <w:rsid w:val="394215D2"/>
    <w:rsid w:val="394E4794"/>
    <w:rsid w:val="39573C25"/>
    <w:rsid w:val="395835DE"/>
    <w:rsid w:val="395A55A8"/>
    <w:rsid w:val="39610843"/>
    <w:rsid w:val="39612E5F"/>
    <w:rsid w:val="39615ED1"/>
    <w:rsid w:val="39763A64"/>
    <w:rsid w:val="397A2FB3"/>
    <w:rsid w:val="397F7046"/>
    <w:rsid w:val="39921A14"/>
    <w:rsid w:val="399463DE"/>
    <w:rsid w:val="39A44A75"/>
    <w:rsid w:val="39A84565"/>
    <w:rsid w:val="39AE6531"/>
    <w:rsid w:val="39BD13B3"/>
    <w:rsid w:val="39BF25DA"/>
    <w:rsid w:val="39C24EFB"/>
    <w:rsid w:val="39E62997"/>
    <w:rsid w:val="39E92488"/>
    <w:rsid w:val="39F41589"/>
    <w:rsid w:val="39FC5ECC"/>
    <w:rsid w:val="39FE6141"/>
    <w:rsid w:val="3A0A0D7C"/>
    <w:rsid w:val="3A2D366D"/>
    <w:rsid w:val="3A3233E1"/>
    <w:rsid w:val="3A330458"/>
    <w:rsid w:val="3A3B5CB6"/>
    <w:rsid w:val="3A3C6A5B"/>
    <w:rsid w:val="3A400DF9"/>
    <w:rsid w:val="3A5539DA"/>
    <w:rsid w:val="3A593A6E"/>
    <w:rsid w:val="3A5E6A0F"/>
    <w:rsid w:val="3A6C5593"/>
    <w:rsid w:val="3A712027"/>
    <w:rsid w:val="3A7D01A4"/>
    <w:rsid w:val="3A7D77A0"/>
    <w:rsid w:val="3A7F4A4C"/>
    <w:rsid w:val="3A8E6FB6"/>
    <w:rsid w:val="3AA37E66"/>
    <w:rsid w:val="3AB26D1E"/>
    <w:rsid w:val="3AB74334"/>
    <w:rsid w:val="3AB86991"/>
    <w:rsid w:val="3ABA57EE"/>
    <w:rsid w:val="3AC468CE"/>
    <w:rsid w:val="3AC64B87"/>
    <w:rsid w:val="3AD76784"/>
    <w:rsid w:val="3AD82C28"/>
    <w:rsid w:val="3AEC0380"/>
    <w:rsid w:val="3B22040C"/>
    <w:rsid w:val="3B3378A9"/>
    <w:rsid w:val="3B432FC7"/>
    <w:rsid w:val="3B4419E7"/>
    <w:rsid w:val="3B46014E"/>
    <w:rsid w:val="3B472019"/>
    <w:rsid w:val="3B4C6B7D"/>
    <w:rsid w:val="3B4F4DBB"/>
    <w:rsid w:val="3B613937"/>
    <w:rsid w:val="3B661784"/>
    <w:rsid w:val="3B693836"/>
    <w:rsid w:val="3B6F6DC0"/>
    <w:rsid w:val="3B774D5F"/>
    <w:rsid w:val="3B781620"/>
    <w:rsid w:val="3B9528C7"/>
    <w:rsid w:val="3BA41025"/>
    <w:rsid w:val="3BA424F2"/>
    <w:rsid w:val="3BA555E0"/>
    <w:rsid w:val="3BB94821"/>
    <w:rsid w:val="3BC57EFE"/>
    <w:rsid w:val="3C104401"/>
    <w:rsid w:val="3C153D72"/>
    <w:rsid w:val="3C1D7C7E"/>
    <w:rsid w:val="3C21415B"/>
    <w:rsid w:val="3C351F26"/>
    <w:rsid w:val="3C4378D6"/>
    <w:rsid w:val="3C4A1903"/>
    <w:rsid w:val="3C5067EE"/>
    <w:rsid w:val="3C853F78"/>
    <w:rsid w:val="3C950F0C"/>
    <w:rsid w:val="3C9B277D"/>
    <w:rsid w:val="3CAA4150"/>
    <w:rsid w:val="3CBC20D5"/>
    <w:rsid w:val="3CBD7F35"/>
    <w:rsid w:val="3CC316B6"/>
    <w:rsid w:val="3CC853C7"/>
    <w:rsid w:val="3CC97ABC"/>
    <w:rsid w:val="3CD23667"/>
    <w:rsid w:val="3CD76F0F"/>
    <w:rsid w:val="3CDA0E88"/>
    <w:rsid w:val="3CE377FC"/>
    <w:rsid w:val="3CE753A4"/>
    <w:rsid w:val="3CEC29BB"/>
    <w:rsid w:val="3D013BF8"/>
    <w:rsid w:val="3D0719EB"/>
    <w:rsid w:val="3D254CC9"/>
    <w:rsid w:val="3D393C2B"/>
    <w:rsid w:val="3D532A3A"/>
    <w:rsid w:val="3D567E34"/>
    <w:rsid w:val="3D625F6D"/>
    <w:rsid w:val="3D6F1615"/>
    <w:rsid w:val="3D7A6218"/>
    <w:rsid w:val="3D913562"/>
    <w:rsid w:val="3D9D1F07"/>
    <w:rsid w:val="3DCE0312"/>
    <w:rsid w:val="3DCE5248"/>
    <w:rsid w:val="3DD43653"/>
    <w:rsid w:val="3DD516A1"/>
    <w:rsid w:val="3DD671C7"/>
    <w:rsid w:val="3DE2791A"/>
    <w:rsid w:val="3DE63595"/>
    <w:rsid w:val="3DE7232C"/>
    <w:rsid w:val="3DEE4511"/>
    <w:rsid w:val="3DEF62F6"/>
    <w:rsid w:val="3DF60D35"/>
    <w:rsid w:val="3E18333B"/>
    <w:rsid w:val="3E262B97"/>
    <w:rsid w:val="3E2F1D5D"/>
    <w:rsid w:val="3E554590"/>
    <w:rsid w:val="3E55633E"/>
    <w:rsid w:val="3E674545"/>
    <w:rsid w:val="3E6B35D7"/>
    <w:rsid w:val="3E8F5093"/>
    <w:rsid w:val="3E90381A"/>
    <w:rsid w:val="3E9230EE"/>
    <w:rsid w:val="3E93652A"/>
    <w:rsid w:val="3E9A6446"/>
    <w:rsid w:val="3EAE228C"/>
    <w:rsid w:val="3EB72E05"/>
    <w:rsid w:val="3EC9271D"/>
    <w:rsid w:val="3ECB003C"/>
    <w:rsid w:val="3ED74FA5"/>
    <w:rsid w:val="3EDF0064"/>
    <w:rsid w:val="3EE03309"/>
    <w:rsid w:val="3EE939CC"/>
    <w:rsid w:val="3EEB1561"/>
    <w:rsid w:val="3F040334"/>
    <w:rsid w:val="3F077531"/>
    <w:rsid w:val="3F0F28F0"/>
    <w:rsid w:val="3F152A8D"/>
    <w:rsid w:val="3F153163"/>
    <w:rsid w:val="3F245CCC"/>
    <w:rsid w:val="3F255D10"/>
    <w:rsid w:val="3F3B6510"/>
    <w:rsid w:val="3F3E5024"/>
    <w:rsid w:val="3F491285"/>
    <w:rsid w:val="3F4E5AAA"/>
    <w:rsid w:val="3F5D2347"/>
    <w:rsid w:val="3F682D95"/>
    <w:rsid w:val="3F6B1DB6"/>
    <w:rsid w:val="3F6C2CBD"/>
    <w:rsid w:val="3F744EE9"/>
    <w:rsid w:val="3F7647BE"/>
    <w:rsid w:val="3F870779"/>
    <w:rsid w:val="3F8803AC"/>
    <w:rsid w:val="3F8F3BED"/>
    <w:rsid w:val="3F9470DC"/>
    <w:rsid w:val="3F9B06C8"/>
    <w:rsid w:val="3FA92AF9"/>
    <w:rsid w:val="3FB31002"/>
    <w:rsid w:val="3FB776F5"/>
    <w:rsid w:val="3FB84DD6"/>
    <w:rsid w:val="3FBA0B4E"/>
    <w:rsid w:val="3FC97621"/>
    <w:rsid w:val="3FCE11F8"/>
    <w:rsid w:val="3FFF2A05"/>
    <w:rsid w:val="40073ABE"/>
    <w:rsid w:val="400C5E08"/>
    <w:rsid w:val="401C35BF"/>
    <w:rsid w:val="401E3DBF"/>
    <w:rsid w:val="4024245C"/>
    <w:rsid w:val="40300E10"/>
    <w:rsid w:val="4033445D"/>
    <w:rsid w:val="40395012"/>
    <w:rsid w:val="403A1C8F"/>
    <w:rsid w:val="40447665"/>
    <w:rsid w:val="404B2A10"/>
    <w:rsid w:val="40503261"/>
    <w:rsid w:val="40692574"/>
    <w:rsid w:val="40727025"/>
    <w:rsid w:val="407A02DD"/>
    <w:rsid w:val="407C5BDD"/>
    <w:rsid w:val="407E0A89"/>
    <w:rsid w:val="40874705"/>
    <w:rsid w:val="408D1DBF"/>
    <w:rsid w:val="40907423"/>
    <w:rsid w:val="40932528"/>
    <w:rsid w:val="409B1C1F"/>
    <w:rsid w:val="409E04DF"/>
    <w:rsid w:val="40A71F44"/>
    <w:rsid w:val="40AD499E"/>
    <w:rsid w:val="40B72151"/>
    <w:rsid w:val="40D51E6A"/>
    <w:rsid w:val="40DD1BDA"/>
    <w:rsid w:val="40E04B80"/>
    <w:rsid w:val="40E545A2"/>
    <w:rsid w:val="40EB11DB"/>
    <w:rsid w:val="40EC3FE5"/>
    <w:rsid w:val="41083B3B"/>
    <w:rsid w:val="410A78B3"/>
    <w:rsid w:val="410D73A4"/>
    <w:rsid w:val="413D5D59"/>
    <w:rsid w:val="414D154E"/>
    <w:rsid w:val="415C5E61"/>
    <w:rsid w:val="416A00AE"/>
    <w:rsid w:val="41842591"/>
    <w:rsid w:val="41886A2A"/>
    <w:rsid w:val="41A27AEC"/>
    <w:rsid w:val="41A92B45"/>
    <w:rsid w:val="41C348F1"/>
    <w:rsid w:val="41CE317A"/>
    <w:rsid w:val="41D6025E"/>
    <w:rsid w:val="41E12575"/>
    <w:rsid w:val="41EA061B"/>
    <w:rsid w:val="42010326"/>
    <w:rsid w:val="42032F43"/>
    <w:rsid w:val="421950A8"/>
    <w:rsid w:val="422E75D1"/>
    <w:rsid w:val="42334FA6"/>
    <w:rsid w:val="423952E6"/>
    <w:rsid w:val="423C5478"/>
    <w:rsid w:val="4246491B"/>
    <w:rsid w:val="42701998"/>
    <w:rsid w:val="427226EA"/>
    <w:rsid w:val="427A2817"/>
    <w:rsid w:val="42832284"/>
    <w:rsid w:val="428D254A"/>
    <w:rsid w:val="4291080A"/>
    <w:rsid w:val="429A6724"/>
    <w:rsid w:val="429D3B32"/>
    <w:rsid w:val="42B62C93"/>
    <w:rsid w:val="42C438EF"/>
    <w:rsid w:val="42C83C1B"/>
    <w:rsid w:val="42D32903"/>
    <w:rsid w:val="42D45D72"/>
    <w:rsid w:val="42D70CA3"/>
    <w:rsid w:val="42D86FE8"/>
    <w:rsid w:val="42E11425"/>
    <w:rsid w:val="42E338B7"/>
    <w:rsid w:val="42E44134"/>
    <w:rsid w:val="42E4413B"/>
    <w:rsid w:val="42ED4847"/>
    <w:rsid w:val="42FE0D52"/>
    <w:rsid w:val="43025C75"/>
    <w:rsid w:val="433E3844"/>
    <w:rsid w:val="43471B93"/>
    <w:rsid w:val="434804DE"/>
    <w:rsid w:val="43571519"/>
    <w:rsid w:val="43571FCE"/>
    <w:rsid w:val="435738CC"/>
    <w:rsid w:val="4369630B"/>
    <w:rsid w:val="43793934"/>
    <w:rsid w:val="43923B90"/>
    <w:rsid w:val="43B34232"/>
    <w:rsid w:val="43C53F65"/>
    <w:rsid w:val="43C917F6"/>
    <w:rsid w:val="43CB4BD1"/>
    <w:rsid w:val="43DF62A7"/>
    <w:rsid w:val="43F73771"/>
    <w:rsid w:val="440E6E4B"/>
    <w:rsid w:val="44294F26"/>
    <w:rsid w:val="44314417"/>
    <w:rsid w:val="443609BF"/>
    <w:rsid w:val="443F1622"/>
    <w:rsid w:val="44420486"/>
    <w:rsid w:val="4453599E"/>
    <w:rsid w:val="446B68BB"/>
    <w:rsid w:val="446F04C1"/>
    <w:rsid w:val="447913F5"/>
    <w:rsid w:val="44893BAC"/>
    <w:rsid w:val="44896D41"/>
    <w:rsid w:val="449E0DD3"/>
    <w:rsid w:val="44A04587"/>
    <w:rsid w:val="44A122DD"/>
    <w:rsid w:val="44A96492"/>
    <w:rsid w:val="44AB315B"/>
    <w:rsid w:val="44B65387"/>
    <w:rsid w:val="44BB7383"/>
    <w:rsid w:val="44C32813"/>
    <w:rsid w:val="44C9538F"/>
    <w:rsid w:val="44D44F5B"/>
    <w:rsid w:val="44DE2A7B"/>
    <w:rsid w:val="44E126D9"/>
    <w:rsid w:val="44F71EFD"/>
    <w:rsid w:val="44FD4C93"/>
    <w:rsid w:val="45050119"/>
    <w:rsid w:val="45091446"/>
    <w:rsid w:val="451A51A3"/>
    <w:rsid w:val="452607A6"/>
    <w:rsid w:val="452B604A"/>
    <w:rsid w:val="45383EA0"/>
    <w:rsid w:val="4548207E"/>
    <w:rsid w:val="45531E2B"/>
    <w:rsid w:val="45633A36"/>
    <w:rsid w:val="456A4DC4"/>
    <w:rsid w:val="456D36DB"/>
    <w:rsid w:val="45835BC7"/>
    <w:rsid w:val="45860B7F"/>
    <w:rsid w:val="4588524B"/>
    <w:rsid w:val="45954AD7"/>
    <w:rsid w:val="459837A0"/>
    <w:rsid w:val="45991206"/>
    <w:rsid w:val="459B56C8"/>
    <w:rsid w:val="45A46D85"/>
    <w:rsid w:val="45BB491C"/>
    <w:rsid w:val="45BE5F15"/>
    <w:rsid w:val="45C87FCF"/>
    <w:rsid w:val="45CB55F1"/>
    <w:rsid w:val="45CE1495"/>
    <w:rsid w:val="45D1124A"/>
    <w:rsid w:val="45E701C3"/>
    <w:rsid w:val="45EA63FA"/>
    <w:rsid w:val="45F70E3F"/>
    <w:rsid w:val="460348D1"/>
    <w:rsid w:val="46080312"/>
    <w:rsid w:val="460F3276"/>
    <w:rsid w:val="46162008"/>
    <w:rsid w:val="46191F15"/>
    <w:rsid w:val="467F664E"/>
    <w:rsid w:val="468A34A9"/>
    <w:rsid w:val="469F284C"/>
    <w:rsid w:val="46A43561"/>
    <w:rsid w:val="46B75F04"/>
    <w:rsid w:val="46D5626E"/>
    <w:rsid w:val="46F030A7"/>
    <w:rsid w:val="46F23FFE"/>
    <w:rsid w:val="470D22B7"/>
    <w:rsid w:val="47367E54"/>
    <w:rsid w:val="475A6718"/>
    <w:rsid w:val="47615D53"/>
    <w:rsid w:val="476870E2"/>
    <w:rsid w:val="47694C08"/>
    <w:rsid w:val="477C0DDF"/>
    <w:rsid w:val="47903715"/>
    <w:rsid w:val="47B15F93"/>
    <w:rsid w:val="47B24801"/>
    <w:rsid w:val="47B75973"/>
    <w:rsid w:val="47B77C55"/>
    <w:rsid w:val="47BC0824"/>
    <w:rsid w:val="47BC2AC1"/>
    <w:rsid w:val="47C307BC"/>
    <w:rsid w:val="47C84024"/>
    <w:rsid w:val="47D46525"/>
    <w:rsid w:val="47DB2AA1"/>
    <w:rsid w:val="47E445B5"/>
    <w:rsid w:val="47E90E0C"/>
    <w:rsid w:val="47F40975"/>
    <w:rsid w:val="480C3F11"/>
    <w:rsid w:val="48112826"/>
    <w:rsid w:val="48157707"/>
    <w:rsid w:val="481A3D02"/>
    <w:rsid w:val="481C49F5"/>
    <w:rsid w:val="482A32FF"/>
    <w:rsid w:val="483774A6"/>
    <w:rsid w:val="48522605"/>
    <w:rsid w:val="485D476D"/>
    <w:rsid w:val="486716D5"/>
    <w:rsid w:val="4876698E"/>
    <w:rsid w:val="48821C61"/>
    <w:rsid w:val="489C400F"/>
    <w:rsid w:val="489D725F"/>
    <w:rsid w:val="48A45049"/>
    <w:rsid w:val="48B926CF"/>
    <w:rsid w:val="48C12F4D"/>
    <w:rsid w:val="48C92504"/>
    <w:rsid w:val="48CA685C"/>
    <w:rsid w:val="48D965B9"/>
    <w:rsid w:val="48DD3AD8"/>
    <w:rsid w:val="48DE4524"/>
    <w:rsid w:val="48DE452C"/>
    <w:rsid w:val="48DF10B0"/>
    <w:rsid w:val="48F87DD4"/>
    <w:rsid w:val="49033733"/>
    <w:rsid w:val="491805EB"/>
    <w:rsid w:val="491D3EFC"/>
    <w:rsid w:val="491E7CEF"/>
    <w:rsid w:val="49282FCC"/>
    <w:rsid w:val="494B0845"/>
    <w:rsid w:val="495913D8"/>
    <w:rsid w:val="495B7301"/>
    <w:rsid w:val="49787384"/>
    <w:rsid w:val="497E3239"/>
    <w:rsid w:val="497F0713"/>
    <w:rsid w:val="49922675"/>
    <w:rsid w:val="499B6289"/>
    <w:rsid w:val="499E1B8B"/>
    <w:rsid w:val="49A40179"/>
    <w:rsid w:val="49A77509"/>
    <w:rsid w:val="49AD243B"/>
    <w:rsid w:val="49BB5BEF"/>
    <w:rsid w:val="49BD4449"/>
    <w:rsid w:val="49C34AA3"/>
    <w:rsid w:val="49C60923"/>
    <w:rsid w:val="4A0F756E"/>
    <w:rsid w:val="4A227A1C"/>
    <w:rsid w:val="4A2922EE"/>
    <w:rsid w:val="4A3F020E"/>
    <w:rsid w:val="4A412321"/>
    <w:rsid w:val="4A6C0C97"/>
    <w:rsid w:val="4A6F5702"/>
    <w:rsid w:val="4A7E67E2"/>
    <w:rsid w:val="4A8D74E5"/>
    <w:rsid w:val="4A8E09AD"/>
    <w:rsid w:val="4A973D1C"/>
    <w:rsid w:val="4A9D3546"/>
    <w:rsid w:val="4AA743C5"/>
    <w:rsid w:val="4AAC1761"/>
    <w:rsid w:val="4ABC5518"/>
    <w:rsid w:val="4ABE12AD"/>
    <w:rsid w:val="4AD4683C"/>
    <w:rsid w:val="4AF3638E"/>
    <w:rsid w:val="4B1732F9"/>
    <w:rsid w:val="4B1F3F5B"/>
    <w:rsid w:val="4B443D36"/>
    <w:rsid w:val="4B4820C4"/>
    <w:rsid w:val="4B4B2FA2"/>
    <w:rsid w:val="4B5D4A84"/>
    <w:rsid w:val="4B621CB2"/>
    <w:rsid w:val="4B6250C0"/>
    <w:rsid w:val="4B681E88"/>
    <w:rsid w:val="4B707BE9"/>
    <w:rsid w:val="4B716315"/>
    <w:rsid w:val="4B7750CC"/>
    <w:rsid w:val="4B967F9F"/>
    <w:rsid w:val="4B9D5F87"/>
    <w:rsid w:val="4BA3565D"/>
    <w:rsid w:val="4BA973EB"/>
    <w:rsid w:val="4BAC3563"/>
    <w:rsid w:val="4BAE6B09"/>
    <w:rsid w:val="4BAF1783"/>
    <w:rsid w:val="4BB1654A"/>
    <w:rsid w:val="4BC3138F"/>
    <w:rsid w:val="4BC92119"/>
    <w:rsid w:val="4BCD6750"/>
    <w:rsid w:val="4BD56D10"/>
    <w:rsid w:val="4BD9592A"/>
    <w:rsid w:val="4BEC7B31"/>
    <w:rsid w:val="4BED29FE"/>
    <w:rsid w:val="4BF25596"/>
    <w:rsid w:val="4BF27B4F"/>
    <w:rsid w:val="4BF56462"/>
    <w:rsid w:val="4BFE004E"/>
    <w:rsid w:val="4C0767FA"/>
    <w:rsid w:val="4C16799F"/>
    <w:rsid w:val="4C1C2EBC"/>
    <w:rsid w:val="4C256FBE"/>
    <w:rsid w:val="4C263231"/>
    <w:rsid w:val="4C2A708C"/>
    <w:rsid w:val="4C2B6614"/>
    <w:rsid w:val="4C431ECB"/>
    <w:rsid w:val="4C4607BC"/>
    <w:rsid w:val="4C4D299F"/>
    <w:rsid w:val="4C5B4296"/>
    <w:rsid w:val="4C675BBA"/>
    <w:rsid w:val="4C7654AF"/>
    <w:rsid w:val="4C806C7C"/>
    <w:rsid w:val="4C891FD4"/>
    <w:rsid w:val="4C936572"/>
    <w:rsid w:val="4C96024D"/>
    <w:rsid w:val="4C991033"/>
    <w:rsid w:val="4C9B3940"/>
    <w:rsid w:val="4CAB641A"/>
    <w:rsid w:val="4CD26EC1"/>
    <w:rsid w:val="4CD549C5"/>
    <w:rsid w:val="4CD86AB8"/>
    <w:rsid w:val="4CD9638C"/>
    <w:rsid w:val="4CE0596C"/>
    <w:rsid w:val="4CE47E68"/>
    <w:rsid w:val="4CEA1CD4"/>
    <w:rsid w:val="4CFA7A29"/>
    <w:rsid w:val="4D046BB8"/>
    <w:rsid w:val="4D110D37"/>
    <w:rsid w:val="4D1641BB"/>
    <w:rsid w:val="4D1E6D87"/>
    <w:rsid w:val="4D201717"/>
    <w:rsid w:val="4D245859"/>
    <w:rsid w:val="4D2E4D99"/>
    <w:rsid w:val="4D3A67DA"/>
    <w:rsid w:val="4D565C2E"/>
    <w:rsid w:val="4D5E399C"/>
    <w:rsid w:val="4D720B9D"/>
    <w:rsid w:val="4D721A8D"/>
    <w:rsid w:val="4D7220BC"/>
    <w:rsid w:val="4D784790"/>
    <w:rsid w:val="4D7E765F"/>
    <w:rsid w:val="4D8D5BCF"/>
    <w:rsid w:val="4D922EE6"/>
    <w:rsid w:val="4DA86A09"/>
    <w:rsid w:val="4DAC477B"/>
    <w:rsid w:val="4DB738E9"/>
    <w:rsid w:val="4DC64B62"/>
    <w:rsid w:val="4DC8210A"/>
    <w:rsid w:val="4DEE01EB"/>
    <w:rsid w:val="4DFD580D"/>
    <w:rsid w:val="4E00243B"/>
    <w:rsid w:val="4E0566F8"/>
    <w:rsid w:val="4E0F5B14"/>
    <w:rsid w:val="4E19322E"/>
    <w:rsid w:val="4E1B26D6"/>
    <w:rsid w:val="4E1E04DF"/>
    <w:rsid w:val="4E2147CA"/>
    <w:rsid w:val="4E232F99"/>
    <w:rsid w:val="4E2631B4"/>
    <w:rsid w:val="4E2B37E4"/>
    <w:rsid w:val="4E5B24FF"/>
    <w:rsid w:val="4E735312"/>
    <w:rsid w:val="4E8011B5"/>
    <w:rsid w:val="4EA8070C"/>
    <w:rsid w:val="4EAE175E"/>
    <w:rsid w:val="4EC56BC8"/>
    <w:rsid w:val="4EC650FB"/>
    <w:rsid w:val="4ED805EA"/>
    <w:rsid w:val="4EE30613"/>
    <w:rsid w:val="4EE527CC"/>
    <w:rsid w:val="4EE70B97"/>
    <w:rsid w:val="4EE9093D"/>
    <w:rsid w:val="4EEA03AF"/>
    <w:rsid w:val="4EF33C09"/>
    <w:rsid w:val="4EF76DF7"/>
    <w:rsid w:val="4EFB766D"/>
    <w:rsid w:val="4EFC2A5E"/>
    <w:rsid w:val="4EFD090B"/>
    <w:rsid w:val="4F0C2A48"/>
    <w:rsid w:val="4F132029"/>
    <w:rsid w:val="4F1442F8"/>
    <w:rsid w:val="4F1E29C1"/>
    <w:rsid w:val="4F2844FE"/>
    <w:rsid w:val="4F385F2F"/>
    <w:rsid w:val="4F42290E"/>
    <w:rsid w:val="4F4A1C9F"/>
    <w:rsid w:val="4F5015D8"/>
    <w:rsid w:val="4F5C770C"/>
    <w:rsid w:val="4F6636D4"/>
    <w:rsid w:val="4F6665FD"/>
    <w:rsid w:val="4F683D5A"/>
    <w:rsid w:val="4F6B6FE4"/>
    <w:rsid w:val="4F781E8C"/>
    <w:rsid w:val="4F7A20A8"/>
    <w:rsid w:val="4F8933C5"/>
    <w:rsid w:val="4F927917"/>
    <w:rsid w:val="4FA02037"/>
    <w:rsid w:val="4FB01626"/>
    <w:rsid w:val="4FC82E13"/>
    <w:rsid w:val="4FC926E8"/>
    <w:rsid w:val="4FCB6790"/>
    <w:rsid w:val="4FD3176E"/>
    <w:rsid w:val="4FD55567"/>
    <w:rsid w:val="4FE05209"/>
    <w:rsid w:val="4FE319FB"/>
    <w:rsid w:val="4FE5334A"/>
    <w:rsid w:val="4FE73A6D"/>
    <w:rsid w:val="4FE84F8C"/>
    <w:rsid w:val="4FFC6F97"/>
    <w:rsid w:val="50056E77"/>
    <w:rsid w:val="50080605"/>
    <w:rsid w:val="50096F88"/>
    <w:rsid w:val="500C095A"/>
    <w:rsid w:val="501208AE"/>
    <w:rsid w:val="501E19F7"/>
    <w:rsid w:val="502D757B"/>
    <w:rsid w:val="50303F01"/>
    <w:rsid w:val="503A5393"/>
    <w:rsid w:val="503C735D"/>
    <w:rsid w:val="503D3A42"/>
    <w:rsid w:val="50426F02"/>
    <w:rsid w:val="50491828"/>
    <w:rsid w:val="505132CC"/>
    <w:rsid w:val="505718DF"/>
    <w:rsid w:val="50616E69"/>
    <w:rsid w:val="50863F0E"/>
    <w:rsid w:val="509912E2"/>
    <w:rsid w:val="50B25872"/>
    <w:rsid w:val="50B270B5"/>
    <w:rsid w:val="50B67B96"/>
    <w:rsid w:val="50BE4216"/>
    <w:rsid w:val="50C41998"/>
    <w:rsid w:val="50C51101"/>
    <w:rsid w:val="50C67994"/>
    <w:rsid w:val="50CC248F"/>
    <w:rsid w:val="50D21A70"/>
    <w:rsid w:val="50D5678D"/>
    <w:rsid w:val="50FA6AD3"/>
    <w:rsid w:val="5100482F"/>
    <w:rsid w:val="51087240"/>
    <w:rsid w:val="511B035E"/>
    <w:rsid w:val="511E372D"/>
    <w:rsid w:val="512A6770"/>
    <w:rsid w:val="512C52E6"/>
    <w:rsid w:val="51307E0B"/>
    <w:rsid w:val="514051B8"/>
    <w:rsid w:val="51450494"/>
    <w:rsid w:val="516D7E41"/>
    <w:rsid w:val="51705511"/>
    <w:rsid w:val="51791EEB"/>
    <w:rsid w:val="51BD4039"/>
    <w:rsid w:val="51CB6BEB"/>
    <w:rsid w:val="51D32259"/>
    <w:rsid w:val="51DD3C56"/>
    <w:rsid w:val="51E15B4E"/>
    <w:rsid w:val="51FD3ECE"/>
    <w:rsid w:val="522221EE"/>
    <w:rsid w:val="52245C34"/>
    <w:rsid w:val="52253D45"/>
    <w:rsid w:val="522D5360"/>
    <w:rsid w:val="52360E1A"/>
    <w:rsid w:val="523650FF"/>
    <w:rsid w:val="5245699D"/>
    <w:rsid w:val="5246001F"/>
    <w:rsid w:val="52461463"/>
    <w:rsid w:val="52485337"/>
    <w:rsid w:val="52530D64"/>
    <w:rsid w:val="525C3CE7"/>
    <w:rsid w:val="526037D7"/>
    <w:rsid w:val="52707792"/>
    <w:rsid w:val="528154FB"/>
    <w:rsid w:val="528A050C"/>
    <w:rsid w:val="52976990"/>
    <w:rsid w:val="529B7674"/>
    <w:rsid w:val="52A15B9E"/>
    <w:rsid w:val="52A80CDA"/>
    <w:rsid w:val="52A87720"/>
    <w:rsid w:val="52BC29D7"/>
    <w:rsid w:val="52BE04FE"/>
    <w:rsid w:val="52D65847"/>
    <w:rsid w:val="52D7336D"/>
    <w:rsid w:val="52DE635B"/>
    <w:rsid w:val="52FB7FE8"/>
    <w:rsid w:val="530028C4"/>
    <w:rsid w:val="5305612D"/>
    <w:rsid w:val="53063186"/>
    <w:rsid w:val="53081779"/>
    <w:rsid w:val="5311310C"/>
    <w:rsid w:val="53127408"/>
    <w:rsid w:val="531D3476"/>
    <w:rsid w:val="531F7B76"/>
    <w:rsid w:val="532B3CE9"/>
    <w:rsid w:val="532D2B30"/>
    <w:rsid w:val="535B7AFB"/>
    <w:rsid w:val="535F16C7"/>
    <w:rsid w:val="536178EB"/>
    <w:rsid w:val="53901E9A"/>
    <w:rsid w:val="539248BA"/>
    <w:rsid w:val="539F20DD"/>
    <w:rsid w:val="53A476F3"/>
    <w:rsid w:val="53A6520D"/>
    <w:rsid w:val="53AA50E8"/>
    <w:rsid w:val="53B9049F"/>
    <w:rsid w:val="53D004E8"/>
    <w:rsid w:val="53DD3509"/>
    <w:rsid w:val="54014B46"/>
    <w:rsid w:val="54071AEC"/>
    <w:rsid w:val="540B32CF"/>
    <w:rsid w:val="545311AD"/>
    <w:rsid w:val="5454111A"/>
    <w:rsid w:val="54606A92"/>
    <w:rsid w:val="5488491F"/>
    <w:rsid w:val="548E3438"/>
    <w:rsid w:val="549E72CA"/>
    <w:rsid w:val="54A9622D"/>
    <w:rsid w:val="54B376CF"/>
    <w:rsid w:val="54B43966"/>
    <w:rsid w:val="54B90FC5"/>
    <w:rsid w:val="54C53DC5"/>
    <w:rsid w:val="54D264E2"/>
    <w:rsid w:val="54D77E2D"/>
    <w:rsid w:val="54F86ECE"/>
    <w:rsid w:val="550F3292"/>
    <w:rsid w:val="552F56E3"/>
    <w:rsid w:val="556968FF"/>
    <w:rsid w:val="556D23A9"/>
    <w:rsid w:val="5572737D"/>
    <w:rsid w:val="557E5D22"/>
    <w:rsid w:val="558021AD"/>
    <w:rsid w:val="559317CE"/>
    <w:rsid w:val="55963658"/>
    <w:rsid w:val="5597330F"/>
    <w:rsid w:val="55985036"/>
    <w:rsid w:val="55BB5F66"/>
    <w:rsid w:val="55C4407D"/>
    <w:rsid w:val="55CE2C05"/>
    <w:rsid w:val="55DE3B8A"/>
    <w:rsid w:val="55EA33B8"/>
    <w:rsid w:val="55F9350A"/>
    <w:rsid w:val="56066443"/>
    <w:rsid w:val="560E70A6"/>
    <w:rsid w:val="56116B96"/>
    <w:rsid w:val="561F613F"/>
    <w:rsid w:val="56301712"/>
    <w:rsid w:val="563D7616"/>
    <w:rsid w:val="56521689"/>
    <w:rsid w:val="565233FB"/>
    <w:rsid w:val="565470EF"/>
    <w:rsid w:val="5656534A"/>
    <w:rsid w:val="56637082"/>
    <w:rsid w:val="56684D6E"/>
    <w:rsid w:val="566A1DA3"/>
    <w:rsid w:val="566E3FE9"/>
    <w:rsid w:val="56786C15"/>
    <w:rsid w:val="567C0691"/>
    <w:rsid w:val="56B57E6A"/>
    <w:rsid w:val="56B934B6"/>
    <w:rsid w:val="56D0067D"/>
    <w:rsid w:val="56D11873"/>
    <w:rsid w:val="56D250A8"/>
    <w:rsid w:val="56E0543B"/>
    <w:rsid w:val="56E36785"/>
    <w:rsid w:val="56E94058"/>
    <w:rsid w:val="56ED1D34"/>
    <w:rsid w:val="56EE70FD"/>
    <w:rsid w:val="570F757A"/>
    <w:rsid w:val="57201787"/>
    <w:rsid w:val="572349AF"/>
    <w:rsid w:val="57377B75"/>
    <w:rsid w:val="573F1776"/>
    <w:rsid w:val="574F3973"/>
    <w:rsid w:val="574F3E1A"/>
    <w:rsid w:val="57552849"/>
    <w:rsid w:val="5755570C"/>
    <w:rsid w:val="57607DD5"/>
    <w:rsid w:val="576757A8"/>
    <w:rsid w:val="57715B3F"/>
    <w:rsid w:val="577235FA"/>
    <w:rsid w:val="577311F5"/>
    <w:rsid w:val="57A31CD7"/>
    <w:rsid w:val="57A858DC"/>
    <w:rsid w:val="57A90EE1"/>
    <w:rsid w:val="57A90FDB"/>
    <w:rsid w:val="57B123DF"/>
    <w:rsid w:val="57B158A0"/>
    <w:rsid w:val="57C05671"/>
    <w:rsid w:val="57CB7F13"/>
    <w:rsid w:val="57DA7B88"/>
    <w:rsid w:val="57E16CC1"/>
    <w:rsid w:val="58485A95"/>
    <w:rsid w:val="5854505F"/>
    <w:rsid w:val="585676D7"/>
    <w:rsid w:val="585D6406"/>
    <w:rsid w:val="585E7D84"/>
    <w:rsid w:val="586C27AA"/>
    <w:rsid w:val="58743B71"/>
    <w:rsid w:val="588C4A82"/>
    <w:rsid w:val="588E0972"/>
    <w:rsid w:val="58A471A8"/>
    <w:rsid w:val="58A94CFA"/>
    <w:rsid w:val="58AB1524"/>
    <w:rsid w:val="58B41166"/>
    <w:rsid w:val="58B62DF4"/>
    <w:rsid w:val="58B64812"/>
    <w:rsid w:val="58E546F9"/>
    <w:rsid w:val="59162E41"/>
    <w:rsid w:val="591B7ABE"/>
    <w:rsid w:val="59253609"/>
    <w:rsid w:val="592F4C26"/>
    <w:rsid w:val="593502DC"/>
    <w:rsid w:val="593B76C2"/>
    <w:rsid w:val="59444857"/>
    <w:rsid w:val="59466BC2"/>
    <w:rsid w:val="59563BE9"/>
    <w:rsid w:val="595C281E"/>
    <w:rsid w:val="596166AB"/>
    <w:rsid w:val="59631A3E"/>
    <w:rsid w:val="59703FD1"/>
    <w:rsid w:val="597A0F09"/>
    <w:rsid w:val="59835EA1"/>
    <w:rsid w:val="59902652"/>
    <w:rsid w:val="5999137D"/>
    <w:rsid w:val="599B3347"/>
    <w:rsid w:val="59A17F23"/>
    <w:rsid w:val="59C26B25"/>
    <w:rsid w:val="59E15C5E"/>
    <w:rsid w:val="59EC4962"/>
    <w:rsid w:val="59EF184B"/>
    <w:rsid w:val="59F44805"/>
    <w:rsid w:val="5A1530F9"/>
    <w:rsid w:val="5A1D0200"/>
    <w:rsid w:val="5A1F5D26"/>
    <w:rsid w:val="5A251F53"/>
    <w:rsid w:val="5A4A06D1"/>
    <w:rsid w:val="5A4C4641"/>
    <w:rsid w:val="5A5F25C6"/>
    <w:rsid w:val="5A5F6ACF"/>
    <w:rsid w:val="5A675B61"/>
    <w:rsid w:val="5A7C1E79"/>
    <w:rsid w:val="5A81078E"/>
    <w:rsid w:val="5A8A4758"/>
    <w:rsid w:val="5A936400"/>
    <w:rsid w:val="5A9C55A3"/>
    <w:rsid w:val="5A9F56BB"/>
    <w:rsid w:val="5AB34064"/>
    <w:rsid w:val="5ABA0D76"/>
    <w:rsid w:val="5AC6704D"/>
    <w:rsid w:val="5AC76616"/>
    <w:rsid w:val="5ACC10CC"/>
    <w:rsid w:val="5AEB3E5A"/>
    <w:rsid w:val="5AF04755"/>
    <w:rsid w:val="5AF20424"/>
    <w:rsid w:val="5AF50835"/>
    <w:rsid w:val="5AF95A79"/>
    <w:rsid w:val="5B156B43"/>
    <w:rsid w:val="5B2F7D6F"/>
    <w:rsid w:val="5B590DC3"/>
    <w:rsid w:val="5B631C42"/>
    <w:rsid w:val="5B6E00E1"/>
    <w:rsid w:val="5B6F28B0"/>
    <w:rsid w:val="5B740A28"/>
    <w:rsid w:val="5B750EEC"/>
    <w:rsid w:val="5B7B1FE3"/>
    <w:rsid w:val="5B8D2B5D"/>
    <w:rsid w:val="5B905D58"/>
    <w:rsid w:val="5B9462A0"/>
    <w:rsid w:val="5BA45064"/>
    <w:rsid w:val="5BD72DBD"/>
    <w:rsid w:val="5BE2700B"/>
    <w:rsid w:val="5BE74621"/>
    <w:rsid w:val="5BEA2363"/>
    <w:rsid w:val="5BEF2E0C"/>
    <w:rsid w:val="5BF3746A"/>
    <w:rsid w:val="5BF61BDD"/>
    <w:rsid w:val="5BFE1BCC"/>
    <w:rsid w:val="5BFE2A26"/>
    <w:rsid w:val="5C014DFF"/>
    <w:rsid w:val="5C0C4088"/>
    <w:rsid w:val="5C1F71F5"/>
    <w:rsid w:val="5C30218F"/>
    <w:rsid w:val="5C345A31"/>
    <w:rsid w:val="5C3F5F6B"/>
    <w:rsid w:val="5C7051A6"/>
    <w:rsid w:val="5C734107"/>
    <w:rsid w:val="5C852EDB"/>
    <w:rsid w:val="5C8811A5"/>
    <w:rsid w:val="5C8D0B6E"/>
    <w:rsid w:val="5C9730C0"/>
    <w:rsid w:val="5CB0535B"/>
    <w:rsid w:val="5CC33EEE"/>
    <w:rsid w:val="5CC93A47"/>
    <w:rsid w:val="5CE81F53"/>
    <w:rsid w:val="5CFC1E1B"/>
    <w:rsid w:val="5D0526D3"/>
    <w:rsid w:val="5D052E31"/>
    <w:rsid w:val="5D0F466B"/>
    <w:rsid w:val="5D103348"/>
    <w:rsid w:val="5D292A17"/>
    <w:rsid w:val="5D2B343B"/>
    <w:rsid w:val="5D36112C"/>
    <w:rsid w:val="5D3B6928"/>
    <w:rsid w:val="5D423AD9"/>
    <w:rsid w:val="5D511E44"/>
    <w:rsid w:val="5D515FF9"/>
    <w:rsid w:val="5D524066"/>
    <w:rsid w:val="5D6972B8"/>
    <w:rsid w:val="5D712B9C"/>
    <w:rsid w:val="5D752101"/>
    <w:rsid w:val="5D866851"/>
    <w:rsid w:val="5D907DCD"/>
    <w:rsid w:val="5D9F1BEE"/>
    <w:rsid w:val="5DC16954"/>
    <w:rsid w:val="5DC435EC"/>
    <w:rsid w:val="5DCF35BF"/>
    <w:rsid w:val="5DCF713E"/>
    <w:rsid w:val="5DE1112B"/>
    <w:rsid w:val="5DE86A07"/>
    <w:rsid w:val="5DE95D23"/>
    <w:rsid w:val="5DF03535"/>
    <w:rsid w:val="5E0019CA"/>
    <w:rsid w:val="5E164AF7"/>
    <w:rsid w:val="5E1B62FD"/>
    <w:rsid w:val="5E2F325F"/>
    <w:rsid w:val="5E373936"/>
    <w:rsid w:val="5E4044BD"/>
    <w:rsid w:val="5E421FE3"/>
    <w:rsid w:val="5E545103"/>
    <w:rsid w:val="5E6C3504"/>
    <w:rsid w:val="5E6E1B79"/>
    <w:rsid w:val="5E897C12"/>
    <w:rsid w:val="5E8C45C4"/>
    <w:rsid w:val="5EB629D1"/>
    <w:rsid w:val="5EC53D06"/>
    <w:rsid w:val="5EC62C14"/>
    <w:rsid w:val="5ED10ED7"/>
    <w:rsid w:val="5ED24B49"/>
    <w:rsid w:val="5EE237C6"/>
    <w:rsid w:val="5EF62DCD"/>
    <w:rsid w:val="5F125E59"/>
    <w:rsid w:val="5F132131"/>
    <w:rsid w:val="5F1B6276"/>
    <w:rsid w:val="5F26219D"/>
    <w:rsid w:val="5F37703F"/>
    <w:rsid w:val="5F3A715E"/>
    <w:rsid w:val="5F577D10"/>
    <w:rsid w:val="5F58183D"/>
    <w:rsid w:val="5F63118D"/>
    <w:rsid w:val="5F673415"/>
    <w:rsid w:val="5F750926"/>
    <w:rsid w:val="5F7E34EF"/>
    <w:rsid w:val="5F7F1015"/>
    <w:rsid w:val="5F8A65D2"/>
    <w:rsid w:val="5F8B79B9"/>
    <w:rsid w:val="5F9E20C3"/>
    <w:rsid w:val="5FA26043"/>
    <w:rsid w:val="5FA266F3"/>
    <w:rsid w:val="5FB337F3"/>
    <w:rsid w:val="5FCC63D2"/>
    <w:rsid w:val="5FE1320D"/>
    <w:rsid w:val="5FE5622A"/>
    <w:rsid w:val="5FEA0B84"/>
    <w:rsid w:val="5FFD7474"/>
    <w:rsid w:val="60182CB2"/>
    <w:rsid w:val="601F07FF"/>
    <w:rsid w:val="602A31BC"/>
    <w:rsid w:val="60407720"/>
    <w:rsid w:val="60531D6C"/>
    <w:rsid w:val="606049A2"/>
    <w:rsid w:val="606103C9"/>
    <w:rsid w:val="606334AB"/>
    <w:rsid w:val="607156AF"/>
    <w:rsid w:val="6082700E"/>
    <w:rsid w:val="60856FB6"/>
    <w:rsid w:val="6094289E"/>
    <w:rsid w:val="6097009E"/>
    <w:rsid w:val="60A1250E"/>
    <w:rsid w:val="60AD3D26"/>
    <w:rsid w:val="60B1020B"/>
    <w:rsid w:val="60B62E5B"/>
    <w:rsid w:val="60C170FF"/>
    <w:rsid w:val="60C73D08"/>
    <w:rsid w:val="60C969EB"/>
    <w:rsid w:val="60D149FF"/>
    <w:rsid w:val="60EE7AB8"/>
    <w:rsid w:val="610726ED"/>
    <w:rsid w:val="611F0A9E"/>
    <w:rsid w:val="6129748A"/>
    <w:rsid w:val="614007DA"/>
    <w:rsid w:val="61493688"/>
    <w:rsid w:val="615A5895"/>
    <w:rsid w:val="615F612D"/>
    <w:rsid w:val="615F7EBF"/>
    <w:rsid w:val="616044A2"/>
    <w:rsid w:val="6180395C"/>
    <w:rsid w:val="61831D33"/>
    <w:rsid w:val="618714B9"/>
    <w:rsid w:val="61917F48"/>
    <w:rsid w:val="61950331"/>
    <w:rsid w:val="619701D0"/>
    <w:rsid w:val="619C6236"/>
    <w:rsid w:val="61A15272"/>
    <w:rsid w:val="61A744C9"/>
    <w:rsid w:val="61B35C23"/>
    <w:rsid w:val="61B96A60"/>
    <w:rsid w:val="61CB6793"/>
    <w:rsid w:val="61D30859"/>
    <w:rsid w:val="61D34DF3"/>
    <w:rsid w:val="61D45A86"/>
    <w:rsid w:val="61E14CB0"/>
    <w:rsid w:val="61E9114E"/>
    <w:rsid w:val="61EA1CEC"/>
    <w:rsid w:val="61FD5E07"/>
    <w:rsid w:val="620E4DE2"/>
    <w:rsid w:val="621139A9"/>
    <w:rsid w:val="62193FD2"/>
    <w:rsid w:val="621A5B9D"/>
    <w:rsid w:val="62224E93"/>
    <w:rsid w:val="62281AEA"/>
    <w:rsid w:val="622D08D6"/>
    <w:rsid w:val="62471F04"/>
    <w:rsid w:val="62510C9B"/>
    <w:rsid w:val="625B6732"/>
    <w:rsid w:val="625E57F0"/>
    <w:rsid w:val="62883E4D"/>
    <w:rsid w:val="62954207"/>
    <w:rsid w:val="629914B9"/>
    <w:rsid w:val="629E5C56"/>
    <w:rsid w:val="62A279D4"/>
    <w:rsid w:val="62A37466"/>
    <w:rsid w:val="62A87651"/>
    <w:rsid w:val="62AB7DAA"/>
    <w:rsid w:val="62B05199"/>
    <w:rsid w:val="62B611F1"/>
    <w:rsid w:val="62CA6A4B"/>
    <w:rsid w:val="62E55AC1"/>
    <w:rsid w:val="62ED49FD"/>
    <w:rsid w:val="62F13785"/>
    <w:rsid w:val="63130278"/>
    <w:rsid w:val="631E01B3"/>
    <w:rsid w:val="631F0B45"/>
    <w:rsid w:val="632F68AE"/>
    <w:rsid w:val="63331E75"/>
    <w:rsid w:val="63344F4A"/>
    <w:rsid w:val="633E4C9B"/>
    <w:rsid w:val="633F6D8B"/>
    <w:rsid w:val="63414338"/>
    <w:rsid w:val="63436EC7"/>
    <w:rsid w:val="634522EF"/>
    <w:rsid w:val="63624347"/>
    <w:rsid w:val="63710904"/>
    <w:rsid w:val="63927568"/>
    <w:rsid w:val="6399570A"/>
    <w:rsid w:val="63AF3D1A"/>
    <w:rsid w:val="63B22466"/>
    <w:rsid w:val="63BC6393"/>
    <w:rsid w:val="63C377C3"/>
    <w:rsid w:val="63DF1A11"/>
    <w:rsid w:val="63E15DFA"/>
    <w:rsid w:val="63E44F9C"/>
    <w:rsid w:val="63EF185D"/>
    <w:rsid w:val="63F374BD"/>
    <w:rsid w:val="63F63329"/>
    <w:rsid w:val="63F633ED"/>
    <w:rsid w:val="63F85768"/>
    <w:rsid w:val="63FC4707"/>
    <w:rsid w:val="640A165E"/>
    <w:rsid w:val="640E26B5"/>
    <w:rsid w:val="64357593"/>
    <w:rsid w:val="64412D3D"/>
    <w:rsid w:val="64421C85"/>
    <w:rsid w:val="6454481E"/>
    <w:rsid w:val="646C704B"/>
    <w:rsid w:val="64730CE7"/>
    <w:rsid w:val="648C048F"/>
    <w:rsid w:val="64A137DB"/>
    <w:rsid w:val="64B13A1E"/>
    <w:rsid w:val="64CC6389"/>
    <w:rsid w:val="64D21BE7"/>
    <w:rsid w:val="64DE2339"/>
    <w:rsid w:val="64EC4564"/>
    <w:rsid w:val="64F56A29"/>
    <w:rsid w:val="64FA7DE9"/>
    <w:rsid w:val="650224CC"/>
    <w:rsid w:val="65091AAC"/>
    <w:rsid w:val="65192388"/>
    <w:rsid w:val="65312DB1"/>
    <w:rsid w:val="653463FD"/>
    <w:rsid w:val="65375E50"/>
    <w:rsid w:val="65534F31"/>
    <w:rsid w:val="655A5E64"/>
    <w:rsid w:val="655B398A"/>
    <w:rsid w:val="65665E66"/>
    <w:rsid w:val="659B022A"/>
    <w:rsid w:val="65B23DC5"/>
    <w:rsid w:val="65C21C5B"/>
    <w:rsid w:val="65C43C25"/>
    <w:rsid w:val="65D105EA"/>
    <w:rsid w:val="65ED0E8A"/>
    <w:rsid w:val="65F009F3"/>
    <w:rsid w:val="65F91B21"/>
    <w:rsid w:val="66152731"/>
    <w:rsid w:val="66181A0B"/>
    <w:rsid w:val="661930D2"/>
    <w:rsid w:val="66304E17"/>
    <w:rsid w:val="66313416"/>
    <w:rsid w:val="66321666"/>
    <w:rsid w:val="663A6928"/>
    <w:rsid w:val="66432D9C"/>
    <w:rsid w:val="66433858"/>
    <w:rsid w:val="664743B2"/>
    <w:rsid w:val="66666353"/>
    <w:rsid w:val="66796187"/>
    <w:rsid w:val="667C4500"/>
    <w:rsid w:val="66817D3D"/>
    <w:rsid w:val="6691309A"/>
    <w:rsid w:val="66990C0E"/>
    <w:rsid w:val="669F7F7B"/>
    <w:rsid w:val="66D957E8"/>
    <w:rsid w:val="66DB1226"/>
    <w:rsid w:val="66EF33E9"/>
    <w:rsid w:val="670A1B0C"/>
    <w:rsid w:val="670E3897"/>
    <w:rsid w:val="670E4C40"/>
    <w:rsid w:val="67230CE6"/>
    <w:rsid w:val="67456B2E"/>
    <w:rsid w:val="674C1B17"/>
    <w:rsid w:val="675039C2"/>
    <w:rsid w:val="675B2367"/>
    <w:rsid w:val="676612AE"/>
    <w:rsid w:val="679118E5"/>
    <w:rsid w:val="67955879"/>
    <w:rsid w:val="679866B0"/>
    <w:rsid w:val="679B290D"/>
    <w:rsid w:val="67A376E5"/>
    <w:rsid w:val="67AB0BF9"/>
    <w:rsid w:val="67B41908"/>
    <w:rsid w:val="67C141AD"/>
    <w:rsid w:val="67CD5013"/>
    <w:rsid w:val="67CF5604"/>
    <w:rsid w:val="67D13CA2"/>
    <w:rsid w:val="67D21906"/>
    <w:rsid w:val="67D875B7"/>
    <w:rsid w:val="67DC5AC8"/>
    <w:rsid w:val="67E05F0B"/>
    <w:rsid w:val="67FD6F7B"/>
    <w:rsid w:val="68034F6A"/>
    <w:rsid w:val="680A64A2"/>
    <w:rsid w:val="6817003C"/>
    <w:rsid w:val="682924B3"/>
    <w:rsid w:val="6841330B"/>
    <w:rsid w:val="68456B60"/>
    <w:rsid w:val="684C1968"/>
    <w:rsid w:val="68531ADB"/>
    <w:rsid w:val="685A261F"/>
    <w:rsid w:val="685E03FF"/>
    <w:rsid w:val="685F7C35"/>
    <w:rsid w:val="68743C5A"/>
    <w:rsid w:val="68906041"/>
    <w:rsid w:val="68945B31"/>
    <w:rsid w:val="68965FEA"/>
    <w:rsid w:val="689C5636"/>
    <w:rsid w:val="68B0223F"/>
    <w:rsid w:val="68B71B96"/>
    <w:rsid w:val="68BC2D49"/>
    <w:rsid w:val="68BD4776"/>
    <w:rsid w:val="68CF6B69"/>
    <w:rsid w:val="68EC2ACD"/>
    <w:rsid w:val="68EC3085"/>
    <w:rsid w:val="68F20AA9"/>
    <w:rsid w:val="68FD41BD"/>
    <w:rsid w:val="68FE10B1"/>
    <w:rsid w:val="69003D9D"/>
    <w:rsid w:val="690E5C85"/>
    <w:rsid w:val="690F1657"/>
    <w:rsid w:val="692F585A"/>
    <w:rsid w:val="692F7B9E"/>
    <w:rsid w:val="693B5FAC"/>
    <w:rsid w:val="694F5A9A"/>
    <w:rsid w:val="69527ED8"/>
    <w:rsid w:val="69631ADF"/>
    <w:rsid w:val="69654ADD"/>
    <w:rsid w:val="696803F0"/>
    <w:rsid w:val="6975655B"/>
    <w:rsid w:val="697B45FB"/>
    <w:rsid w:val="69861312"/>
    <w:rsid w:val="6991693E"/>
    <w:rsid w:val="699A2E47"/>
    <w:rsid w:val="69AC65AC"/>
    <w:rsid w:val="69B00FCA"/>
    <w:rsid w:val="69BC0036"/>
    <w:rsid w:val="69CE4E6D"/>
    <w:rsid w:val="69D86DAF"/>
    <w:rsid w:val="69E25CD2"/>
    <w:rsid w:val="69F50851"/>
    <w:rsid w:val="69FD1759"/>
    <w:rsid w:val="6A075C78"/>
    <w:rsid w:val="6A092788"/>
    <w:rsid w:val="6A10568B"/>
    <w:rsid w:val="6A154A4F"/>
    <w:rsid w:val="6A164324"/>
    <w:rsid w:val="6A222CC8"/>
    <w:rsid w:val="6A463FB3"/>
    <w:rsid w:val="6A552E93"/>
    <w:rsid w:val="6A845731"/>
    <w:rsid w:val="6A8D6F7E"/>
    <w:rsid w:val="6A9040D6"/>
    <w:rsid w:val="6A916230"/>
    <w:rsid w:val="6A9C2F2D"/>
    <w:rsid w:val="6AA06A0F"/>
    <w:rsid w:val="6AA33E09"/>
    <w:rsid w:val="6ABB0BF8"/>
    <w:rsid w:val="6AD46C1B"/>
    <w:rsid w:val="6AE60518"/>
    <w:rsid w:val="6AE94020"/>
    <w:rsid w:val="6AE97DAC"/>
    <w:rsid w:val="6AF64B0B"/>
    <w:rsid w:val="6AF705F9"/>
    <w:rsid w:val="6B0A1475"/>
    <w:rsid w:val="6B0B19AE"/>
    <w:rsid w:val="6B150B00"/>
    <w:rsid w:val="6B1B35EB"/>
    <w:rsid w:val="6B2B67A2"/>
    <w:rsid w:val="6B333C8B"/>
    <w:rsid w:val="6B3727A3"/>
    <w:rsid w:val="6B3D2F9D"/>
    <w:rsid w:val="6B3E5699"/>
    <w:rsid w:val="6B4277E6"/>
    <w:rsid w:val="6B4914B0"/>
    <w:rsid w:val="6B496097"/>
    <w:rsid w:val="6B4A5A45"/>
    <w:rsid w:val="6B570980"/>
    <w:rsid w:val="6B594E10"/>
    <w:rsid w:val="6B633598"/>
    <w:rsid w:val="6B6C68F1"/>
    <w:rsid w:val="6B6D3FFA"/>
    <w:rsid w:val="6B7D13F5"/>
    <w:rsid w:val="6B89388F"/>
    <w:rsid w:val="6B8B1F7C"/>
    <w:rsid w:val="6B9132DB"/>
    <w:rsid w:val="6B9A16B0"/>
    <w:rsid w:val="6BB34D7C"/>
    <w:rsid w:val="6BBB5FAB"/>
    <w:rsid w:val="6BDF70C3"/>
    <w:rsid w:val="6BE0108D"/>
    <w:rsid w:val="6BE52E4B"/>
    <w:rsid w:val="6BE92761"/>
    <w:rsid w:val="6BEE02A6"/>
    <w:rsid w:val="6BFF152E"/>
    <w:rsid w:val="6C00712A"/>
    <w:rsid w:val="6C027255"/>
    <w:rsid w:val="6C0C12C3"/>
    <w:rsid w:val="6C224577"/>
    <w:rsid w:val="6C2E3BA6"/>
    <w:rsid w:val="6C4E4249"/>
    <w:rsid w:val="6C5C4BB7"/>
    <w:rsid w:val="6C6C686E"/>
    <w:rsid w:val="6C8639E2"/>
    <w:rsid w:val="6C870B72"/>
    <w:rsid w:val="6C8E2897"/>
    <w:rsid w:val="6CA43E69"/>
    <w:rsid w:val="6CA51568"/>
    <w:rsid w:val="6CA76415"/>
    <w:rsid w:val="6CA91F70"/>
    <w:rsid w:val="6CB654C5"/>
    <w:rsid w:val="6CC24944"/>
    <w:rsid w:val="6CD26C28"/>
    <w:rsid w:val="6CD32E63"/>
    <w:rsid w:val="6CDE6E55"/>
    <w:rsid w:val="6CDF2E4F"/>
    <w:rsid w:val="6CE454B2"/>
    <w:rsid w:val="6CE93F71"/>
    <w:rsid w:val="6D1E00BF"/>
    <w:rsid w:val="6D1F7993"/>
    <w:rsid w:val="6D3424B7"/>
    <w:rsid w:val="6D394EF9"/>
    <w:rsid w:val="6D4E7B40"/>
    <w:rsid w:val="6D575970"/>
    <w:rsid w:val="6D5E0BEA"/>
    <w:rsid w:val="6D6B0BCD"/>
    <w:rsid w:val="6D733B49"/>
    <w:rsid w:val="6D836AE1"/>
    <w:rsid w:val="6D8F6D17"/>
    <w:rsid w:val="6DA63D4E"/>
    <w:rsid w:val="6DA93E2C"/>
    <w:rsid w:val="6DAE4ECF"/>
    <w:rsid w:val="6DB12CE1"/>
    <w:rsid w:val="6DB17A25"/>
    <w:rsid w:val="6DB71A89"/>
    <w:rsid w:val="6DBE71AC"/>
    <w:rsid w:val="6DC93F80"/>
    <w:rsid w:val="6DCC141A"/>
    <w:rsid w:val="6DD23F19"/>
    <w:rsid w:val="6DDD5884"/>
    <w:rsid w:val="6DE253A0"/>
    <w:rsid w:val="6DE443F3"/>
    <w:rsid w:val="6DEF7365"/>
    <w:rsid w:val="6DFF5B12"/>
    <w:rsid w:val="6E03019D"/>
    <w:rsid w:val="6E227207"/>
    <w:rsid w:val="6E2350EF"/>
    <w:rsid w:val="6E2B2A93"/>
    <w:rsid w:val="6E2D74A0"/>
    <w:rsid w:val="6E2F32A7"/>
    <w:rsid w:val="6E337B9A"/>
    <w:rsid w:val="6E366DB4"/>
    <w:rsid w:val="6E455F22"/>
    <w:rsid w:val="6E46167B"/>
    <w:rsid w:val="6E635D97"/>
    <w:rsid w:val="6E6637E5"/>
    <w:rsid w:val="6E693F43"/>
    <w:rsid w:val="6E7F3FF5"/>
    <w:rsid w:val="6E9248C1"/>
    <w:rsid w:val="6E970129"/>
    <w:rsid w:val="6E9C3E88"/>
    <w:rsid w:val="6EB011EB"/>
    <w:rsid w:val="6EBD36A6"/>
    <w:rsid w:val="6EC50C6B"/>
    <w:rsid w:val="6EC97D22"/>
    <w:rsid w:val="6ECC3702"/>
    <w:rsid w:val="6ED22573"/>
    <w:rsid w:val="6EDC4A5C"/>
    <w:rsid w:val="6EE413ED"/>
    <w:rsid w:val="6EE60768"/>
    <w:rsid w:val="6EF015E7"/>
    <w:rsid w:val="6EF75C78"/>
    <w:rsid w:val="6EF9099F"/>
    <w:rsid w:val="6EFA06B8"/>
    <w:rsid w:val="6EFC4430"/>
    <w:rsid w:val="6EFE2C7D"/>
    <w:rsid w:val="6F2A1462"/>
    <w:rsid w:val="6F6221E5"/>
    <w:rsid w:val="6F661135"/>
    <w:rsid w:val="6F6E053E"/>
    <w:rsid w:val="6F7044D6"/>
    <w:rsid w:val="6F89736B"/>
    <w:rsid w:val="6F903F85"/>
    <w:rsid w:val="6F9742E9"/>
    <w:rsid w:val="6F990372"/>
    <w:rsid w:val="6FA50623"/>
    <w:rsid w:val="6FAE4DA5"/>
    <w:rsid w:val="6FB40867"/>
    <w:rsid w:val="6FB40D7F"/>
    <w:rsid w:val="6FB456F8"/>
    <w:rsid w:val="6FBB7E47"/>
    <w:rsid w:val="6FBD596D"/>
    <w:rsid w:val="6FCE432E"/>
    <w:rsid w:val="6FDB5DF3"/>
    <w:rsid w:val="6FF13869"/>
    <w:rsid w:val="6FF26760"/>
    <w:rsid w:val="70223A22"/>
    <w:rsid w:val="70251764"/>
    <w:rsid w:val="7040472E"/>
    <w:rsid w:val="704812DB"/>
    <w:rsid w:val="705521D3"/>
    <w:rsid w:val="70603771"/>
    <w:rsid w:val="70673F6B"/>
    <w:rsid w:val="706F66E7"/>
    <w:rsid w:val="70724AF1"/>
    <w:rsid w:val="709356FA"/>
    <w:rsid w:val="70B20B4E"/>
    <w:rsid w:val="70B645F5"/>
    <w:rsid w:val="70B64B15"/>
    <w:rsid w:val="70BB7EBB"/>
    <w:rsid w:val="70C05A68"/>
    <w:rsid w:val="70C93198"/>
    <w:rsid w:val="70D2143C"/>
    <w:rsid w:val="70E05EE6"/>
    <w:rsid w:val="70F57389"/>
    <w:rsid w:val="7109133F"/>
    <w:rsid w:val="712B6906"/>
    <w:rsid w:val="714300F4"/>
    <w:rsid w:val="714D444F"/>
    <w:rsid w:val="71575369"/>
    <w:rsid w:val="715C1214"/>
    <w:rsid w:val="715C2F64"/>
    <w:rsid w:val="71641D29"/>
    <w:rsid w:val="717B58A5"/>
    <w:rsid w:val="71850E21"/>
    <w:rsid w:val="71930401"/>
    <w:rsid w:val="7199168E"/>
    <w:rsid w:val="71C6763E"/>
    <w:rsid w:val="71C8777A"/>
    <w:rsid w:val="71CE6FD3"/>
    <w:rsid w:val="71D77E1E"/>
    <w:rsid w:val="72014633"/>
    <w:rsid w:val="72233A82"/>
    <w:rsid w:val="722E2F9D"/>
    <w:rsid w:val="723733CC"/>
    <w:rsid w:val="723E2669"/>
    <w:rsid w:val="725974A3"/>
    <w:rsid w:val="72787EA1"/>
    <w:rsid w:val="727B4EBF"/>
    <w:rsid w:val="72982178"/>
    <w:rsid w:val="729E0259"/>
    <w:rsid w:val="72A2700D"/>
    <w:rsid w:val="72C30CB5"/>
    <w:rsid w:val="72C75056"/>
    <w:rsid w:val="72CC3F8A"/>
    <w:rsid w:val="72CC754C"/>
    <w:rsid w:val="72E56F8C"/>
    <w:rsid w:val="72EE408F"/>
    <w:rsid w:val="72F35B4A"/>
    <w:rsid w:val="72F654FA"/>
    <w:rsid w:val="72FA02C7"/>
    <w:rsid w:val="72FA5F35"/>
    <w:rsid w:val="72FD2525"/>
    <w:rsid w:val="732E0930"/>
    <w:rsid w:val="73306456"/>
    <w:rsid w:val="7331768C"/>
    <w:rsid w:val="733F676D"/>
    <w:rsid w:val="734E2715"/>
    <w:rsid w:val="73506980"/>
    <w:rsid w:val="73584C2C"/>
    <w:rsid w:val="73624C9B"/>
    <w:rsid w:val="736A4853"/>
    <w:rsid w:val="73720C8C"/>
    <w:rsid w:val="73734595"/>
    <w:rsid w:val="737779B6"/>
    <w:rsid w:val="738549F4"/>
    <w:rsid w:val="73B6116C"/>
    <w:rsid w:val="73B94CE8"/>
    <w:rsid w:val="73C3551C"/>
    <w:rsid w:val="73C848E1"/>
    <w:rsid w:val="73E6120B"/>
    <w:rsid w:val="73E93DBF"/>
    <w:rsid w:val="73EA470F"/>
    <w:rsid w:val="73EC36F7"/>
    <w:rsid w:val="73F676A0"/>
    <w:rsid w:val="73FD2C54"/>
    <w:rsid w:val="73FE6554"/>
    <w:rsid w:val="742915A0"/>
    <w:rsid w:val="74297B7E"/>
    <w:rsid w:val="744B7916"/>
    <w:rsid w:val="744D3038"/>
    <w:rsid w:val="74647C6A"/>
    <w:rsid w:val="74725017"/>
    <w:rsid w:val="7477273E"/>
    <w:rsid w:val="74781399"/>
    <w:rsid w:val="74784559"/>
    <w:rsid w:val="74842EFD"/>
    <w:rsid w:val="74A05963"/>
    <w:rsid w:val="74AE66C9"/>
    <w:rsid w:val="74BE7D2B"/>
    <w:rsid w:val="74D72CF9"/>
    <w:rsid w:val="74DB0643"/>
    <w:rsid w:val="74E03070"/>
    <w:rsid w:val="74F71921"/>
    <w:rsid w:val="74F87447"/>
    <w:rsid w:val="750613A0"/>
    <w:rsid w:val="750724A3"/>
    <w:rsid w:val="750D2EF3"/>
    <w:rsid w:val="75100DE2"/>
    <w:rsid w:val="75127817"/>
    <w:rsid w:val="752244C4"/>
    <w:rsid w:val="75232716"/>
    <w:rsid w:val="75355E65"/>
    <w:rsid w:val="75466405"/>
    <w:rsid w:val="75604355"/>
    <w:rsid w:val="75646826"/>
    <w:rsid w:val="75674EB3"/>
    <w:rsid w:val="756F6EE6"/>
    <w:rsid w:val="75765189"/>
    <w:rsid w:val="75792134"/>
    <w:rsid w:val="75957F52"/>
    <w:rsid w:val="75A15DF2"/>
    <w:rsid w:val="75B26193"/>
    <w:rsid w:val="75B27CA5"/>
    <w:rsid w:val="75E12D70"/>
    <w:rsid w:val="75EC4FB9"/>
    <w:rsid w:val="75EE277B"/>
    <w:rsid w:val="75F662E4"/>
    <w:rsid w:val="75F66D71"/>
    <w:rsid w:val="760140DA"/>
    <w:rsid w:val="76030D9A"/>
    <w:rsid w:val="761746C6"/>
    <w:rsid w:val="76242157"/>
    <w:rsid w:val="762C371E"/>
    <w:rsid w:val="762C6104"/>
    <w:rsid w:val="763224E5"/>
    <w:rsid w:val="7633660A"/>
    <w:rsid w:val="763D5EC9"/>
    <w:rsid w:val="763E10DA"/>
    <w:rsid w:val="763F1FF4"/>
    <w:rsid w:val="7644612B"/>
    <w:rsid w:val="76633E15"/>
    <w:rsid w:val="7664419C"/>
    <w:rsid w:val="767E6546"/>
    <w:rsid w:val="76884ED6"/>
    <w:rsid w:val="76885C02"/>
    <w:rsid w:val="76A516A2"/>
    <w:rsid w:val="76AE4262"/>
    <w:rsid w:val="76BD0DA7"/>
    <w:rsid w:val="76E00193"/>
    <w:rsid w:val="76F87EBC"/>
    <w:rsid w:val="76FB4FCD"/>
    <w:rsid w:val="76FE242A"/>
    <w:rsid w:val="76FF25B6"/>
    <w:rsid w:val="77020109"/>
    <w:rsid w:val="77281687"/>
    <w:rsid w:val="77313DFE"/>
    <w:rsid w:val="77383B2B"/>
    <w:rsid w:val="773B361B"/>
    <w:rsid w:val="77420E4E"/>
    <w:rsid w:val="77444479"/>
    <w:rsid w:val="774D75F8"/>
    <w:rsid w:val="775F5B79"/>
    <w:rsid w:val="77660698"/>
    <w:rsid w:val="776B5854"/>
    <w:rsid w:val="776B6BD0"/>
    <w:rsid w:val="776C72F3"/>
    <w:rsid w:val="77796881"/>
    <w:rsid w:val="777A5F47"/>
    <w:rsid w:val="777C76A4"/>
    <w:rsid w:val="778356EE"/>
    <w:rsid w:val="77872E78"/>
    <w:rsid w:val="778D7FD3"/>
    <w:rsid w:val="77A84322"/>
    <w:rsid w:val="77A85155"/>
    <w:rsid w:val="77AF37C3"/>
    <w:rsid w:val="77B07DE2"/>
    <w:rsid w:val="77D53A70"/>
    <w:rsid w:val="77DA4BE2"/>
    <w:rsid w:val="77DE0B76"/>
    <w:rsid w:val="77DE3A9A"/>
    <w:rsid w:val="77E5503D"/>
    <w:rsid w:val="77ED700C"/>
    <w:rsid w:val="77F97523"/>
    <w:rsid w:val="78090360"/>
    <w:rsid w:val="78192568"/>
    <w:rsid w:val="782B4A13"/>
    <w:rsid w:val="78320EC2"/>
    <w:rsid w:val="78511348"/>
    <w:rsid w:val="7856278A"/>
    <w:rsid w:val="786B350B"/>
    <w:rsid w:val="7871357B"/>
    <w:rsid w:val="789B0816"/>
    <w:rsid w:val="78A20D6F"/>
    <w:rsid w:val="78A22B31"/>
    <w:rsid w:val="78B039E4"/>
    <w:rsid w:val="78B251F2"/>
    <w:rsid w:val="78B83176"/>
    <w:rsid w:val="78C409E9"/>
    <w:rsid w:val="78CF34F0"/>
    <w:rsid w:val="78D72CDF"/>
    <w:rsid w:val="78DD2BDC"/>
    <w:rsid w:val="78DF4BA6"/>
    <w:rsid w:val="78E03262"/>
    <w:rsid w:val="78F62113"/>
    <w:rsid w:val="78F80068"/>
    <w:rsid w:val="79003D12"/>
    <w:rsid w:val="79020895"/>
    <w:rsid w:val="79053EE1"/>
    <w:rsid w:val="79203646"/>
    <w:rsid w:val="7930196F"/>
    <w:rsid w:val="793A6280"/>
    <w:rsid w:val="79490272"/>
    <w:rsid w:val="794F33AE"/>
    <w:rsid w:val="795135CA"/>
    <w:rsid w:val="79570BE0"/>
    <w:rsid w:val="796A0CA1"/>
    <w:rsid w:val="79856DD0"/>
    <w:rsid w:val="799C08D2"/>
    <w:rsid w:val="79B350FD"/>
    <w:rsid w:val="79B672FA"/>
    <w:rsid w:val="79C7781F"/>
    <w:rsid w:val="79DA35C0"/>
    <w:rsid w:val="79DC01FD"/>
    <w:rsid w:val="79DC7A57"/>
    <w:rsid w:val="79ED2983"/>
    <w:rsid w:val="79F44681"/>
    <w:rsid w:val="79FC1788"/>
    <w:rsid w:val="7A263425"/>
    <w:rsid w:val="7A28432B"/>
    <w:rsid w:val="7A2E7373"/>
    <w:rsid w:val="7A7237F8"/>
    <w:rsid w:val="7A78797C"/>
    <w:rsid w:val="7A792D6F"/>
    <w:rsid w:val="7A973BC1"/>
    <w:rsid w:val="7A9D67A7"/>
    <w:rsid w:val="7A9D6AC7"/>
    <w:rsid w:val="7A9E345E"/>
    <w:rsid w:val="7A9F3977"/>
    <w:rsid w:val="7AA61279"/>
    <w:rsid w:val="7AA87604"/>
    <w:rsid w:val="7AB1214E"/>
    <w:rsid w:val="7ACB3572"/>
    <w:rsid w:val="7AD81B0D"/>
    <w:rsid w:val="7AE069B4"/>
    <w:rsid w:val="7AF178B4"/>
    <w:rsid w:val="7AF27458"/>
    <w:rsid w:val="7AFD1314"/>
    <w:rsid w:val="7B073F40"/>
    <w:rsid w:val="7B2F1799"/>
    <w:rsid w:val="7B352473"/>
    <w:rsid w:val="7B407452"/>
    <w:rsid w:val="7B4F2352"/>
    <w:rsid w:val="7B5D0004"/>
    <w:rsid w:val="7B765937"/>
    <w:rsid w:val="7B7F61CD"/>
    <w:rsid w:val="7B8B6739"/>
    <w:rsid w:val="7B8B6A97"/>
    <w:rsid w:val="7B8F7B65"/>
    <w:rsid w:val="7B9658A7"/>
    <w:rsid w:val="7B9D48A5"/>
    <w:rsid w:val="7BA12D04"/>
    <w:rsid w:val="7BA55308"/>
    <w:rsid w:val="7BAB467E"/>
    <w:rsid w:val="7BDD764C"/>
    <w:rsid w:val="7BE11EEB"/>
    <w:rsid w:val="7BE632F9"/>
    <w:rsid w:val="7C0551DB"/>
    <w:rsid w:val="7C0808C1"/>
    <w:rsid w:val="7C0F6C70"/>
    <w:rsid w:val="7C120DEF"/>
    <w:rsid w:val="7C131361"/>
    <w:rsid w:val="7C240B22"/>
    <w:rsid w:val="7C273CDA"/>
    <w:rsid w:val="7C2B3C5E"/>
    <w:rsid w:val="7C2D6A8D"/>
    <w:rsid w:val="7C2E374F"/>
    <w:rsid w:val="7C356822"/>
    <w:rsid w:val="7C3C3F08"/>
    <w:rsid w:val="7C3E749B"/>
    <w:rsid w:val="7C480CB4"/>
    <w:rsid w:val="7C4D0822"/>
    <w:rsid w:val="7C4D62CB"/>
    <w:rsid w:val="7C4F2043"/>
    <w:rsid w:val="7C52743D"/>
    <w:rsid w:val="7C5F125B"/>
    <w:rsid w:val="7C8768B4"/>
    <w:rsid w:val="7C947A56"/>
    <w:rsid w:val="7CB12FCA"/>
    <w:rsid w:val="7CB2612E"/>
    <w:rsid w:val="7CBA4CC6"/>
    <w:rsid w:val="7CBB76D8"/>
    <w:rsid w:val="7CC70725"/>
    <w:rsid w:val="7CCC223C"/>
    <w:rsid w:val="7CD40F68"/>
    <w:rsid w:val="7CE138C8"/>
    <w:rsid w:val="7CEE48EB"/>
    <w:rsid w:val="7CEF13C5"/>
    <w:rsid w:val="7CF16C56"/>
    <w:rsid w:val="7CF5335C"/>
    <w:rsid w:val="7D020A0A"/>
    <w:rsid w:val="7D126BCC"/>
    <w:rsid w:val="7D183614"/>
    <w:rsid w:val="7D225061"/>
    <w:rsid w:val="7D2644B1"/>
    <w:rsid w:val="7D2E7EAA"/>
    <w:rsid w:val="7D376633"/>
    <w:rsid w:val="7D3917C9"/>
    <w:rsid w:val="7D3B133A"/>
    <w:rsid w:val="7D444538"/>
    <w:rsid w:val="7D472FA7"/>
    <w:rsid w:val="7D5D078F"/>
    <w:rsid w:val="7D6364B6"/>
    <w:rsid w:val="7D641B1E"/>
    <w:rsid w:val="7D6A4C5A"/>
    <w:rsid w:val="7D732E16"/>
    <w:rsid w:val="7D830F78"/>
    <w:rsid w:val="7D911946"/>
    <w:rsid w:val="7DA57A41"/>
    <w:rsid w:val="7DA71D1F"/>
    <w:rsid w:val="7DAC5273"/>
    <w:rsid w:val="7DB561F2"/>
    <w:rsid w:val="7DC55BCC"/>
    <w:rsid w:val="7DDB1F42"/>
    <w:rsid w:val="7DE337D3"/>
    <w:rsid w:val="7DF7719D"/>
    <w:rsid w:val="7DF96F41"/>
    <w:rsid w:val="7E0D3F64"/>
    <w:rsid w:val="7E196EF9"/>
    <w:rsid w:val="7E25092F"/>
    <w:rsid w:val="7E3429BD"/>
    <w:rsid w:val="7E407765"/>
    <w:rsid w:val="7E572EB7"/>
    <w:rsid w:val="7E5A4CCF"/>
    <w:rsid w:val="7E637B66"/>
    <w:rsid w:val="7E753176"/>
    <w:rsid w:val="7E776D60"/>
    <w:rsid w:val="7E7A711F"/>
    <w:rsid w:val="7E7F0292"/>
    <w:rsid w:val="7E847699"/>
    <w:rsid w:val="7E9C415E"/>
    <w:rsid w:val="7EC75C3E"/>
    <w:rsid w:val="7ECB272C"/>
    <w:rsid w:val="7ED21A34"/>
    <w:rsid w:val="7ED84755"/>
    <w:rsid w:val="7EEC427F"/>
    <w:rsid w:val="7EF173B3"/>
    <w:rsid w:val="7F0005FE"/>
    <w:rsid w:val="7F01514B"/>
    <w:rsid w:val="7F0E4822"/>
    <w:rsid w:val="7F190115"/>
    <w:rsid w:val="7F1E7AAB"/>
    <w:rsid w:val="7F2F3506"/>
    <w:rsid w:val="7F32191D"/>
    <w:rsid w:val="7F3834E8"/>
    <w:rsid w:val="7F565D15"/>
    <w:rsid w:val="7F567244"/>
    <w:rsid w:val="7F5867C0"/>
    <w:rsid w:val="7F626284"/>
    <w:rsid w:val="7F791185"/>
    <w:rsid w:val="7F8246FF"/>
    <w:rsid w:val="7F876EB4"/>
    <w:rsid w:val="7F9414E3"/>
    <w:rsid w:val="7F9B6F1C"/>
    <w:rsid w:val="7FC5201F"/>
    <w:rsid w:val="7FC62079"/>
    <w:rsid w:val="7FC85D5F"/>
    <w:rsid w:val="7FD92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iPriority="99"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widowControl w:val="0"/>
      <w:spacing w:beforeLines="50" w:afterLines="50" w:line="520" w:lineRule="exact"/>
      <w:jc w:val="both"/>
      <w:outlineLvl w:val="1"/>
    </w:pPr>
    <w:rPr>
      <w:rFonts w:ascii="Times New Roman" w:hAnsi="Times New Roman" w:eastAsia="黑体" w:cs="Times New Roman"/>
      <w:kern w:val="2"/>
      <w:sz w:val="28"/>
      <w:szCs w:val="28"/>
    </w:rPr>
  </w:style>
  <w:style w:type="paragraph" w:styleId="4">
    <w:name w:val="heading 3"/>
    <w:basedOn w:val="5"/>
    <w:next w:val="1"/>
    <w:qFormat/>
    <w:uiPriority w:val="0"/>
    <w:pPr>
      <w:keepNext/>
      <w:keepLines/>
      <w:spacing w:before="260" w:after="260" w:line="416" w:lineRule="auto"/>
      <w:outlineLvl w:val="2"/>
    </w:pPr>
    <w:rPr>
      <w:sz w:val="32"/>
      <w:szCs w:val="32"/>
    </w:rPr>
  </w:style>
  <w:style w:type="paragraph" w:styleId="6">
    <w:name w:val="heading 4"/>
    <w:basedOn w:val="1"/>
    <w:next w:val="1"/>
    <w:qFormat/>
    <w:uiPriority w:val="0"/>
    <w:pPr>
      <w:keepNext/>
      <w:keepLines/>
      <w:spacing w:before="280" w:after="290" w:line="376" w:lineRule="auto"/>
      <w:outlineLvl w:val="3"/>
    </w:pPr>
    <w:rPr>
      <w:rFonts w:ascii="Cambria" w:hAnsi="Cambria"/>
      <w:b/>
      <w:bCs/>
      <w:kern w:val="0"/>
      <w:sz w:val="28"/>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5">
    <w:name w:val="Title"/>
    <w:basedOn w:val="1"/>
    <w:next w:val="1"/>
    <w:qFormat/>
    <w:uiPriority w:val="99"/>
    <w:pPr>
      <w:spacing w:before="240" w:after="60"/>
      <w:jc w:val="center"/>
      <w:outlineLvl w:val="0"/>
    </w:pPr>
    <w:rPr>
      <w:rFonts w:ascii="Cambria" w:hAnsi="Cambria" w:eastAsia="宋体" w:cs="Times New Roman"/>
      <w:b/>
      <w:bCs/>
      <w:sz w:val="32"/>
      <w:szCs w:val="32"/>
    </w:rPr>
  </w:style>
  <w:style w:type="paragraph" w:styleId="7">
    <w:name w:val="Normal Indent"/>
    <w:basedOn w:val="1"/>
    <w:next w:val="1"/>
    <w:qFormat/>
    <w:uiPriority w:val="0"/>
    <w:pPr>
      <w:adjustRightInd w:val="0"/>
      <w:snapToGrid w:val="0"/>
      <w:spacing w:line="360" w:lineRule="auto"/>
    </w:pPr>
    <w:rPr>
      <w:snapToGrid w:val="0"/>
      <w:kern w:val="0"/>
      <w:sz w:val="24"/>
      <w:szCs w:val="20"/>
    </w:rPr>
  </w:style>
  <w:style w:type="paragraph" w:styleId="8">
    <w:name w:val="caption"/>
    <w:basedOn w:val="1"/>
    <w:next w:val="1"/>
    <w:qFormat/>
    <w:uiPriority w:val="0"/>
    <w:rPr>
      <w:rFonts w:ascii="Cambria" w:hAnsi="Cambria" w:eastAsia="黑体" w:cs="Times New Roman"/>
      <w:sz w:val="20"/>
      <w:szCs w:val="20"/>
    </w:rPr>
  </w:style>
  <w:style w:type="paragraph" w:styleId="9">
    <w:name w:val="annotation text"/>
    <w:basedOn w:val="1"/>
    <w:semiHidden/>
    <w:qFormat/>
    <w:uiPriority w:val="0"/>
    <w:pPr>
      <w:jc w:val="left"/>
    </w:pPr>
    <w:rPr>
      <w:kern w:val="0"/>
      <w:sz w:val="24"/>
      <w:szCs w:val="20"/>
    </w:rPr>
  </w:style>
  <w:style w:type="paragraph" w:styleId="10">
    <w:name w:val="Body Text"/>
    <w:basedOn w:val="1"/>
    <w:next w:val="11"/>
    <w:qFormat/>
    <w:uiPriority w:val="0"/>
    <w:pPr>
      <w:widowControl/>
      <w:snapToGrid w:val="0"/>
      <w:spacing w:line="360" w:lineRule="auto"/>
      <w:ind w:right="0" w:firstLine="720" w:firstLineChars="200"/>
    </w:pPr>
    <w:rPr>
      <w:rFonts w:ascii="Times New Roman" w:hAnsi="Times New Roman" w:eastAsia="宋体"/>
      <w:kern w:val="0"/>
      <w:sz w:val="24"/>
      <w:szCs w:val="20"/>
    </w:rPr>
  </w:style>
  <w:style w:type="paragraph" w:customStyle="1" w:styleId="11">
    <w:name w:val="Body Text 2_050de59c-084d-4175-9105-ef8c1c28e700"/>
    <w:basedOn w:val="1"/>
    <w:qFormat/>
    <w:uiPriority w:val="0"/>
    <w:pPr>
      <w:spacing w:after="120" w:line="480" w:lineRule="auto"/>
    </w:pPr>
  </w:style>
  <w:style w:type="paragraph" w:styleId="12">
    <w:name w:val="Body Text Indent"/>
    <w:basedOn w:val="1"/>
    <w:next w:val="1"/>
    <w:qFormat/>
    <w:uiPriority w:val="99"/>
    <w:pPr>
      <w:spacing w:after="120"/>
      <w:ind w:left="420" w:leftChars="200"/>
    </w:pPr>
  </w:style>
  <w:style w:type="paragraph" w:styleId="13">
    <w:name w:val="Block Text"/>
    <w:basedOn w:val="1"/>
    <w:next w:val="1"/>
    <w:qFormat/>
    <w:uiPriority w:val="0"/>
    <w:pPr>
      <w:ind w:left="420" w:right="-175" w:rightChars="-73"/>
    </w:pPr>
    <w:rPr>
      <w:rFonts w:ascii="宋体" w:hAnsi="Arial"/>
      <w:sz w:val="24"/>
      <w:szCs w:val="20"/>
    </w:rPr>
  </w:style>
  <w:style w:type="paragraph" w:styleId="14">
    <w:name w:val="Plain Text"/>
    <w:basedOn w:val="1"/>
    <w:qFormat/>
    <w:uiPriority w:val="0"/>
    <w:pPr>
      <w:spacing w:line="420" w:lineRule="exact"/>
      <w:ind w:firstLine="200" w:firstLineChars="200"/>
    </w:pPr>
    <w:rPr>
      <w:rFonts w:ascii="宋体" w:hAnsi="Courier New" w:cs="Courier New"/>
      <w:szCs w:val="21"/>
    </w:rPr>
  </w:style>
  <w:style w:type="paragraph" w:styleId="15">
    <w:name w:val="Body Text Indent 2"/>
    <w:basedOn w:val="1"/>
    <w:qFormat/>
    <w:uiPriority w:val="0"/>
    <w:pPr>
      <w:spacing w:line="360" w:lineRule="auto"/>
      <w:ind w:firstLine="480" w:firstLineChars="200"/>
    </w:pPr>
    <w:rPr>
      <w:sz w:val="24"/>
    </w:r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List"/>
    <w:basedOn w:val="1"/>
    <w:qFormat/>
    <w:uiPriority w:val="0"/>
    <w:pPr>
      <w:adjustRightInd w:val="0"/>
      <w:snapToGrid w:val="0"/>
      <w:jc w:val="center"/>
    </w:pPr>
    <w:rPr>
      <w:sz w:val="24"/>
      <w:szCs w:val="20"/>
    </w:rPr>
  </w:style>
  <w:style w:type="paragraph" w:styleId="19">
    <w:name w:val="table of figures"/>
    <w:basedOn w:val="1"/>
    <w:next w:val="1"/>
    <w:qFormat/>
    <w:uiPriority w:val="0"/>
    <w:pPr>
      <w:spacing w:before="100" w:beforeAutospacing="1" w:after="100" w:afterAutospacing="1"/>
      <w:ind w:leftChars="200" w:hanging="200" w:hangingChars="200"/>
    </w:pPr>
  </w:style>
  <w:style w:type="paragraph" w:styleId="20">
    <w:name w:val="Body Text 2"/>
    <w:basedOn w:val="1"/>
    <w:qFormat/>
    <w:uiPriority w:val="0"/>
    <w:pPr>
      <w:spacing w:beforeLines="50" w:after="100" w:afterAutospacing="1" w:line="336" w:lineRule="auto"/>
    </w:pPr>
    <w:rPr>
      <w:rFonts w:ascii="Times New Roman" w:hAnsi="Times New Roman" w:eastAsia="仿宋_GB2312"/>
      <w:kern w:val="0"/>
    </w:r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Body Text First Indent"/>
    <w:basedOn w:val="10"/>
    <w:next w:val="23"/>
    <w:qFormat/>
    <w:uiPriority w:val="0"/>
    <w:pPr>
      <w:adjustRightInd/>
      <w:spacing w:after="120" w:line="240" w:lineRule="auto"/>
      <w:ind w:firstLine="420" w:firstLineChars="100"/>
      <w:textAlignment w:val="auto"/>
    </w:pPr>
    <w:rPr>
      <w:rFonts w:ascii="Times New Roman"/>
      <w:snapToGrid/>
      <w:spacing w:val="0"/>
      <w:kern w:val="2"/>
      <w:sz w:val="21"/>
    </w:rPr>
  </w:style>
  <w:style w:type="paragraph" w:styleId="23">
    <w:name w:val="Body Text First Indent 2"/>
    <w:basedOn w:val="1"/>
    <w:next w:val="1"/>
    <w:qFormat/>
    <w:uiPriority w:val="99"/>
    <w:pPr>
      <w:ind w:firstLine="420" w:firstLineChars="200"/>
    </w:pPr>
    <w:rPr>
      <w:lang w:val="en-US" w:eastAsia="zh-CN"/>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0"/>
  </w:style>
  <w:style w:type="character" w:styleId="28">
    <w:name w:val="FollowedHyperlink"/>
    <w:basedOn w:val="26"/>
    <w:qFormat/>
    <w:uiPriority w:val="0"/>
    <w:rPr>
      <w:color w:val="007ACC"/>
      <w:u w:val="single"/>
    </w:rPr>
  </w:style>
  <w:style w:type="character" w:styleId="29">
    <w:name w:val="Hyperlink"/>
    <w:basedOn w:val="26"/>
    <w:qFormat/>
    <w:uiPriority w:val="0"/>
    <w:rPr>
      <w:color w:val="007ACC"/>
      <w:u w:val="single"/>
    </w:rPr>
  </w:style>
  <w:style w:type="character" w:styleId="30">
    <w:name w:val="annotation reference"/>
    <w:qFormat/>
    <w:uiPriority w:val="0"/>
    <w:rPr>
      <w:sz w:val="21"/>
      <w:szCs w:val="21"/>
    </w:rPr>
  </w:style>
  <w:style w:type="paragraph" w:customStyle="1" w:styleId="3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32">
    <w:name w:val="Default"/>
    <w:basedOn w:val="33"/>
    <w:next w:val="14"/>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3">
    <w:name w:val="纯文本1"/>
    <w:basedOn w:val="1"/>
    <w:qFormat/>
    <w:uiPriority w:val="0"/>
    <w:pPr>
      <w:adjustRightInd w:val="0"/>
      <w:jc w:val="center"/>
      <w:textAlignment w:val="baseline"/>
    </w:pPr>
    <w:rPr>
      <w:rFonts w:ascii="宋体" w:hAnsi="Courier New"/>
      <w:sz w:val="24"/>
    </w:rPr>
  </w:style>
  <w:style w:type="paragraph" w:customStyle="1" w:styleId="34">
    <w:name w:val="样式35"/>
    <w:basedOn w:val="1"/>
    <w:next w:val="1"/>
    <w:qFormat/>
    <w:uiPriority w:val="0"/>
    <w:pPr>
      <w:spacing w:line="312" w:lineRule="auto"/>
      <w:ind w:firstLine="567"/>
    </w:pPr>
    <w:rPr>
      <w:rFonts w:ascii="宋体"/>
      <w:sz w:val="28"/>
    </w:rPr>
  </w:style>
  <w:style w:type="paragraph" w:customStyle="1" w:styleId="3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6">
    <w:name w:val="Table Paragraph"/>
    <w:basedOn w:val="1"/>
    <w:qFormat/>
    <w:uiPriority w:val="0"/>
    <w:rPr>
      <w:rFonts w:ascii="宋体" w:hAnsi="宋体" w:eastAsia="宋体" w:cs="宋体"/>
      <w:lang w:val="zh-CN" w:eastAsia="zh-CN" w:bidi="zh-CN"/>
    </w:rPr>
  </w:style>
  <w:style w:type="paragraph" w:customStyle="1" w:styleId="37">
    <w:name w:val="3"/>
    <w:basedOn w:val="1"/>
    <w:next w:val="15"/>
    <w:qFormat/>
    <w:uiPriority w:val="0"/>
    <w:pPr>
      <w:tabs>
        <w:tab w:val="left" w:pos="6855"/>
      </w:tabs>
      <w:ind w:firstLine="560" w:firstLineChars="200"/>
    </w:pPr>
    <w:rPr>
      <w:rFonts w:eastAsia="仿宋_GB2312"/>
      <w:sz w:val="28"/>
    </w:rPr>
  </w:style>
  <w:style w:type="paragraph" w:customStyle="1" w:styleId="38">
    <w:name w:val="表格"/>
    <w:basedOn w:val="18"/>
    <w:next w:val="1"/>
    <w:qFormat/>
    <w:uiPriority w:val="0"/>
    <w:pPr>
      <w:adjustRightInd w:val="0"/>
      <w:snapToGrid w:val="0"/>
      <w:spacing w:beforeLines="10" w:afterLines="10" w:line="259" w:lineRule="auto"/>
      <w:jc w:val="center"/>
    </w:pPr>
    <w:rPr>
      <w:rFonts w:ascii="宋体"/>
      <w:kern w:val="0"/>
      <w:szCs w:val="20"/>
    </w:rPr>
  </w:style>
  <w:style w:type="paragraph" w:customStyle="1" w:styleId="39">
    <w:name w:val="00"/>
    <w:basedOn w:val="1"/>
    <w:qFormat/>
    <w:uiPriority w:val="0"/>
    <w:pPr>
      <w:spacing w:line="520" w:lineRule="exact"/>
      <w:ind w:firstLine="200" w:firstLineChars="200"/>
    </w:pPr>
    <w:rPr>
      <w:rFonts w:ascii="宋体" w:hAnsi="宋体" w:cs="宋体"/>
      <w:sz w:val="24"/>
      <w:szCs w:val="20"/>
    </w:rPr>
  </w:style>
  <w:style w:type="paragraph" w:customStyle="1" w:styleId="40">
    <w:name w:val="中文报告书样式"/>
    <w:basedOn w:val="1"/>
    <w:qFormat/>
    <w:uiPriority w:val="0"/>
    <w:pPr>
      <w:adjustRightInd w:val="0"/>
      <w:spacing w:line="480" w:lineRule="atLeast"/>
      <w:ind w:firstLine="482"/>
      <w:textAlignment w:val="baseline"/>
    </w:pPr>
    <w:rPr>
      <w:kern w:val="24"/>
      <w:sz w:val="24"/>
    </w:rPr>
  </w:style>
  <w:style w:type="paragraph" w:customStyle="1" w:styleId="41">
    <w:name w:val="表题注"/>
    <w:basedOn w:val="8"/>
    <w:qFormat/>
    <w:uiPriority w:val="0"/>
    <w:pPr>
      <w:keepNext/>
      <w:spacing w:before="50" w:beforeLines="50" w:line="480" w:lineRule="exact"/>
      <w:jc w:val="center"/>
    </w:pPr>
    <w:rPr>
      <w:rFonts w:ascii="Arial" w:hAnsi="Arial"/>
      <w:sz w:val="21"/>
    </w:rPr>
  </w:style>
  <w:style w:type="paragraph" w:customStyle="1" w:styleId="42">
    <w:name w:val="正文小四 1.75"/>
    <w:basedOn w:val="1"/>
    <w:qFormat/>
    <w:uiPriority w:val="0"/>
    <w:pPr>
      <w:spacing w:line="420" w:lineRule="auto"/>
      <w:ind w:firstLine="480" w:firstLineChars="200"/>
    </w:pPr>
    <w:rPr>
      <w:sz w:val="24"/>
    </w:rPr>
  </w:style>
  <w:style w:type="paragraph" w:customStyle="1" w:styleId="43">
    <w:name w:val="00000"/>
    <w:basedOn w:val="1"/>
    <w:qFormat/>
    <w:uiPriority w:val="0"/>
    <w:pPr>
      <w:spacing w:line="520" w:lineRule="exact"/>
      <w:ind w:firstLine="200" w:firstLineChars="200"/>
    </w:pPr>
    <w:rPr>
      <w:rFonts w:ascii="宋体" w:hAnsi="宋体" w:eastAsia="宋体" w:cs="Times New Roman"/>
      <w:sz w:val="24"/>
    </w:rPr>
  </w:style>
  <w:style w:type="paragraph" w:customStyle="1" w:styleId="44">
    <w:name w:val="Default1"/>
    <w:basedOn w:val="45"/>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5">
    <w:name w:val="Normal_14_0"/>
    <w:qFormat/>
    <w:uiPriority w:val="0"/>
    <w:pPr>
      <w:spacing w:before="120" w:after="240"/>
      <w:jc w:val="both"/>
    </w:pPr>
    <w:rPr>
      <w:rFonts w:ascii="Calibri" w:hAnsi="Calibri" w:eastAsia="Calibri" w:cs="Times New Roman"/>
      <w:sz w:val="22"/>
      <w:szCs w:val="22"/>
      <w:lang w:val="ru-RU" w:eastAsia="en-US" w:bidi="ar-SA"/>
    </w:rPr>
  </w:style>
  <w:style w:type="character" w:customStyle="1" w:styleId="46">
    <w:name w:val="font01"/>
    <w:qFormat/>
    <w:uiPriority w:val="0"/>
    <w:rPr>
      <w:rFonts w:hint="default" w:ascii="Times New Roman" w:hAnsi="Times New Roman" w:cs="Times New Roman"/>
      <w:color w:val="000000"/>
      <w:sz w:val="18"/>
      <w:szCs w:val="18"/>
      <w:u w:val="none"/>
      <w:vertAlign w:val="subscript"/>
    </w:rPr>
  </w:style>
  <w:style w:type="paragraph" w:customStyle="1" w:styleId="47">
    <w:name w:val="05F凡式正文"/>
    <w:basedOn w:val="1"/>
    <w:qFormat/>
    <w:uiPriority w:val="0"/>
    <w:pPr>
      <w:spacing w:line="360" w:lineRule="auto"/>
      <w:ind w:firstLine="720" w:firstLineChars="200"/>
    </w:pPr>
    <w:rPr>
      <w:rFonts w:ascii="Times New Roman" w:hAnsi="Times New Roman" w:eastAsia="宋体"/>
      <w:sz w:val="24"/>
    </w:rPr>
  </w:style>
  <w:style w:type="paragraph" w:customStyle="1" w:styleId="48">
    <w:name w:val="样式 小四 行距: 固定值 24 磅"/>
    <w:basedOn w:val="1"/>
    <w:qFormat/>
    <w:uiPriority w:val="0"/>
    <w:pPr>
      <w:adjustRightInd w:val="0"/>
      <w:snapToGrid w:val="0"/>
      <w:spacing w:line="360" w:lineRule="auto"/>
      <w:ind w:firstLine="200" w:firstLineChars="200"/>
    </w:pPr>
    <w:rPr>
      <w:rFonts w:cs="宋体"/>
      <w:sz w:val="24"/>
    </w:rPr>
  </w:style>
  <w:style w:type="paragraph" w:customStyle="1" w:styleId="49">
    <w:name w:val="表内 定"/>
    <w:basedOn w:val="1"/>
    <w:qFormat/>
    <w:uiPriority w:val="0"/>
    <w:rPr>
      <w:rFonts w:cs="Times New Roman"/>
      <w:color w:val="000000"/>
    </w:rPr>
  </w:style>
  <w:style w:type="paragraph" w:customStyle="1" w:styleId="50">
    <w:name w:val="固定表格"/>
    <w:basedOn w:val="1"/>
    <w:qFormat/>
    <w:uiPriority w:val="0"/>
    <w:pPr>
      <w:spacing w:line="360" w:lineRule="exact"/>
      <w:jc w:val="center"/>
    </w:pPr>
    <w:rPr>
      <w:rFonts w:eastAsia="宋体" w:cs="Times New Roman"/>
      <w:sz w:val="21"/>
      <w:szCs w:val="20"/>
    </w:rPr>
  </w:style>
  <w:style w:type="character" w:customStyle="1" w:styleId="51">
    <w:name w:val="NormalCharacter"/>
    <w:qFormat/>
    <w:uiPriority w:val="0"/>
    <w:rPr>
      <w:color w:val="000000"/>
      <w:kern w:val="2"/>
      <w:sz w:val="21"/>
      <w:szCs w:val="22"/>
      <w:lang w:val="en-US" w:eastAsia="zh-CN" w:bidi="ar-SA"/>
    </w:rPr>
  </w:style>
  <w:style w:type="paragraph" w:customStyle="1" w:styleId="52">
    <w:name w:val="表格-龙飞"/>
    <w:basedOn w:val="1"/>
    <w:qFormat/>
    <w:uiPriority w:val="0"/>
    <w:pPr>
      <w:jc w:val="center"/>
    </w:pPr>
  </w:style>
  <w:style w:type="character" w:customStyle="1" w:styleId="53">
    <w:name w:val="样式 四号"/>
    <w:qFormat/>
    <w:uiPriority w:val="0"/>
    <w:rPr>
      <w:sz w:val="28"/>
    </w:rPr>
  </w:style>
  <w:style w:type="paragraph" w:customStyle="1" w:styleId="54">
    <w:name w:val="正文1"/>
    <w:basedOn w:val="1"/>
    <w:qFormat/>
    <w:uiPriority w:val="0"/>
    <w:pPr>
      <w:adjustRightInd w:val="0"/>
      <w:snapToGrid w:val="0"/>
      <w:spacing w:before="60" w:line="460" w:lineRule="exact"/>
      <w:ind w:firstLine="200" w:firstLineChars="200"/>
    </w:pPr>
    <w:rPr>
      <w:szCs w:val="20"/>
    </w:rPr>
  </w:style>
  <w:style w:type="paragraph" w:customStyle="1" w:styleId="55">
    <w:name w:val="图表"/>
    <w:basedOn w:val="1"/>
    <w:qFormat/>
    <w:uiPriority w:val="0"/>
    <w:pPr>
      <w:adjustRightInd w:val="0"/>
      <w:snapToGrid w:val="0"/>
      <w:spacing w:line="440" w:lineRule="exact"/>
      <w:ind w:firstLine="480" w:firstLineChars="200"/>
    </w:pPr>
    <w:rPr>
      <w:rFonts w:ascii="宋体" w:eastAsia="宋体" w:cs="Times New Roman"/>
      <w:sz w:val="21"/>
      <w:szCs w:val="20"/>
    </w:rPr>
  </w:style>
  <w:style w:type="paragraph" w:customStyle="1" w:styleId="56">
    <w:name w:val="列表段落1"/>
    <w:basedOn w:val="1"/>
    <w:qFormat/>
    <w:uiPriority w:val="0"/>
    <w:pPr>
      <w:ind w:firstLine="420" w:firstLineChars="200"/>
    </w:pPr>
  </w:style>
  <w:style w:type="paragraph" w:customStyle="1" w:styleId="57">
    <w:name w:val="样式2"/>
    <w:basedOn w:val="7"/>
    <w:qFormat/>
    <w:uiPriority w:val="0"/>
    <w:pPr>
      <w:spacing w:beforeLines="50" w:afterLines="50" w:line="520" w:lineRule="exact"/>
    </w:pPr>
    <w:rPr>
      <w:rFonts w:eastAsia="黑体"/>
      <w:sz w:val="28"/>
      <w:szCs w:val="28"/>
    </w:rPr>
  </w:style>
  <w:style w:type="paragraph" w:customStyle="1" w:styleId="58">
    <w:name w:val="样式4"/>
    <w:basedOn w:val="3"/>
    <w:qFormat/>
    <w:uiPriority w:val="0"/>
  </w:style>
  <w:style w:type="paragraph" w:customStyle="1" w:styleId="59">
    <w:name w:val="样式3"/>
    <w:basedOn w:val="57"/>
    <w:qFormat/>
    <w:uiPriority w:val="0"/>
    <w:pPr>
      <w:spacing w:beforeLines="50" w:afterLines="50" w:line="360" w:lineRule="auto"/>
    </w:pPr>
    <w:rPr>
      <w:rFonts w:ascii="黑体" w:hAnsi="黑体" w:eastAsia="黑体" w:cs="Times New Roman"/>
      <w:sz w:val="24"/>
      <w:szCs w:val="24"/>
    </w:rPr>
  </w:style>
  <w:style w:type="paragraph" w:customStyle="1" w:styleId="60">
    <w:name w:val="p16"/>
    <w:basedOn w:val="1"/>
    <w:qFormat/>
    <w:uiPriority w:val="0"/>
    <w:pPr>
      <w:widowControl/>
      <w:snapToGrid w:val="0"/>
      <w:jc w:val="center"/>
    </w:pPr>
    <w:rPr>
      <w:rFonts w:ascii="宋体" w:hAnsi="宋体" w:cs="宋体"/>
      <w:color w:val="000000"/>
      <w:kern w:val="0"/>
      <w:sz w:val="18"/>
      <w:szCs w:val="18"/>
    </w:rPr>
  </w:style>
  <w:style w:type="paragraph" w:customStyle="1" w:styleId="61">
    <w:name w:val="样式1"/>
    <w:basedOn w:val="1"/>
    <w:qFormat/>
    <w:uiPriority w:val="0"/>
    <w:rPr>
      <w:szCs w:val="20"/>
      <w:shd w:val="clear" w:color="auto" w:fill="FFFFFF"/>
    </w:rPr>
  </w:style>
  <w:style w:type="paragraph" w:customStyle="1" w:styleId="62">
    <w:name w:val="表格标题"/>
    <w:next w:val="1"/>
    <w:qFormat/>
    <w:uiPriority w:val="0"/>
    <w:pPr>
      <w:spacing w:line="360" w:lineRule="auto"/>
      <w:jc w:val="center"/>
    </w:pPr>
    <w:rPr>
      <w:rFonts w:ascii="Times New Roman" w:hAnsi="Times New Roman" w:eastAsia="黑体" w:cs="Times New Roman"/>
      <w:sz w:val="24"/>
      <w:lang w:val="en-US" w:eastAsia="zh-CN" w:bidi="ar-SA"/>
    </w:rPr>
  </w:style>
  <w:style w:type="paragraph" w:customStyle="1" w:styleId="63">
    <w:name w:val="正文文本的"/>
    <w:basedOn w:val="1"/>
    <w:qFormat/>
    <w:uiPriority w:val="0"/>
    <w:pPr>
      <w:spacing w:line="360" w:lineRule="auto"/>
      <w:ind w:firstLine="480" w:firstLineChars="200"/>
    </w:pPr>
    <w:rPr>
      <w:rFonts w:cs="宋体"/>
      <w:sz w:val="24"/>
      <w:szCs w:val="20"/>
    </w:rPr>
  </w:style>
  <w:style w:type="paragraph" w:styleId="64">
    <w:name w:val="List Paragraph"/>
    <w:basedOn w:val="1"/>
    <w:qFormat/>
    <w:uiPriority w:val="1"/>
    <w:pPr>
      <w:spacing w:before="160"/>
      <w:ind w:left="0" w:firstLine="0"/>
      <w:jc w:val="both"/>
    </w:pPr>
    <w:rPr>
      <w:rFonts w:ascii="Times New Roman" w:hAnsi="Times New Roman" w:eastAsia="宋体" w:cs="Times New Roman"/>
      <w:sz w:val="22"/>
    </w:rPr>
  </w:style>
  <w:style w:type="paragraph" w:customStyle="1" w:styleId="65">
    <w:name w:val="表格正文"/>
    <w:basedOn w:val="35"/>
    <w:next w:val="1"/>
    <w:qFormat/>
    <w:uiPriority w:val="0"/>
    <w:pPr>
      <w:snapToGrid w:val="0"/>
      <w:spacing w:line="240" w:lineRule="auto"/>
      <w:jc w:val="center"/>
    </w:pPr>
    <w:rPr>
      <w:rFonts w:ascii="宋体"/>
      <w:snapToGrid w:val="0"/>
      <w:spacing w:val="4"/>
      <w:szCs w:val="21"/>
    </w:rPr>
  </w:style>
  <w:style w:type="paragraph" w:customStyle="1" w:styleId="66">
    <w:name w:val="Plain Text"/>
    <w:basedOn w:val="1"/>
    <w:qFormat/>
    <w:uiPriority w:val="0"/>
    <w:pPr>
      <w:adjustRightInd w:val="0"/>
      <w:jc w:val="left"/>
    </w:pPr>
    <w:rPr>
      <w:rFonts w:ascii="宋体" w:hAnsi="Courier New"/>
      <w:sz w:val="24"/>
    </w:rPr>
  </w:style>
  <w:style w:type="character" w:customStyle="1" w:styleId="67">
    <w:name w:val="fontstyle01"/>
    <w:basedOn w:val="26"/>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4.jpeg"/><Relationship Id="rId53" Type="http://schemas.openxmlformats.org/officeDocument/2006/relationships/image" Target="media/image33.jpeg"/><Relationship Id="rId52" Type="http://schemas.openxmlformats.org/officeDocument/2006/relationships/image" Target="media/image32.jpe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footer" Target="footer2.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footer" Target="footer1.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wmf"/><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emf"/><Relationship Id="rId22" Type="http://schemas.openxmlformats.org/officeDocument/2006/relationships/oleObject" Target="embeddings/oleObject3.bin"/><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51527</Words>
  <Characters>58487</Characters>
  <Lines>1</Lines>
  <Paragraphs>1</Paragraphs>
  <TotalTime>3</TotalTime>
  <ScaleCrop>false</ScaleCrop>
  <LinksUpToDate>false</LinksUpToDate>
  <CharactersWithSpaces>58712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2021-03-22T01:38:00Z</dcterms:created>
  <dc:creator>嗑瓜子的向日葵</dc:creator>
  <cp:lastModifiedBy>嗑瓜子的向日葵</cp:lastModifiedBy>
  <cp:lastPrinted>2023-01-12T02:52:00Z</cp:lastPrinted>
  <dcterms:modified xsi:type="dcterms:W3CDTF">2023-07-17T00:47:57Z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014DDEB152C7457D886BCDEB394531C5</vt:lpwstr>
  </property>
</Properties>
</file>